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2"/>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62"/>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62"/>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962"/>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962"/>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962"/>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962"/>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7" w:lineRule="exact"/>
        <w:rPr>
          <w:sz w:val="24"/>
          <w:szCs w:val="24"/>
          <w:color w:val="auto"/>
        </w:rPr>
      </w:pPr>
    </w:p>
    <w:p>
      <w:pPr>
        <w:ind w:left="202" w:hanging="202"/>
        <w:spacing w:after="0"/>
        <w:tabs>
          <w:tab w:leader="none" w:pos="20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by the Registrant</w:t>
      </w:r>
    </w:p>
    <w:p>
      <w:pPr>
        <w:spacing w:after="0" w:line="22" w:lineRule="exact"/>
        <w:rPr>
          <w:sz w:val="24"/>
          <w:szCs w:val="24"/>
          <w:color w:val="auto"/>
        </w:rPr>
      </w:pPr>
    </w:p>
    <w:p>
      <w:pPr>
        <w:ind w:left="202" w:hanging="202"/>
        <w:spacing w:after="0"/>
        <w:tabs>
          <w:tab w:leader="none" w:pos="20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by a Party other than the Registrant</w:t>
      </w:r>
    </w:p>
    <w:p>
      <w:pPr>
        <w:spacing w:after="0" w:line="212" w:lineRule="exact"/>
        <w:rPr>
          <w:sz w:val="24"/>
          <w:szCs w:val="24"/>
          <w:color w:val="auto"/>
        </w:rPr>
      </w:pPr>
    </w:p>
    <w:p>
      <w:pPr>
        <w:ind w:left="2"/>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202" w:hanging="202"/>
        <w:spacing w:after="0"/>
        <w:tabs>
          <w:tab w:leader="none" w:pos="20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202" w:hanging="202"/>
        <w:spacing w:after="0"/>
        <w:tabs>
          <w:tab w:leader="none" w:pos="20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02" w:hanging="202"/>
        <w:spacing w:after="0"/>
        <w:tabs>
          <w:tab w:leader="none" w:pos="20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202" w:hanging="202"/>
        <w:spacing w:after="0"/>
        <w:tabs>
          <w:tab w:leader="none" w:pos="202"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202" w:hanging="202"/>
        <w:spacing w:after="0"/>
        <w:tabs>
          <w:tab w:leader="none" w:pos="202"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08" w:lineRule="exact"/>
        <w:rPr>
          <w:sz w:val="24"/>
          <w:szCs w:val="24"/>
          <w:color w:val="auto"/>
        </w:rPr>
      </w:pPr>
    </w:p>
    <w:p>
      <w:pPr>
        <w:jc w:val="center"/>
        <w:ind w:right="-962"/>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4"/>
          <w:szCs w:val="24"/>
          <w:color w:val="auto"/>
        </w:rPr>
      </w:pPr>
    </w:p>
    <w:p>
      <w:pPr>
        <w:jc w:val="center"/>
        <w:ind w:right="-962"/>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ind w:left="2882"/>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ind w:left="2"/>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02" w:hanging="202"/>
        <w:spacing w:after="0"/>
        <w:tabs>
          <w:tab w:leader="none" w:pos="202"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02" w:hanging="202"/>
        <w:spacing w:after="0"/>
        <w:tabs>
          <w:tab w:leader="none" w:pos="202"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02" w:hanging="202"/>
        <w:spacing w:after="0"/>
        <w:tabs>
          <w:tab w:leader="none" w:pos="202"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788670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2"/>
          </w:cols>
          <w:pgMar w:left="458" w:top="22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97"/>
        </w:trPr>
        <w:tc>
          <w:tcPr>
            <w:tcW w:w="5520" w:type="dxa"/>
            <w:vAlign w:val="bottom"/>
            <w:vMerge w:val="restart"/>
          </w:tcPr>
          <w:p>
            <w:pPr>
              <w:spacing w:after="0"/>
              <w:rPr>
                <w:sz w:val="20"/>
                <w:szCs w:val="20"/>
                <w:color w:val="auto"/>
              </w:rPr>
            </w:pPr>
            <w:r>
              <w:rPr>
                <w:rFonts w:ascii="Times New Roman" w:cs="Times New Roman" w:eastAsia="Times New Roman" w:hAnsi="Times New Roman"/>
                <w:sz w:val="25"/>
                <w:szCs w:val="25"/>
                <w:b w:val="1"/>
                <w:bCs w:val="1"/>
                <w:color w:val="auto"/>
              </w:rPr>
              <w:t>BEL FUSE INC.</w:t>
            </w:r>
          </w:p>
        </w:tc>
        <w:tc>
          <w:tcPr>
            <w:tcW w:w="5680" w:type="dxa"/>
            <w:vAlign w:val="bottom"/>
          </w:tcPr>
          <w:p>
            <w:pPr>
              <w:jc w:val="center"/>
              <w:ind w:left="1734"/>
              <w:spacing w:after="0"/>
              <w:rPr>
                <w:sz w:val="20"/>
                <w:szCs w:val="20"/>
                <w:color w:val="auto"/>
              </w:rPr>
            </w:pPr>
            <w:r>
              <w:rPr>
                <w:rFonts w:ascii="Times New Roman" w:cs="Times New Roman" w:eastAsia="Times New Roman" w:hAnsi="Times New Roman"/>
                <w:sz w:val="25"/>
                <w:szCs w:val="25"/>
                <w:b w:val="1"/>
                <w:bCs w:val="1"/>
                <w:color w:val="auto"/>
                <w:w w:val="99"/>
              </w:rPr>
              <w:t>BEL FUSE INC.</w:t>
            </w:r>
          </w:p>
        </w:tc>
        <w:tc>
          <w:tcPr>
            <w:tcW w:w="0" w:type="dxa"/>
            <w:vAlign w:val="bottom"/>
          </w:tcPr>
          <w:p>
            <w:pPr>
              <w:spacing w:after="0"/>
              <w:rPr>
                <w:sz w:val="1"/>
                <w:szCs w:val="1"/>
                <w:color w:val="auto"/>
              </w:rPr>
            </w:pPr>
          </w:p>
        </w:tc>
      </w:tr>
      <w:tr>
        <w:trPr>
          <w:trHeight w:val="148"/>
        </w:trPr>
        <w:tc>
          <w:tcPr>
            <w:tcW w:w="5520" w:type="dxa"/>
            <w:vAlign w:val="bottom"/>
            <w:vMerge w:val="continue"/>
          </w:tcPr>
          <w:p>
            <w:pPr>
              <w:spacing w:after="0"/>
              <w:rPr>
                <w:sz w:val="12"/>
                <w:szCs w:val="12"/>
                <w:color w:val="auto"/>
              </w:rPr>
            </w:pPr>
          </w:p>
        </w:tc>
        <w:tc>
          <w:tcPr>
            <w:tcW w:w="5680" w:type="dxa"/>
            <w:vAlign w:val="bottom"/>
            <w:vMerge w:val="restart"/>
          </w:tcPr>
          <w:p>
            <w:pPr>
              <w:jc w:val="center"/>
              <w:ind w:left="1734"/>
              <w:spacing w:after="0"/>
              <w:rPr>
                <w:sz w:val="20"/>
                <w:szCs w:val="20"/>
                <w:color w:val="auto"/>
              </w:rPr>
            </w:pPr>
            <w:r>
              <w:rPr>
                <w:rFonts w:ascii="Times New Roman" w:cs="Times New Roman" w:eastAsia="Times New Roman" w:hAnsi="Times New Roman"/>
                <w:sz w:val="25"/>
                <w:szCs w:val="25"/>
                <w:b w:val="1"/>
                <w:bCs w:val="1"/>
                <w:color w:val="auto"/>
              </w:rPr>
              <w:t>300 Executive Drive, Suite 300</w:t>
            </w:r>
          </w:p>
        </w:tc>
        <w:tc>
          <w:tcPr>
            <w:tcW w:w="0" w:type="dxa"/>
            <w:vAlign w:val="bottom"/>
          </w:tcPr>
          <w:p>
            <w:pPr>
              <w:spacing w:after="0"/>
              <w:rPr>
                <w:sz w:val="1"/>
                <w:szCs w:val="1"/>
                <w:color w:val="auto"/>
              </w:rPr>
            </w:pPr>
          </w:p>
        </w:tc>
      </w:tr>
      <w:tr>
        <w:trPr>
          <w:trHeight w:val="149"/>
        </w:trPr>
        <w:tc>
          <w:tcPr>
            <w:tcW w:w="5520" w:type="dxa"/>
            <w:vAlign w:val="bottom"/>
            <w:vMerge w:val="restart"/>
          </w:tcPr>
          <w:p>
            <w:pPr>
              <w:spacing w:after="0"/>
              <w:rPr>
                <w:sz w:val="20"/>
                <w:szCs w:val="20"/>
                <w:color w:val="auto"/>
              </w:rPr>
            </w:pPr>
            <w:r>
              <w:rPr>
                <w:rFonts w:ascii="Times New Roman" w:cs="Times New Roman" w:eastAsia="Times New Roman" w:hAnsi="Times New Roman"/>
                <w:sz w:val="25"/>
                <w:szCs w:val="25"/>
                <w:b w:val="1"/>
                <w:bCs w:val="1"/>
                <w:color w:val="auto"/>
              </w:rPr>
              <w:t>c/o Continental Proxy Services</w:t>
            </w:r>
          </w:p>
        </w:tc>
        <w:tc>
          <w:tcPr>
            <w:tcW w:w="5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520" w:type="dxa"/>
            <w:vAlign w:val="bottom"/>
            <w:vMerge w:val="continue"/>
          </w:tcPr>
          <w:p>
            <w:pPr>
              <w:spacing w:after="0"/>
              <w:rPr>
                <w:sz w:val="13"/>
                <w:szCs w:val="13"/>
                <w:color w:val="auto"/>
              </w:rPr>
            </w:pPr>
          </w:p>
        </w:tc>
        <w:tc>
          <w:tcPr>
            <w:tcW w:w="5680" w:type="dxa"/>
            <w:vAlign w:val="bottom"/>
            <w:vMerge w:val="restart"/>
          </w:tcPr>
          <w:p>
            <w:pPr>
              <w:jc w:val="center"/>
              <w:ind w:left="1734"/>
              <w:spacing w:after="0"/>
              <w:rPr>
                <w:sz w:val="20"/>
                <w:szCs w:val="20"/>
                <w:color w:val="auto"/>
              </w:rPr>
            </w:pPr>
            <w:r>
              <w:rPr>
                <w:rFonts w:ascii="Times New Roman" w:cs="Times New Roman" w:eastAsia="Times New Roman" w:hAnsi="Times New Roman"/>
                <w:sz w:val="25"/>
                <w:szCs w:val="25"/>
                <w:b w:val="1"/>
                <w:bCs w:val="1"/>
                <w:color w:val="auto"/>
              </w:rPr>
              <w:t>West Orange, NJ 07052</w:t>
            </w:r>
          </w:p>
        </w:tc>
        <w:tc>
          <w:tcPr>
            <w:tcW w:w="0" w:type="dxa"/>
            <w:vAlign w:val="bottom"/>
          </w:tcPr>
          <w:p>
            <w:pPr>
              <w:spacing w:after="0"/>
              <w:rPr>
                <w:sz w:val="1"/>
                <w:szCs w:val="1"/>
                <w:color w:val="auto"/>
              </w:rPr>
            </w:pPr>
          </w:p>
        </w:tc>
      </w:tr>
      <w:tr>
        <w:trPr>
          <w:trHeight w:val="180"/>
        </w:trPr>
        <w:tc>
          <w:tcPr>
            <w:tcW w:w="5520" w:type="dxa"/>
            <w:vAlign w:val="bottom"/>
            <w:vMerge w:val="restart"/>
          </w:tcPr>
          <w:p>
            <w:pPr>
              <w:spacing w:after="0"/>
              <w:rPr>
                <w:sz w:val="20"/>
                <w:szCs w:val="20"/>
                <w:color w:val="auto"/>
              </w:rPr>
            </w:pPr>
            <w:r>
              <w:rPr>
                <w:rFonts w:ascii="Times New Roman" w:cs="Times New Roman" w:eastAsia="Times New Roman" w:hAnsi="Times New Roman"/>
                <w:sz w:val="25"/>
                <w:szCs w:val="25"/>
                <w:color w:val="auto"/>
              </w:rPr>
              <w:t>1 State Street, New York NY 10004</w:t>
            </w:r>
          </w:p>
        </w:tc>
        <w:tc>
          <w:tcPr>
            <w:tcW w:w="5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520" w:type="dxa"/>
            <w:vAlign w:val="bottom"/>
            <w:vMerge w:val="continue"/>
          </w:tcPr>
          <w:p>
            <w:pPr>
              <w:spacing w:after="0"/>
              <w:rPr>
                <w:sz w:val="12"/>
                <w:szCs w:val="12"/>
                <w:color w:val="auto"/>
              </w:rPr>
            </w:pPr>
          </w:p>
        </w:tc>
        <w:tc>
          <w:tcPr>
            <w:tcW w:w="5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8"/>
        </w:trPr>
        <w:tc>
          <w:tcPr>
            <w:tcW w:w="5520" w:type="dxa"/>
            <w:vAlign w:val="bottom"/>
          </w:tcPr>
          <w:p>
            <w:pPr>
              <w:spacing w:after="0"/>
              <w:rPr>
                <w:sz w:val="24"/>
                <w:szCs w:val="24"/>
                <w:color w:val="auto"/>
              </w:rPr>
            </w:pPr>
          </w:p>
        </w:tc>
        <w:tc>
          <w:tcPr>
            <w:tcW w:w="5680" w:type="dxa"/>
            <w:vAlign w:val="bottom"/>
          </w:tcPr>
          <w:p>
            <w:pPr>
              <w:jc w:val="center"/>
              <w:ind w:left="1734"/>
              <w:spacing w:after="0"/>
              <w:rPr>
                <w:sz w:val="20"/>
                <w:szCs w:val="20"/>
                <w:color w:val="auto"/>
              </w:rPr>
            </w:pPr>
            <w:r>
              <w:rPr>
                <w:rFonts w:ascii="Times New Roman" w:cs="Times New Roman" w:eastAsia="Times New Roman" w:hAnsi="Times New Roman"/>
                <w:sz w:val="25"/>
                <w:szCs w:val="25"/>
                <w:b w:val="1"/>
                <w:bCs w:val="1"/>
                <w:color w:val="auto"/>
              </w:rPr>
              <w:t>NOTICE OF ANNUAL MEETING</w:t>
            </w:r>
          </w:p>
        </w:tc>
        <w:tc>
          <w:tcPr>
            <w:tcW w:w="0" w:type="dxa"/>
            <w:vAlign w:val="bottom"/>
          </w:tcPr>
          <w:p>
            <w:pPr>
              <w:spacing w:after="0"/>
              <w:rPr>
                <w:sz w:val="1"/>
                <w:szCs w:val="1"/>
                <w:color w:val="auto"/>
              </w:rPr>
            </w:pPr>
          </w:p>
        </w:tc>
      </w:tr>
      <w:tr>
        <w:trPr>
          <w:trHeight w:val="297"/>
        </w:trPr>
        <w:tc>
          <w:tcPr>
            <w:tcW w:w="5520" w:type="dxa"/>
            <w:vAlign w:val="bottom"/>
          </w:tcPr>
          <w:p>
            <w:pPr>
              <w:spacing w:after="0"/>
              <w:rPr>
                <w:sz w:val="24"/>
                <w:szCs w:val="24"/>
                <w:color w:val="auto"/>
              </w:rPr>
            </w:pPr>
          </w:p>
        </w:tc>
        <w:tc>
          <w:tcPr>
            <w:tcW w:w="5680" w:type="dxa"/>
            <w:vAlign w:val="bottom"/>
          </w:tcPr>
          <w:p>
            <w:pPr>
              <w:jc w:val="center"/>
              <w:ind w:left="1734"/>
              <w:spacing w:after="0"/>
              <w:rPr>
                <w:sz w:val="20"/>
                <w:szCs w:val="20"/>
                <w:color w:val="auto"/>
              </w:rPr>
            </w:pPr>
            <w:r>
              <w:rPr>
                <w:rFonts w:ascii="Times New Roman" w:cs="Times New Roman" w:eastAsia="Times New Roman" w:hAnsi="Times New Roman"/>
                <w:sz w:val="25"/>
                <w:szCs w:val="25"/>
                <w:b w:val="1"/>
                <w:bCs w:val="1"/>
                <w:color w:val="auto"/>
              </w:rPr>
              <w:t>OF SHAREHOLDERS</w:t>
            </w:r>
          </w:p>
        </w:tc>
        <w:tc>
          <w:tcPr>
            <w:tcW w:w="0" w:type="dxa"/>
            <w:vAlign w:val="bottom"/>
          </w:tcPr>
          <w:p>
            <w:pPr>
              <w:spacing w:after="0"/>
              <w:rPr>
                <w:sz w:val="1"/>
                <w:szCs w:val="1"/>
                <w:color w:val="auto"/>
              </w:rPr>
            </w:pPr>
          </w:p>
        </w:tc>
      </w:tr>
      <w:tr>
        <w:trPr>
          <w:trHeight w:val="297"/>
        </w:trPr>
        <w:tc>
          <w:tcPr>
            <w:tcW w:w="5520" w:type="dxa"/>
            <w:vAlign w:val="bottom"/>
          </w:tcPr>
          <w:p>
            <w:pPr>
              <w:spacing w:after="0"/>
              <w:rPr>
                <w:sz w:val="24"/>
                <w:szCs w:val="24"/>
                <w:color w:val="auto"/>
              </w:rPr>
            </w:pPr>
          </w:p>
        </w:tc>
        <w:tc>
          <w:tcPr>
            <w:tcW w:w="5680" w:type="dxa"/>
            <w:vAlign w:val="bottom"/>
          </w:tcPr>
          <w:p>
            <w:pPr>
              <w:jc w:val="center"/>
              <w:ind w:left="1734"/>
              <w:spacing w:after="0"/>
              <w:rPr>
                <w:sz w:val="20"/>
                <w:szCs w:val="20"/>
                <w:color w:val="auto"/>
              </w:rPr>
            </w:pPr>
            <w:r>
              <w:rPr>
                <w:rFonts w:ascii="Times New Roman" w:cs="Times New Roman" w:eastAsia="Times New Roman" w:hAnsi="Times New Roman"/>
                <w:sz w:val="25"/>
                <w:szCs w:val="25"/>
                <w:b w:val="1"/>
                <w:bCs w:val="1"/>
                <w:color w:val="auto"/>
              </w:rPr>
              <w:t>to be held on</w:t>
            </w:r>
          </w:p>
        </w:tc>
        <w:tc>
          <w:tcPr>
            <w:tcW w:w="0" w:type="dxa"/>
            <w:vAlign w:val="bottom"/>
          </w:tcPr>
          <w:p>
            <w:pPr>
              <w:spacing w:after="0"/>
              <w:rPr>
                <w:sz w:val="1"/>
                <w:szCs w:val="1"/>
                <w:color w:val="auto"/>
              </w:rPr>
            </w:pPr>
          </w:p>
        </w:tc>
      </w:tr>
      <w:tr>
        <w:trPr>
          <w:trHeight w:val="297"/>
        </w:trPr>
        <w:tc>
          <w:tcPr>
            <w:tcW w:w="5520" w:type="dxa"/>
            <w:vAlign w:val="bottom"/>
          </w:tcPr>
          <w:p>
            <w:pPr>
              <w:spacing w:after="0"/>
              <w:rPr>
                <w:sz w:val="24"/>
                <w:szCs w:val="24"/>
                <w:color w:val="auto"/>
              </w:rPr>
            </w:pPr>
          </w:p>
        </w:tc>
        <w:tc>
          <w:tcPr>
            <w:tcW w:w="5680" w:type="dxa"/>
            <w:vAlign w:val="bottom"/>
          </w:tcPr>
          <w:p>
            <w:pPr>
              <w:jc w:val="center"/>
              <w:ind w:left="1734"/>
              <w:spacing w:after="0"/>
              <w:rPr>
                <w:sz w:val="20"/>
                <w:szCs w:val="20"/>
                <w:color w:val="auto"/>
              </w:rPr>
            </w:pPr>
            <w:r>
              <w:rPr>
                <w:rFonts w:ascii="Times New Roman" w:cs="Times New Roman" w:eastAsia="Times New Roman" w:hAnsi="Times New Roman"/>
                <w:sz w:val="25"/>
                <w:szCs w:val="25"/>
                <w:b w:val="1"/>
                <w:bCs w:val="1"/>
                <w:color w:val="auto"/>
                <w:w w:val="98"/>
              </w:rPr>
              <w:t>Tuesday, May 26, 2026</w:t>
            </w:r>
          </w:p>
        </w:tc>
        <w:tc>
          <w:tcPr>
            <w:tcW w:w="0" w:type="dxa"/>
            <w:vAlign w:val="bottom"/>
          </w:tcPr>
          <w:p>
            <w:pPr>
              <w:spacing w:after="0"/>
              <w:rPr>
                <w:sz w:val="1"/>
                <w:szCs w:val="1"/>
                <w:color w:val="auto"/>
              </w:rPr>
            </w:pPr>
          </w:p>
        </w:tc>
      </w:tr>
      <w:tr>
        <w:trPr>
          <w:trHeight w:val="297"/>
        </w:trPr>
        <w:tc>
          <w:tcPr>
            <w:tcW w:w="5520" w:type="dxa"/>
            <w:vAlign w:val="bottom"/>
          </w:tcPr>
          <w:p>
            <w:pPr>
              <w:spacing w:after="0"/>
              <w:rPr>
                <w:sz w:val="24"/>
                <w:szCs w:val="24"/>
                <w:color w:val="auto"/>
              </w:rPr>
            </w:pPr>
          </w:p>
        </w:tc>
        <w:tc>
          <w:tcPr>
            <w:tcW w:w="5680" w:type="dxa"/>
            <w:vAlign w:val="bottom"/>
          </w:tcPr>
          <w:p>
            <w:pPr>
              <w:jc w:val="center"/>
              <w:ind w:left="1734"/>
              <w:spacing w:after="0"/>
              <w:rPr>
                <w:sz w:val="20"/>
                <w:szCs w:val="20"/>
                <w:color w:val="auto"/>
              </w:rPr>
            </w:pPr>
            <w:r>
              <w:rPr>
                <w:rFonts w:ascii="Times New Roman" w:cs="Times New Roman" w:eastAsia="Times New Roman" w:hAnsi="Times New Roman"/>
                <w:sz w:val="25"/>
                <w:szCs w:val="25"/>
                <w:b w:val="1"/>
                <w:bCs w:val="1"/>
                <w:color w:val="auto"/>
              </w:rPr>
              <w:t>at 11:00 am ET</w:t>
            </w:r>
          </w:p>
        </w:tc>
        <w:tc>
          <w:tcPr>
            <w:tcW w:w="0" w:type="dxa"/>
            <w:vAlign w:val="bottom"/>
          </w:tcPr>
          <w:p>
            <w:pPr>
              <w:spacing w:after="0"/>
              <w:rPr>
                <w:sz w:val="1"/>
                <w:szCs w:val="1"/>
                <w:color w:val="auto"/>
              </w:rPr>
            </w:pPr>
          </w:p>
        </w:tc>
      </w:tr>
      <w:tr>
        <w:trPr>
          <w:trHeight w:val="334"/>
        </w:trPr>
        <w:tc>
          <w:tcPr>
            <w:tcW w:w="5520" w:type="dxa"/>
            <w:vAlign w:val="bottom"/>
          </w:tcPr>
          <w:p>
            <w:pPr>
              <w:spacing w:after="0"/>
              <w:rPr>
                <w:sz w:val="24"/>
                <w:szCs w:val="24"/>
                <w:color w:val="auto"/>
              </w:rPr>
            </w:pPr>
          </w:p>
        </w:tc>
        <w:tc>
          <w:tcPr>
            <w:tcW w:w="5680" w:type="dxa"/>
            <w:vAlign w:val="bottom"/>
          </w:tcPr>
          <w:p>
            <w:pPr>
              <w:jc w:val="center"/>
              <w:ind w:left="1734"/>
              <w:spacing w:after="0"/>
              <w:rPr>
                <w:sz w:val="20"/>
                <w:szCs w:val="20"/>
                <w:color w:val="auto"/>
              </w:rPr>
            </w:pPr>
            <w:r>
              <w:rPr>
                <w:rFonts w:ascii="Times New Roman" w:cs="Times New Roman" w:eastAsia="Times New Roman" w:hAnsi="Times New Roman"/>
                <w:sz w:val="25"/>
                <w:szCs w:val="25"/>
                <w:b w:val="1"/>
                <w:bCs w:val="1"/>
                <w:color w:val="auto"/>
              </w:rPr>
              <w:t>via live audio webcast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*Shareholders are cordially invited to attend the Virtual Annual Meeting and to vote online during the Virtual Annual Meeting, on the Internet or any Mobile device.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-427990</wp:posOffset>
            </wp:positionV>
            <wp:extent cx="7136130" cy="398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39878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Shareholder,</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2026 Annual Meeting of Shareholders of Bel Fuse Inc. will be held virtually over the internet on Tuesday, May 26, 2026 at 11:00 am Eastern Time at </w:t>
      </w:r>
      <w:r>
        <w:rPr>
          <w:rFonts w:ascii="Times New Roman" w:cs="Times New Roman" w:eastAsia="Times New Roman" w:hAnsi="Times New Roman"/>
          <w:sz w:val="22"/>
          <w:szCs w:val="22"/>
          <w:b w:val="1"/>
          <w:bCs w:val="1"/>
          <w:color w:val="auto"/>
        </w:rPr>
        <w:t>https://www.cstproxy.com/belfuse/2026</w:t>
      </w:r>
      <w:r>
        <w:rPr>
          <w:rFonts w:ascii="Times New Roman" w:cs="Times New Roman" w:eastAsia="Times New Roman" w:hAnsi="Times New Roman"/>
          <w:sz w:val="22"/>
          <w:szCs w:val="22"/>
          <w:color w:val="auto"/>
        </w:rPr>
        <w:t xml:space="preserve">. Directions to access the Bel Fuse Virtual Annual Meeting and vote during the meeting are available in the Proxy Statement, which can be viewed at </w:t>
      </w:r>
      <w:r>
        <w:rPr>
          <w:rFonts w:ascii="Times New Roman" w:cs="Times New Roman" w:eastAsia="Times New Roman" w:hAnsi="Times New Roman"/>
          <w:sz w:val="22"/>
          <w:szCs w:val="22"/>
          <w:b w:val="1"/>
          <w:bCs w:val="1"/>
          <w:color w:val="auto"/>
        </w:rPr>
        <w:t>https://www.cstproxy.com/belfuse/2026</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Proposals to be considered at the Annual Meeting:</w:t>
      </w:r>
    </w:p>
    <w:p>
      <w:pPr>
        <w:spacing w:after="0" w:line="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elect two directors for three-year terms (Rita smith and Jacqueline Brito) as described in the Proxy Statement;</w:t>
      </w:r>
    </w:p>
    <w:p>
      <w:pPr>
        <w:ind w:left="660" w:hanging="328"/>
        <w:spacing w:after="0" w:line="230" w:lineRule="auto"/>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ratify the designation of Deloitte Touche LLP as Bel’s independent registered public accounting firm for 2026;</w:t>
      </w:r>
    </w:p>
    <w:p>
      <w:pPr>
        <w:ind w:left="660" w:hanging="328"/>
        <w:spacing w:after="0" w:line="230" w:lineRule="auto"/>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on an advisory basis, the executive compensation of the Company's named executive officers as described in the Proxy Statement;</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the Bel Fuse Inc. 2026 Equity Compensation Plan;</w:t>
      </w:r>
    </w:p>
    <w:p>
      <w:pPr>
        <w:ind w:left="660" w:hanging="328"/>
        <w:spacing w:after="0" w:line="230" w:lineRule="auto"/>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vote on a shareholder proposal described in the accompanying Proxy Statement, if properly presented at the Annual Meeting; and</w:t>
      </w:r>
    </w:p>
    <w:p>
      <w:pPr>
        <w:spacing w:after="0" w:line="1" w:lineRule="exact"/>
        <w:rPr>
          <w:rFonts w:ascii="Times New Roman" w:cs="Times New Roman" w:eastAsia="Times New Roman" w:hAnsi="Times New Roman"/>
          <w:sz w:val="22"/>
          <w:szCs w:val="22"/>
          <w:color w:val="auto"/>
        </w:rPr>
      </w:pPr>
    </w:p>
    <w:p>
      <w:pPr>
        <w:ind w:left="660" w:hanging="328"/>
        <w:spacing w:after="0" w:line="237" w:lineRule="auto"/>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address such other matters as may properly come before the 2026 annual meeting or any adjournment(s) or postponement(s) thereof.</w:t>
      </w:r>
    </w:p>
    <w:p>
      <w:pPr>
        <w:spacing w:after="0" w:line="2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Board of Directors recommends a vote "FOR ALL" nominees under Proposal 1, “FOR” Proposals 2, 3 and 4, and “AGAINST” Proposal 5.</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Your electronic vote authorizes the named proxies to vote your shares in the same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manner as if you marked, signed, dated, and returned the proxy card.</w:t>
      </w:r>
    </w:p>
    <w:p>
      <w:pPr>
        <w:sectPr>
          <w:pgSz w:w="11900" w:h="16838" w:orient="portrait"/>
          <w:cols w:equalWidth="0" w:num="1">
            <w:col w:w="11240"/>
          </w:cols>
          <w:pgMar w:left="320" w:top="786" w:right="339" w:bottom="316" w:gutter="0" w:footer="0" w:header="0"/>
        </w:sectPr>
      </w:pP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During the Meeting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-204470</wp:posOffset>
            </wp:positionV>
            <wp:extent cx="3698875" cy="861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98875" cy="861695"/>
                    </a:xfrm>
                    <a:prstGeom prst="rect">
                      <a:avLst/>
                    </a:prstGeom>
                    <a:noFill/>
                  </pic:spPr>
                </pic:pic>
              </a:graphicData>
            </a:graphic>
          </wp:anchor>
        </w:drawing>
      </w:r>
    </w:p>
    <w:p>
      <w:pPr>
        <w:spacing w:after="0" w:line="209" w:lineRule="exact"/>
        <w:rPr>
          <w:sz w:val="20"/>
          <w:szCs w:val="20"/>
          <w:color w:val="auto"/>
        </w:rPr>
      </w:pPr>
    </w:p>
    <w:p>
      <w:pPr>
        <w:jc w:val="both"/>
        <w:ind w:left="300" w:right="40"/>
        <w:spacing w:after="0" w:line="266" w:lineRule="auto"/>
        <w:rPr>
          <w:sz w:val="20"/>
          <w:szCs w:val="20"/>
          <w:color w:val="auto"/>
        </w:rPr>
      </w:pPr>
      <w:r>
        <w:rPr>
          <w:rFonts w:ascii="Times New Roman" w:cs="Times New Roman" w:eastAsia="Times New Roman" w:hAnsi="Times New Roman"/>
          <w:sz w:val="18"/>
          <w:szCs w:val="18"/>
          <w:color w:val="auto"/>
        </w:rPr>
        <w:t xml:space="preserve">If you plan to attend the virtual online annual meeting, you will need your 12 digit control number to vote electronically during the annual meeting. To attend the annual meeting, visit: </w:t>
      </w:r>
      <w:r>
        <w:rPr>
          <w:rFonts w:ascii="Times New Roman" w:cs="Times New Roman" w:eastAsia="Times New Roman" w:hAnsi="Times New Roman"/>
          <w:sz w:val="18"/>
          <w:szCs w:val="18"/>
          <w:b w:val="1"/>
          <w:bCs w:val="1"/>
          <w:color w:val="auto"/>
        </w:rPr>
        <w:t>https://www.cstproxy.com/belfuse/2026</w:t>
      </w:r>
    </w:p>
    <w:p>
      <w:pPr>
        <w:spacing w:after="0" w:line="200" w:lineRule="exact"/>
        <w:rPr>
          <w:sz w:val="20"/>
          <w:szCs w:val="20"/>
          <w:color w:val="auto"/>
        </w:rPr>
      </w:pP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MOBILE VOTING</w:t>
      </w:r>
    </w:p>
    <w:p>
      <w:pPr>
        <w:spacing w:after="0" w:line="31"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8"/>
          <w:szCs w:val="18"/>
          <w:color w:val="auto"/>
        </w:rPr>
        <w:t>On your Smartphone/Tablet, open the QR Reader and scan the below image. Once the voting site is displayed, enter your Control Number from the proxy card and vote your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5"/>
          <w:szCs w:val="25"/>
          <w:b w:val="1"/>
          <w:bCs w:val="1"/>
          <w:color w:val="auto"/>
        </w:rPr>
        <w:t>To view the Proxy Materials and attend the</w:t>
      </w:r>
    </w:p>
    <w:p>
      <w:pPr>
        <w:spacing w:after="0" w:line="44"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5"/>
          <w:szCs w:val="25"/>
          <w:b w:val="1"/>
          <w:bCs w:val="1"/>
          <w:color w:val="auto"/>
        </w:rPr>
        <w:t>Annual Meeting, please go to:</w:t>
      </w:r>
    </w:p>
    <w:p>
      <w:pPr>
        <w:spacing w:after="0" w:line="1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5"/>
          <w:szCs w:val="25"/>
          <w:b w:val="1"/>
          <w:bCs w:val="1"/>
          <w:color w:val="auto"/>
        </w:rPr>
        <w:t>https://www.cstproxy.com/belfuse/2026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Your Proxy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-127000</wp:posOffset>
            </wp:positionV>
            <wp:extent cx="2893060" cy="861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3060" cy="86169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 to http://www.cstproxyvote.com</w:t>
      </w:r>
    </w:p>
    <w:p>
      <w:pPr>
        <w:spacing w:after="0" w:line="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Have your notice available when you access the above website. Follow the prompts to vote your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5"/>
          <w:szCs w:val="25"/>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61595</wp:posOffset>
            </wp:positionV>
            <wp:extent cx="2893060" cy="158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3060" cy="158115"/>
                    </a:xfrm>
                    <a:prstGeom prst="rect">
                      <a:avLst/>
                    </a:prstGeom>
                    <a:noFill/>
                  </pic:spPr>
                </pic:pic>
              </a:graphicData>
            </a:graphic>
          </wp:anchor>
        </w:drawing>
      </w:r>
    </w:p>
    <w:p>
      <w:pPr>
        <w:sectPr>
          <w:pgSz w:w="11900" w:h="16838" w:orient="portrait"/>
          <w:cols w:equalWidth="0" w:num="2">
            <w:col w:w="6120" w:space="580"/>
            <w:col w:w="4540"/>
          </w:cols>
          <w:pgMar w:left="320" w:top="786" w:right="339" w:bottom="316"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5"/>
          <w:szCs w:val="25"/>
          <w:b w:val="1"/>
          <w:bCs w:val="1"/>
          <w:color w:val="auto"/>
        </w:rPr>
        <w:t>BEL FUSE INC.</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300 Executive Drive, Suite 300</w:t>
      </w:r>
    </w:p>
    <w:p>
      <w:pPr>
        <w:jc w:val="center"/>
        <w:ind w:right="-159"/>
        <w:spacing w:after="0"/>
        <w:rPr>
          <w:sz w:val="20"/>
          <w:szCs w:val="20"/>
          <w:color w:val="auto"/>
        </w:rPr>
      </w:pPr>
      <w:r>
        <w:rPr>
          <w:rFonts w:ascii="Times New Roman" w:cs="Times New Roman" w:eastAsia="Times New Roman" w:hAnsi="Times New Roman"/>
          <w:sz w:val="22"/>
          <w:szCs w:val="22"/>
          <w:color w:val="auto"/>
        </w:rPr>
        <w:t>West Orange, NJ 07052</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Important Notice Regarding the Availability of Proxy Materials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Shareholder Meeting to be Held On Tuesday, May 26, 2026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following Proxy Materials are available to you to review at: </w:t>
      </w:r>
      <w:r>
        <w:rPr>
          <w:rFonts w:ascii="Times New Roman" w:cs="Times New Roman" w:eastAsia="Times New Roman" w:hAnsi="Times New Roman"/>
          <w:sz w:val="22"/>
          <w:szCs w:val="22"/>
          <w:b w:val="1"/>
          <w:bCs w:val="1"/>
          <w:color w:val="auto"/>
        </w:rPr>
        <w:t>https://www.cstproxy.com/belfuse/2026</w:t>
      </w:r>
    </w:p>
    <w:p>
      <w:pPr>
        <w:spacing w:after="0" w:line="237" w:lineRule="exact"/>
        <w:rPr>
          <w:sz w:val="20"/>
          <w:szCs w:val="20"/>
          <w:color w:val="auto"/>
        </w:rPr>
      </w:pPr>
    </w:p>
    <w:p>
      <w:pPr>
        <w:ind w:left="660" w:hanging="355"/>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Annual Report for the year ended December 31, 2025</w:t>
      </w:r>
    </w:p>
    <w:p>
      <w:pPr>
        <w:spacing w:after="0" w:line="14" w:lineRule="exact"/>
        <w:rPr>
          <w:rFonts w:ascii="Times New Roman" w:cs="Times New Roman" w:eastAsia="Times New Roman" w:hAnsi="Times New Roman"/>
          <w:sz w:val="22"/>
          <w:szCs w:val="22"/>
          <w:color w:val="auto"/>
        </w:rPr>
      </w:pPr>
    </w:p>
    <w:p>
      <w:pPr>
        <w:ind w:left="660" w:hanging="355"/>
        <w:spacing w:after="0" w:line="230" w:lineRule="auto"/>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2026 Proxy Statement</w:t>
      </w:r>
    </w:p>
    <w:p>
      <w:pPr>
        <w:ind w:left="660" w:hanging="355"/>
        <w:spacing w:after="0" w:line="230" w:lineRule="auto"/>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Proxy Card</w:t>
      </w:r>
    </w:p>
    <w:p>
      <w:pPr>
        <w:ind w:left="660" w:hanging="355"/>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amendments to the foregoing materials that are required to be furnished to shareholders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Get Informed Before You Vote</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is not a ballot. You cannot use this notice to vote your shares. 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you would like to receive a paper or e-mail copy of these documents, you must request one. There is no charge for such documents to be mailed to you. Please make your request for a copy as instructed below on or before May 15, 2026 to facilitate a timely delivery. You may also request that you receive paper copies of all future Proxy Materials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125730</wp:posOffset>
            </wp:positionV>
            <wp:extent cx="6064885" cy="946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64885" cy="94678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ACCESSING YOUR PROXY MATERIALS ONLINE</w:t>
      </w:r>
    </w:p>
    <w:p>
      <w:pPr>
        <w:spacing w:after="0" w:line="18" w:lineRule="exact"/>
        <w:rPr>
          <w:sz w:val="20"/>
          <w:szCs w:val="20"/>
          <w:color w:val="auto"/>
        </w:rPr>
      </w:pPr>
    </w:p>
    <w:p>
      <w:pPr>
        <w:jc w:val="center"/>
        <w:ind w:left="400" w:right="860"/>
        <w:spacing w:after="0" w:line="235" w:lineRule="auto"/>
        <w:rPr>
          <w:sz w:val="20"/>
          <w:szCs w:val="20"/>
          <w:color w:val="auto"/>
        </w:rPr>
      </w:pPr>
      <w:r>
        <w:rPr>
          <w:rFonts w:ascii="Times New Roman" w:cs="Times New Roman" w:eastAsia="Times New Roman" w:hAnsi="Times New Roman"/>
          <w:sz w:val="22"/>
          <w:szCs w:val="22"/>
          <w:b w:val="1"/>
          <w:bCs w:val="1"/>
          <w:color w:val="auto"/>
        </w:rPr>
        <w:t>Go to https://www.cstproxy.com/belfuse/2026 to view these materials online. Have this notice available when you access the proxy materials or to vote your proxy electronically. You must reference your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308610</wp:posOffset>
            </wp:positionV>
            <wp:extent cx="6064885" cy="1564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64885" cy="156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REQUESTING A PAPER OR E-MAIL COPY OF THE PROXY MATERIALS</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By telephone please call 1-888-266-6791, or</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By logging on to https://www.cstproxy.com/belfuse/2026 or</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By email at: proxy@continentalstock.com</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i w:val="1"/>
          <w:iCs w:val="1"/>
          <w:color w:val="auto"/>
        </w:rPr>
        <w:t>Please include the company name and your control number in the subject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519430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97"/>
        </w:trPr>
        <w:tc>
          <w:tcPr>
            <w:tcW w:w="5640" w:type="dxa"/>
            <w:vAlign w:val="bottom"/>
            <w:vMerge w:val="restart"/>
          </w:tcPr>
          <w:p>
            <w:pPr>
              <w:spacing w:after="0"/>
              <w:rPr>
                <w:sz w:val="20"/>
                <w:szCs w:val="20"/>
                <w:color w:val="auto"/>
              </w:rPr>
            </w:pPr>
            <w:r>
              <w:rPr>
                <w:rFonts w:ascii="Times New Roman" w:cs="Times New Roman" w:eastAsia="Times New Roman" w:hAnsi="Times New Roman"/>
                <w:sz w:val="25"/>
                <w:szCs w:val="25"/>
                <w:b w:val="1"/>
                <w:bCs w:val="1"/>
                <w:color w:val="auto"/>
              </w:rPr>
              <w:t>BEL FUSE INC.</w:t>
            </w:r>
          </w:p>
        </w:tc>
        <w:tc>
          <w:tcPr>
            <w:tcW w:w="5220" w:type="dxa"/>
            <w:vAlign w:val="bottom"/>
          </w:tcPr>
          <w:p>
            <w:pPr>
              <w:jc w:val="center"/>
              <w:ind w:left="1814"/>
              <w:spacing w:after="0"/>
              <w:rPr>
                <w:sz w:val="20"/>
                <w:szCs w:val="20"/>
                <w:color w:val="auto"/>
              </w:rPr>
            </w:pPr>
            <w:r>
              <w:rPr>
                <w:rFonts w:ascii="Times New Roman" w:cs="Times New Roman" w:eastAsia="Times New Roman" w:hAnsi="Times New Roman"/>
                <w:sz w:val="25"/>
                <w:szCs w:val="25"/>
                <w:b w:val="1"/>
                <w:bCs w:val="1"/>
                <w:color w:val="auto"/>
              </w:rPr>
              <w:t>BEL FUSE INC.</w:t>
            </w:r>
          </w:p>
        </w:tc>
        <w:tc>
          <w:tcPr>
            <w:tcW w:w="0" w:type="dxa"/>
            <w:vAlign w:val="bottom"/>
          </w:tcPr>
          <w:p>
            <w:pPr>
              <w:spacing w:after="0"/>
              <w:rPr>
                <w:sz w:val="1"/>
                <w:szCs w:val="1"/>
                <w:color w:val="auto"/>
              </w:rPr>
            </w:pPr>
          </w:p>
        </w:tc>
      </w:tr>
      <w:tr>
        <w:trPr>
          <w:trHeight w:val="162"/>
        </w:trPr>
        <w:tc>
          <w:tcPr>
            <w:tcW w:w="5640" w:type="dxa"/>
            <w:vAlign w:val="bottom"/>
            <w:vMerge w:val="continue"/>
          </w:tcPr>
          <w:p>
            <w:pPr>
              <w:spacing w:after="0"/>
              <w:rPr>
                <w:sz w:val="14"/>
                <w:szCs w:val="14"/>
                <w:color w:val="auto"/>
              </w:rPr>
            </w:pPr>
          </w:p>
        </w:tc>
        <w:tc>
          <w:tcPr>
            <w:tcW w:w="5220" w:type="dxa"/>
            <w:vAlign w:val="bottom"/>
            <w:vMerge w:val="restart"/>
          </w:tcPr>
          <w:p>
            <w:pPr>
              <w:jc w:val="center"/>
              <w:ind w:left="1834"/>
              <w:spacing w:after="0"/>
              <w:rPr>
                <w:sz w:val="20"/>
                <w:szCs w:val="20"/>
                <w:color w:val="auto"/>
              </w:rPr>
            </w:pPr>
            <w:r>
              <w:rPr>
                <w:rFonts w:ascii="Times New Roman" w:cs="Times New Roman" w:eastAsia="Times New Roman" w:hAnsi="Times New Roman"/>
                <w:sz w:val="25"/>
                <w:szCs w:val="25"/>
                <w:b w:val="1"/>
                <w:bCs w:val="1"/>
                <w:color w:val="auto"/>
              </w:rPr>
              <w:t>300 Executive Drive, Suite 300</w:t>
            </w:r>
          </w:p>
        </w:tc>
        <w:tc>
          <w:tcPr>
            <w:tcW w:w="0" w:type="dxa"/>
            <w:vAlign w:val="bottom"/>
          </w:tcPr>
          <w:p>
            <w:pPr>
              <w:spacing w:after="0"/>
              <w:rPr>
                <w:sz w:val="1"/>
                <w:szCs w:val="1"/>
                <w:color w:val="auto"/>
              </w:rPr>
            </w:pPr>
          </w:p>
        </w:tc>
      </w:tr>
      <w:tr>
        <w:trPr>
          <w:trHeight w:val="135"/>
        </w:trPr>
        <w:tc>
          <w:tcPr>
            <w:tcW w:w="5640" w:type="dxa"/>
            <w:vAlign w:val="bottom"/>
            <w:vMerge w:val="restart"/>
          </w:tcPr>
          <w:p>
            <w:pPr>
              <w:spacing w:after="0"/>
              <w:rPr>
                <w:sz w:val="20"/>
                <w:szCs w:val="20"/>
                <w:color w:val="auto"/>
              </w:rPr>
            </w:pPr>
            <w:r>
              <w:rPr>
                <w:rFonts w:ascii="Times New Roman" w:cs="Times New Roman" w:eastAsia="Times New Roman" w:hAnsi="Times New Roman"/>
                <w:sz w:val="25"/>
                <w:szCs w:val="25"/>
                <w:b w:val="1"/>
                <w:bCs w:val="1"/>
                <w:color w:val="auto"/>
              </w:rPr>
              <w:t>c/o Continental Proxy Services</w:t>
            </w:r>
          </w:p>
        </w:tc>
        <w:tc>
          <w:tcPr>
            <w:tcW w:w="5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640" w:type="dxa"/>
            <w:vAlign w:val="bottom"/>
            <w:vMerge w:val="continue"/>
          </w:tcPr>
          <w:p>
            <w:pPr>
              <w:spacing w:after="0"/>
              <w:rPr>
                <w:sz w:val="14"/>
                <w:szCs w:val="14"/>
                <w:color w:val="auto"/>
              </w:rPr>
            </w:pPr>
          </w:p>
        </w:tc>
        <w:tc>
          <w:tcPr>
            <w:tcW w:w="5220" w:type="dxa"/>
            <w:vAlign w:val="bottom"/>
            <w:vMerge w:val="restart"/>
          </w:tcPr>
          <w:p>
            <w:pPr>
              <w:jc w:val="center"/>
              <w:ind w:left="1834"/>
              <w:spacing w:after="0"/>
              <w:rPr>
                <w:sz w:val="20"/>
                <w:szCs w:val="20"/>
                <w:color w:val="auto"/>
              </w:rPr>
            </w:pPr>
            <w:r>
              <w:rPr>
                <w:rFonts w:ascii="Times New Roman" w:cs="Times New Roman" w:eastAsia="Times New Roman" w:hAnsi="Times New Roman"/>
                <w:sz w:val="25"/>
                <w:szCs w:val="25"/>
                <w:b w:val="1"/>
                <w:bCs w:val="1"/>
                <w:color w:val="auto"/>
              </w:rPr>
              <w:t>West Orange, NJ 07052</w:t>
            </w:r>
          </w:p>
        </w:tc>
        <w:tc>
          <w:tcPr>
            <w:tcW w:w="0" w:type="dxa"/>
            <w:vAlign w:val="bottom"/>
          </w:tcPr>
          <w:p>
            <w:pPr>
              <w:spacing w:after="0"/>
              <w:rPr>
                <w:sz w:val="1"/>
                <w:szCs w:val="1"/>
                <w:color w:val="auto"/>
              </w:rPr>
            </w:pPr>
          </w:p>
        </w:tc>
      </w:tr>
      <w:tr>
        <w:trPr>
          <w:trHeight w:val="166"/>
        </w:trPr>
        <w:tc>
          <w:tcPr>
            <w:tcW w:w="5640" w:type="dxa"/>
            <w:vAlign w:val="bottom"/>
            <w:vMerge w:val="restart"/>
          </w:tcPr>
          <w:p>
            <w:pPr>
              <w:spacing w:after="0"/>
              <w:rPr>
                <w:sz w:val="20"/>
                <w:szCs w:val="20"/>
                <w:color w:val="auto"/>
              </w:rPr>
            </w:pPr>
            <w:r>
              <w:rPr>
                <w:rFonts w:ascii="Times New Roman" w:cs="Times New Roman" w:eastAsia="Times New Roman" w:hAnsi="Times New Roman"/>
                <w:sz w:val="25"/>
                <w:szCs w:val="25"/>
                <w:color w:val="auto"/>
              </w:rPr>
              <w:t>1 State Street, New York NY 10004</w:t>
            </w:r>
          </w:p>
        </w:tc>
        <w:tc>
          <w:tcPr>
            <w:tcW w:w="5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vMerge w:val="continue"/>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25"/>
          <w:szCs w:val="25"/>
          <w:b w:val="1"/>
          <w:bCs w:val="1"/>
          <w:color w:val="auto"/>
        </w:rPr>
        <w:t>NOTICE OF ANNUAL MEETING</w:t>
      </w:r>
    </w:p>
    <w:p>
      <w:pPr>
        <w:spacing w:after="0" w:line="44"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25"/>
          <w:szCs w:val="25"/>
          <w:b w:val="1"/>
          <w:bCs w:val="1"/>
          <w:color w:val="auto"/>
        </w:rPr>
        <w:t>OF SHAREHOLDERS</w:t>
      </w:r>
    </w:p>
    <w:p>
      <w:pPr>
        <w:spacing w:after="0" w:line="10"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25"/>
          <w:szCs w:val="25"/>
          <w:b w:val="1"/>
          <w:bCs w:val="1"/>
          <w:color w:val="auto"/>
        </w:rPr>
        <w:t>to be held on</w:t>
      </w:r>
    </w:p>
    <w:p>
      <w:pPr>
        <w:spacing w:after="0" w:line="10"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25"/>
          <w:szCs w:val="25"/>
          <w:b w:val="1"/>
          <w:bCs w:val="1"/>
          <w:color w:val="auto"/>
        </w:rPr>
        <w:t>Tuesday, May 26, 2026</w:t>
      </w:r>
    </w:p>
    <w:p>
      <w:pPr>
        <w:spacing w:after="0" w:line="10"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25"/>
          <w:szCs w:val="25"/>
          <w:b w:val="1"/>
          <w:bCs w:val="1"/>
          <w:color w:val="auto"/>
        </w:rPr>
        <w:t>at 11:00 am ET</w:t>
      </w:r>
    </w:p>
    <w:p>
      <w:pPr>
        <w:spacing w:after="0" w:line="10"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25"/>
          <w:szCs w:val="25"/>
          <w:b w:val="1"/>
          <w:bCs w:val="1"/>
          <w:color w:val="auto"/>
        </w:rPr>
        <w:t>via live audio webcast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Voting Items - For Informational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7101840" cy="2273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1840" cy="227330"/>
                    </a:xfrm>
                    <a:prstGeom prst="rect">
                      <a:avLst/>
                    </a:prstGeom>
                    <a:noFill/>
                  </pic:spPr>
                </pic:pic>
              </a:graphicData>
            </a:graphic>
          </wp:anchor>
        </w:drawing>
      </w:r>
    </w:p>
    <w:p>
      <w:pPr>
        <w:spacing w:after="0" w:line="2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following proposals are being considered at the upcoming 2026 Annual Meeting of Shareholders of Bel Fuse Inc. which will be held virtually over the internet on Tuesday, May 26, 2026 at 11:00 am Eastern Time at </w:t>
      </w:r>
      <w:r>
        <w:rPr>
          <w:rFonts w:ascii="Times New Roman" w:cs="Times New Roman" w:eastAsia="Times New Roman" w:hAnsi="Times New Roman"/>
          <w:sz w:val="22"/>
          <w:szCs w:val="22"/>
          <w:b w:val="1"/>
          <w:bCs w:val="1"/>
          <w:color w:val="auto"/>
        </w:rPr>
        <w:t>https://www.cstproxy.com/belfuse/2026</w:t>
      </w:r>
      <w:r>
        <w:rPr>
          <w:rFonts w:ascii="Times New Roman" w:cs="Times New Roman" w:eastAsia="Times New Roman" w:hAnsi="Times New Roman"/>
          <w:sz w:val="22"/>
          <w:szCs w:val="22"/>
          <w:color w:val="auto"/>
        </w:rPr>
        <w:t>. This information is being provided for informational purposes only.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Proposals to be considered at the Annual Meeting:</w:t>
      </w:r>
    </w:p>
    <w:p>
      <w:pPr>
        <w:spacing w:after="0" w:line="44" w:lineRule="exact"/>
        <w:rPr>
          <w:sz w:val="20"/>
          <w:szCs w:val="20"/>
          <w:color w:val="auto"/>
        </w:rPr>
      </w:pPr>
    </w:p>
    <w:p>
      <w:pPr>
        <w:ind w:left="560" w:hanging="309"/>
        <w:spacing w:after="0"/>
        <w:tabs>
          <w:tab w:leader="none" w:pos="5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elect two directors for three-year terms (Rita smith and Jacqueline Brito) as described in the Proxy Statement;</w:t>
      </w:r>
    </w:p>
    <w:p>
      <w:pPr>
        <w:spacing w:after="0" w:line="44" w:lineRule="exact"/>
        <w:rPr>
          <w:rFonts w:ascii="Times New Roman" w:cs="Times New Roman" w:eastAsia="Times New Roman" w:hAnsi="Times New Roman"/>
          <w:sz w:val="22"/>
          <w:szCs w:val="22"/>
          <w:color w:val="auto"/>
        </w:rPr>
      </w:pPr>
    </w:p>
    <w:p>
      <w:pPr>
        <w:ind w:left="560" w:hanging="309"/>
        <w:spacing w:after="0"/>
        <w:tabs>
          <w:tab w:leader="none" w:pos="5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ratify the designation of Deloitte &amp; Touche LLP as Bel’s independent registered public accounting firm for 2026;</w:t>
      </w:r>
    </w:p>
    <w:p>
      <w:pPr>
        <w:spacing w:after="0" w:line="44" w:lineRule="exact"/>
        <w:rPr>
          <w:rFonts w:ascii="Times New Roman" w:cs="Times New Roman" w:eastAsia="Times New Roman" w:hAnsi="Times New Roman"/>
          <w:sz w:val="22"/>
          <w:szCs w:val="22"/>
          <w:color w:val="auto"/>
        </w:rPr>
      </w:pPr>
    </w:p>
    <w:p>
      <w:pPr>
        <w:ind w:left="560" w:hanging="309"/>
        <w:spacing w:after="0" w:line="256" w:lineRule="auto"/>
        <w:tabs>
          <w:tab w:leader="none" w:pos="5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on an advisory basis, the executive compensation of the Company's named executive officers as described in the Proxy Statement;</w:t>
      </w:r>
    </w:p>
    <w:p>
      <w:pPr>
        <w:ind w:left="560" w:hanging="309"/>
        <w:spacing w:after="0"/>
        <w:tabs>
          <w:tab w:leader="none" w:pos="5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the Bel Fuse Inc. 2026 Equity Compensation Plan;</w:t>
      </w:r>
    </w:p>
    <w:p>
      <w:pPr>
        <w:spacing w:after="0" w:line="44" w:lineRule="exact"/>
        <w:rPr>
          <w:rFonts w:ascii="Times New Roman" w:cs="Times New Roman" w:eastAsia="Times New Roman" w:hAnsi="Times New Roman"/>
          <w:sz w:val="22"/>
          <w:szCs w:val="22"/>
          <w:color w:val="auto"/>
        </w:rPr>
      </w:pPr>
    </w:p>
    <w:p>
      <w:pPr>
        <w:ind w:left="560" w:right="320" w:hanging="309"/>
        <w:spacing w:after="0" w:line="256" w:lineRule="auto"/>
        <w:tabs>
          <w:tab w:leader="none" w:pos="5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vote on a shareholder proposal described in the accompanying Proxy Statement, if properly presented at the Annual Meeting; and</w:t>
      </w:r>
    </w:p>
    <w:p>
      <w:pPr>
        <w:ind w:left="560" w:hanging="309"/>
        <w:spacing w:after="0" w:line="258" w:lineRule="auto"/>
        <w:tabs>
          <w:tab w:leader="none" w:pos="5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address such other matters as may properly come before the 2026 annual meeting or any adjournment(s) or postponement(s)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4624070</wp:posOffset>
            </wp:positionH>
            <wp:positionV relativeFrom="paragraph">
              <wp:posOffset>41275</wp:posOffset>
            </wp:positionV>
            <wp:extent cx="2472690" cy="175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2690" cy="175260"/>
                    </a:xfrm>
                    <a:prstGeom prst="rect">
                      <a:avLst/>
                    </a:prstGeom>
                    <a:noFill/>
                  </pic:spPr>
                </pic:pic>
              </a:graphicData>
            </a:graphic>
          </wp:anchor>
        </w:drawing>
      </w:r>
    </w:p>
    <w:p>
      <w:pPr>
        <w:spacing w:after="0" w:line="329" w:lineRule="exact"/>
        <w:rPr>
          <w:sz w:val="20"/>
          <w:szCs w:val="20"/>
          <w:color w:val="auto"/>
        </w:rPr>
      </w:pPr>
    </w:p>
    <w:p>
      <w:pPr>
        <w:jc w:val="center"/>
        <w:ind w:right="4240"/>
        <w:spacing w:after="0"/>
        <w:rPr>
          <w:sz w:val="20"/>
          <w:szCs w:val="20"/>
          <w:color w:val="auto"/>
        </w:rPr>
      </w:pPr>
      <w:r>
        <w:rPr>
          <w:rFonts w:ascii="Times New Roman" w:cs="Times New Roman" w:eastAsia="Times New Roman" w:hAnsi="Times New Roman"/>
          <w:sz w:val="25"/>
          <w:szCs w:val="25"/>
          <w:b w:val="1"/>
          <w:bCs w:val="1"/>
          <w:color w:val="auto"/>
        </w:rPr>
        <w:t>The Proxy Materials are available for review at:</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5"/>
          <w:szCs w:val="25"/>
          <w:b w:val="1"/>
          <w:bCs w:val="1"/>
          <w:color w:val="auto"/>
        </w:rPr>
        <w:t>https://www.cstproxy.com/belfuse/2026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388620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651"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BEL FUSE INC.</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300 Executive Drive, Suite 300</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West Orange, NJ 07052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Important Notice Regarding the Availability of Proxy Materials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 the Shareholder Meeting to be Held On Tuesday, May 26,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following Proxy Materials are available to you to review at: </w:t>
      </w:r>
      <w:r>
        <w:rPr>
          <w:rFonts w:ascii="Times New Roman" w:cs="Times New Roman" w:eastAsia="Times New Roman" w:hAnsi="Times New Roman"/>
          <w:sz w:val="22"/>
          <w:szCs w:val="22"/>
          <w:b w:val="1"/>
          <w:bCs w:val="1"/>
          <w:color w:val="auto"/>
        </w:rPr>
        <w:t>https://www.cstproxy.com/belfuse/2026</w:t>
      </w:r>
    </w:p>
    <w:p>
      <w:pPr>
        <w:spacing w:after="0" w:line="278" w:lineRule="exact"/>
        <w:rPr>
          <w:sz w:val="20"/>
          <w:szCs w:val="20"/>
          <w:color w:val="auto"/>
        </w:rPr>
      </w:pPr>
    </w:p>
    <w:p>
      <w:pPr>
        <w:ind w:left="800" w:hanging="414"/>
        <w:spacing w:after="0"/>
        <w:tabs>
          <w:tab w:leader="none" w:pos="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Annual Report for the year ended December 31, 2025</w:t>
      </w:r>
    </w:p>
    <w:p>
      <w:pPr>
        <w:spacing w:after="0" w:line="44" w:lineRule="exact"/>
        <w:rPr>
          <w:rFonts w:ascii="Times New Roman" w:cs="Times New Roman" w:eastAsia="Times New Roman" w:hAnsi="Times New Roman"/>
          <w:sz w:val="22"/>
          <w:szCs w:val="22"/>
          <w:color w:val="auto"/>
        </w:rPr>
      </w:pPr>
    </w:p>
    <w:p>
      <w:pPr>
        <w:ind w:left="800" w:hanging="414"/>
        <w:spacing w:after="0"/>
        <w:tabs>
          <w:tab w:leader="none" w:pos="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2026 Proxy Statement</w:t>
      </w:r>
    </w:p>
    <w:p>
      <w:pPr>
        <w:spacing w:after="0" w:line="44" w:lineRule="exact"/>
        <w:rPr>
          <w:rFonts w:ascii="Times New Roman" w:cs="Times New Roman" w:eastAsia="Times New Roman" w:hAnsi="Times New Roman"/>
          <w:sz w:val="22"/>
          <w:szCs w:val="22"/>
          <w:color w:val="auto"/>
        </w:rPr>
      </w:pPr>
    </w:p>
    <w:p>
      <w:pPr>
        <w:ind w:left="800" w:hanging="414"/>
        <w:spacing w:after="0"/>
        <w:tabs>
          <w:tab w:leader="none" w:pos="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Proxy Card (for informational purposes only)</w:t>
      </w:r>
    </w:p>
    <w:p>
      <w:pPr>
        <w:spacing w:after="0" w:line="44" w:lineRule="exact"/>
        <w:rPr>
          <w:rFonts w:ascii="Times New Roman" w:cs="Times New Roman" w:eastAsia="Times New Roman" w:hAnsi="Times New Roman"/>
          <w:sz w:val="22"/>
          <w:szCs w:val="22"/>
          <w:color w:val="auto"/>
        </w:rPr>
      </w:pPr>
    </w:p>
    <w:p>
      <w:pPr>
        <w:ind w:left="800" w:hanging="414"/>
        <w:spacing w:after="0"/>
        <w:tabs>
          <w:tab w:leader="none" w:pos="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amendments to the foregoing materials that are required to be furnished to shareholders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You are receiving this communication because you hold shares of Bel Fuse Inc. non-voting Class B common stock. </w:t>
      </w:r>
      <w:r>
        <w:rPr>
          <w:rFonts w:ascii="Times New Roman" w:cs="Times New Roman" w:eastAsia="Times New Roman" w:hAnsi="Times New Roman"/>
          <w:sz w:val="22"/>
          <w:szCs w:val="22"/>
          <w:b w:val="1"/>
          <w:bCs w:val="1"/>
          <w:color w:val="auto"/>
        </w:rPr>
        <w:t>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NOTICE WILL ENABLE YOU TO ACCESS BEL FUSE INC. PROXY MATERIALS FOR INFORMATIONAL PURPOSES ONLY. </w:t>
      </w:r>
      <w:r>
        <w:rPr>
          <w:rFonts w:ascii="Times New Roman" w:cs="Times New Roman" w:eastAsia="Times New Roman" w:hAnsi="Times New Roman"/>
          <w:sz w:val="22"/>
          <w:szCs w:val="22"/>
          <w:color w:val="auto"/>
        </w:rPr>
        <w:t>This communication presents only an overview of the more complete Proxy Materials that are available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on the Internet.</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you would like to receive a paper or e-mail copy of these documents, you must request one. There is no charge for such documents to be mailed to you. Please make your request for a copy as instructed below on or before May 15, 2026 to facilitate a timely delivery. You may also request that you receive paper copies of all future Proxy Materials from the Company.</w:t>
      </w:r>
    </w:p>
    <w:p>
      <w:pPr>
        <w:spacing w:after="0" w:line="200" w:lineRule="exact"/>
        <w:rPr>
          <w:sz w:val="20"/>
          <w:szCs w:val="20"/>
          <w:color w:val="auto"/>
        </w:rPr>
      </w:pPr>
    </w:p>
    <w:p>
      <w:pPr>
        <w:spacing w:after="0" w:line="239" w:lineRule="exact"/>
        <w:rPr>
          <w:sz w:val="20"/>
          <w:szCs w:val="20"/>
          <w:color w:val="auto"/>
        </w:rPr>
      </w:pPr>
    </w:p>
    <w:p>
      <w:pPr>
        <w:jc w:val="center"/>
        <w:ind w:left="400" w:right="940"/>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 xml:space="preserve">ACCESSING YOUR PROXY MATERIALS ONLINE </w:t>
      </w:r>
      <w:r>
        <w:rPr>
          <w:rFonts w:ascii="Times New Roman" w:cs="Times New Roman" w:eastAsia="Times New Roman" w:hAnsi="Times New Roman"/>
          <w:sz w:val="22"/>
          <w:szCs w:val="22"/>
          <w:b w:val="1"/>
          <w:bCs w:val="1"/>
          <w:color w:val="auto"/>
        </w:rPr>
        <w:t>Go to https://www.cstproxy.com/belfuse/2026 to view these materials online. You must reference your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-492760</wp:posOffset>
            </wp:positionV>
            <wp:extent cx="5987415" cy="655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7415" cy="6559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REQUESTING A PAPER OR E-MAIL COPY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-159385</wp:posOffset>
            </wp:positionV>
            <wp:extent cx="5987415" cy="15811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7415" cy="1581150"/>
                    </a:xfrm>
                    <a:prstGeom prst="rect">
                      <a:avLst/>
                    </a:prstGeom>
                    <a:noFill/>
                  </pic:spPr>
                </pic:pic>
              </a:graphicData>
            </a:graphic>
          </wp:anchor>
        </w:drawing>
      </w: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By telephone please call 1-888-266-6791, or</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By logging on to https://www.cstproxy.com/belfuse/2026 or</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By email at: proxy@continentalstock.com</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i w:val="1"/>
          <w:iCs w:val="1"/>
          <w:color w:val="auto"/>
        </w:rPr>
        <w:t>Please include the company name and your control number in the subject line.</w:t>
      </w:r>
    </w:p>
    <w:sectPr>
      <w:pgSz w:w="11900" w:h="16838" w:orient="portrait"/>
      <w:cols w:equalWidth="0" w:num="1">
        <w:col w:w="11240"/>
      </w:cols>
      <w:pgMar w:left="320" w:top="7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2026-04-10T13:55:59Z</dcterms:created>
  <dcterms:modified xsi:type="dcterms:W3CDTF">2026-04-10T13:55:59Z</dcterms:modified>
</cp:coreProperties>
</file>