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473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47319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Kozlovsky Suzanne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BEL FUSE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EXECUTIVE DRIVE,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BEL FUSE INC /NJ</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BELFB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85"/>
        <w:spacing w:after="0"/>
        <w:rPr>
          <w:sz w:val="20"/>
          <w:szCs w:val="20"/>
          <w:color w:val="auto"/>
        </w:rPr>
      </w:pPr>
      <w:r>
        <w:rPr>
          <w:rFonts w:ascii="Times New Roman" w:cs="Times New Roman" w:eastAsia="Times New Roman" w:hAnsi="Times New Roman"/>
          <w:sz w:val="17"/>
          <w:szCs w:val="17"/>
          <w:color w:val="0000FF"/>
        </w:rPr>
        <w:t>Global Head of People</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260" w:type="dxa"/>
            <w:vAlign w:val="bottom"/>
            <w:shd w:val="clear" w:color="auto" w:fill="9A9A9A"/>
          </w:tcPr>
          <w:p>
            <w:pPr>
              <w:spacing w:after="0"/>
              <w:rPr>
                <w:sz w:val="3"/>
                <w:szCs w:val="3"/>
                <w:color w:val="auto"/>
              </w:rPr>
            </w:pPr>
          </w:p>
        </w:tc>
        <w:tc>
          <w:tcPr>
            <w:tcW w:w="86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7"/>
            <w:vMerge w:val="continue"/>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WEST</w:t>
            </w:r>
          </w:p>
        </w:tc>
        <w:tc>
          <w:tcPr>
            <w:tcW w:w="560" w:type="dxa"/>
            <w:vAlign w:val="bottom"/>
          </w:tcPr>
          <w:p>
            <w:pPr>
              <w:spacing w:after="0"/>
              <w:rPr>
                <w:sz w:val="18"/>
                <w:szCs w:val="18"/>
                <w:color w:val="auto"/>
              </w:rPr>
            </w:pP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NJ</w:t>
            </w:r>
          </w:p>
        </w:tc>
        <w:tc>
          <w:tcPr>
            <w:tcW w:w="86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07052</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ORANGE</w:t>
            </w:r>
          </w:p>
        </w:tc>
        <w:tc>
          <w:tcPr>
            <w:tcW w:w="2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jc w:val="center"/>
              <w:ind w:left="1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jc w:val="center"/>
              <w:ind w:righ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center"/>
              <w:ind w:right="377"/>
              <w:spacing w:after="0" w:line="213" w:lineRule="exact"/>
              <w:rPr>
                <w:sz w:val="20"/>
                <w:szCs w:val="20"/>
                <w:color w:val="auto"/>
              </w:rPr>
            </w:pPr>
            <w:r>
              <w:rPr>
                <w:rFonts w:ascii="Times New Roman" w:cs="Times New Roman" w:eastAsia="Times New Roman" w:hAnsi="Times New Roman"/>
                <w:sz w:val="17"/>
                <w:szCs w:val="17"/>
                <w:color w:val="0000FF"/>
                <w:w w:val="89"/>
              </w:rPr>
              <w:t>492</w:t>
            </w:r>
            <w:r>
              <w:rPr>
                <w:rFonts w:ascii="Times New Roman" w:cs="Times New Roman" w:eastAsia="Times New Roman" w:hAnsi="Times New Roman"/>
                <w:sz w:val="22"/>
                <w:szCs w:val="22"/>
                <w:color w:val="008000"/>
                <w:w w:val="89"/>
                <w:vertAlign w:val="superscript"/>
              </w:rPr>
              <w:t>(1)</w:t>
            </w:r>
          </w:p>
        </w:tc>
        <w:tc>
          <w:tcPr>
            <w:tcW w:w="920" w:type="dxa"/>
            <w:vAlign w:val="bottom"/>
          </w:tcPr>
          <w:p>
            <w:pPr>
              <w:jc w:val="center"/>
              <w:ind w:right="49"/>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Borders>
              <w:bottom w:val="single" w:sz="8" w:color="2C2C2C"/>
            </w:tcBorders>
            <w:gridSpan w:val="5"/>
          </w:tcPr>
          <w:p>
            <w:pPr>
              <w:spacing w:after="0"/>
              <w:rPr>
                <w:sz w:val="5"/>
                <w:szCs w:val="5"/>
                <w:color w:val="auto"/>
              </w:rPr>
            </w:pPr>
          </w:p>
        </w:tc>
        <w:tc>
          <w:tcPr>
            <w:tcW w:w="136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740" w:type="dxa"/>
            <w:vAlign w:val="bottom"/>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06/01/2026</w:t>
            </w: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jc w:val="center"/>
              <w:ind w:right="378"/>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33</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266.98</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12,250</w:t>
            </w:r>
          </w:p>
        </w:tc>
        <w:tc>
          <w:tcPr>
            <w:tcW w:w="920" w:type="dxa"/>
            <w:vAlign w:val="bottom"/>
          </w:tcPr>
          <w:p>
            <w:pPr>
              <w:jc w:val="center"/>
              <w:ind w:right="4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06/01/2026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78"/>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269.68</w:t>
            </w:r>
            <w:r>
              <w:rPr>
                <w:rFonts w:ascii="Times New Roman" w:cs="Times New Roman" w:eastAsia="Times New Roman" w:hAnsi="Times New Roman"/>
                <w:sz w:val="22"/>
                <w:szCs w:val="22"/>
                <w:color w:val="008000"/>
                <w:w w:val="95"/>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12,158</w:t>
            </w:r>
          </w:p>
        </w:tc>
        <w:tc>
          <w:tcPr>
            <w:tcW w:w="920" w:type="dxa"/>
            <w:vAlign w:val="bottom"/>
            <w:tcBorders>
              <w:bottom w:val="single" w:sz="8" w:color="2C2C2C"/>
            </w:tcBorders>
          </w:tcPr>
          <w:p>
            <w:pPr>
              <w:jc w:val="center"/>
              <w:ind w:right="4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06/01/2026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78"/>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310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270.51</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11,848</w:t>
            </w:r>
          </w:p>
        </w:tc>
        <w:tc>
          <w:tcPr>
            <w:tcW w:w="920" w:type="dxa"/>
            <w:vAlign w:val="bottom"/>
            <w:tcBorders>
              <w:bottom w:val="single" w:sz="8" w:color="2C2C2C"/>
            </w:tcBorders>
          </w:tcPr>
          <w:p>
            <w:pPr>
              <w:jc w:val="center"/>
              <w:ind w:right="4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06/01/2026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78"/>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46</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271.56</w:t>
            </w:r>
            <w:r>
              <w:rPr>
                <w:rFonts w:ascii="Times New Roman" w:cs="Times New Roman" w:eastAsia="Times New Roman" w:hAnsi="Times New Roman"/>
                <w:sz w:val="22"/>
                <w:szCs w:val="22"/>
                <w:color w:val="008000"/>
                <w:w w:val="95"/>
                <w:vertAlign w:val="superscript"/>
              </w:rPr>
              <w:t>(4)</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11,802</w:t>
            </w:r>
          </w:p>
        </w:tc>
        <w:tc>
          <w:tcPr>
            <w:tcW w:w="920" w:type="dxa"/>
            <w:vAlign w:val="bottom"/>
            <w:tcBorders>
              <w:bottom w:val="single" w:sz="8" w:color="2C2C2C"/>
            </w:tcBorders>
          </w:tcPr>
          <w:p>
            <w:pPr>
              <w:jc w:val="center"/>
              <w:ind w:right="4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06/01/2026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78"/>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214</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272.42</w:t>
            </w:r>
            <w:r>
              <w:rPr>
                <w:rFonts w:ascii="Times New Roman" w:cs="Times New Roman" w:eastAsia="Times New Roman" w:hAnsi="Times New Roman"/>
                <w:sz w:val="22"/>
                <w:szCs w:val="22"/>
                <w:color w:val="008000"/>
                <w:w w:val="95"/>
                <w:vertAlign w:val="superscript"/>
              </w:rPr>
              <w:t>(5)</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11,588</w:t>
            </w:r>
          </w:p>
        </w:tc>
        <w:tc>
          <w:tcPr>
            <w:tcW w:w="920" w:type="dxa"/>
            <w:vAlign w:val="bottom"/>
            <w:tcBorders>
              <w:bottom w:val="single" w:sz="8" w:color="2C2C2C"/>
            </w:tcBorders>
          </w:tcPr>
          <w:p>
            <w:pPr>
              <w:jc w:val="center"/>
              <w:ind w:right="4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740" w:type="dxa"/>
            <w:vAlign w:val="bottom"/>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06/01/2026</w:t>
            </w: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jc w:val="center"/>
              <w:ind w:right="378"/>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36</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274.91</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11,552</w:t>
            </w:r>
          </w:p>
        </w:tc>
        <w:tc>
          <w:tcPr>
            <w:tcW w:w="920" w:type="dxa"/>
            <w:vAlign w:val="bottom"/>
          </w:tcPr>
          <w:p>
            <w:pPr>
              <w:jc w:val="center"/>
              <w:ind w:right="4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shares held in the 401(k) plan is estimated.</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price reported in Column 4 is a weighted average price. These shares were sold in multiple transactions at prices ranging from $268.95 to $269.95, inclusive. The reporting person undertakes to provide to Bel Fuse Inc. (the "Company"), any security holder of the Company, or the staff of the Securities and Exchange Commission, upon request, full information regarding the number of shares sold at each separate price within the range set forth in footnote (2) to this Form 4.</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price reported in Column 4 is a weighted average price. These shares were sold in multiple transactions at prices ranging from $270.01 to $270.89, inclusive. The reporting person undertakes to provide to Bel Fuse Inc. (the "Company"), any security holder of the Company, or the staff of the Securities and Exchange Commission, upon request, full information regarding the number of shares sold at each separate price within the range set forth in footnote (3) to this Form 4.</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price reported in Column 4 is a weighted average price. These shares were sold in multiple transactions at prices ranging from $271.09 to $271.72, inclusive. The reporting person undertakes to provide to Bel Fuse Inc. (the "Company"), any security holder of the Company, or the staff of the Securities and Exchange Commission, upon request, full information regarding the number of shares sold at each separate price within the range set forth in footnote (4) to this Form 4.</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price reported in Column 4 is a weighted average price. These shares were sold in multiple transactions at prices ranging from $272.335 to $272.78, inclusive. The reporting person undertakes to provide to Bel Fuse Inc. (the "Company"), any security holder of the Company, or the staff of the Securities and Exchange Commission, upon request, full information regarding the number of shares sold at each separate price within the range set forth in footnote (5) to this Form 4.</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Lynn Hutkin, as attorney-</w:t>
            </w:r>
          </w:p>
        </w:tc>
        <w:tc>
          <w:tcPr>
            <w:tcW w:w="16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06/03/2026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214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Suzanne Kozlovsky</w:t>
            </w:r>
          </w:p>
        </w:tc>
        <w:tc>
          <w:tcPr>
            <w:tcW w:w="20" w:type="dxa"/>
            <w:vAlign w:val="bottom"/>
            <w:vMerge w:val="restart"/>
          </w:tcPr>
          <w:p>
            <w:pPr>
              <w:spacing w:after="0"/>
              <w:rPr>
                <w:sz w:val="7"/>
                <w:szCs w:val="7"/>
                <w:color w:val="auto"/>
              </w:rPr>
            </w:pPr>
          </w:p>
        </w:tc>
        <w:tc>
          <w:tcPr>
            <w:tcW w:w="4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140" w:type="dxa"/>
            <w:vAlign w:val="bottom"/>
            <w:tcBorders>
              <w:bottom w:val="single" w:sz="8" w:color="auto"/>
            </w:tcBorders>
            <w:gridSpan w:val="2"/>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55919" TargetMode="External"/><Relationship Id="rId14" Type="http://schemas.openxmlformats.org/officeDocument/2006/relationships/hyperlink" Target="http://www.sec.gov/cgi-bin/browse-edgar?action=getcompany&amp;CIK=00007295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2026-06-03T14:12:14Z</dcterms:created>
  <dcterms:modified xsi:type="dcterms:W3CDTF">2026-06-03T14:12:14Z</dcterms:modified>
</cp:coreProperties>
</file>