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elfa20260331_10q.htm"/>
      <w:bookmarkStart w:id="1" w:name="ksbelfa20260331_10q"/>
      <w:bookmarkEnd w:id="0"/>
      <w:bookmarkEnd w:id="1"/>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pPr>
            <w:r>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230" w:type="dxa"/>
            <w:tcBorders/>
            <w:vAlign w:val="center"/>
          </w:tcPr>
          <w:p>
            <w:pPr>
              <w:pStyle w:val="TableContents"/>
              <w:bidi w:val="0"/>
              <w:spacing w:before="0" w:after="0"/>
              <w:ind w:left="0" w:right="0" w:hanging="0"/>
              <w:jc w:val="left"/>
              <w:rPr/>
            </w:pPr>
            <w:r>
              <w:rPr/>
              <w:t> </w:t>
            </w:r>
          </w:p>
        </w:tc>
        <w:tc>
          <w:tcPr>
            <w:tcW w:w="9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Quarterly Period Ended March 31, 2026</w:t>
            </w:r>
          </w:p>
        </w:tc>
      </w:tr>
      <w:tr>
        <w:trPr/>
        <w:tc>
          <w:tcPr>
            <w:tcW w:w="101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tc>
      </w:tr>
      <w:tr>
        <w:trPr/>
        <w:tc>
          <w:tcPr>
            <w:tcW w:w="230" w:type="dxa"/>
            <w:tcBorders/>
            <w:vAlign w:val="center"/>
          </w:tcPr>
          <w:p>
            <w:pPr>
              <w:pStyle w:val="TableContents"/>
              <w:bidi w:val="0"/>
              <w:spacing w:before="0" w:after="0"/>
              <w:ind w:left="0" w:right="0" w:hanging="0"/>
              <w:jc w:val="left"/>
              <w:rPr/>
            </w:pPr>
            <w:r>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230" w:type="dxa"/>
            <w:tcBorders/>
            <w:vAlign w:val="center"/>
          </w:tcPr>
          <w:p>
            <w:pPr>
              <w:pStyle w:val="TableContents"/>
              <w:bidi w:val="0"/>
              <w:spacing w:before="0" w:after="0"/>
              <w:ind w:left="0" w:right="0" w:hanging="0"/>
              <w:jc w:val="left"/>
              <w:rPr/>
            </w:pPr>
            <w:r>
              <w:rPr/>
              <w:t> </w:t>
            </w:r>
          </w:p>
        </w:tc>
        <w:tc>
          <w:tcPr>
            <w:tcW w:w="9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transition period from ___________ to ____________</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No. 000-11676</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BEL FUSE INC.</w:t>
      </w:r>
    </w:p>
    <w:p>
      <w:pPr>
        <w:pStyle w:val="TextBody"/>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ind w:left="0" w:right="0" w:hanging="0"/>
        <w:jc w:val="center"/>
        <w:rPr/>
      </w:pPr>
      <w:r>
        <w:rPr/>
        <w:t> </w:t>
      </w:r>
    </w:p>
    <w:tbl>
      <w:tblPr>
        <w:tblW w:w="4900" w:type="dxa"/>
        <w:jc w:val="left"/>
        <w:tblInd w:w="0" w:type="dxa"/>
        <w:tblLayout w:type="fixed"/>
        <w:tblCellMar>
          <w:top w:w="0" w:type="dxa"/>
          <w:left w:w="0" w:type="dxa"/>
          <w:bottom w:w="28" w:type="dxa"/>
          <w:right w:w="0" w:type="dxa"/>
        </w:tblCellMar>
      </w:tblPr>
      <w:tblGrid>
        <w:gridCol w:w="1925"/>
        <w:gridCol w:w="60"/>
        <w:gridCol w:w="2915"/>
      </w:tblGrid>
      <w:tr>
        <w:trPr/>
        <w:tc>
          <w:tcPr>
            <w:tcW w:w="19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Jersey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22-1463699</w:t>
            </w:r>
          </w:p>
        </w:tc>
      </w:tr>
      <w:tr>
        <w:trPr/>
        <w:tc>
          <w:tcPr>
            <w:tcW w:w="19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1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300 Executive Drive, Suite 300</w:t>
        <w:br/>
        <w:t>West Orange, NJ  07052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and zip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 (201) 432-0463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left"/>
        <w:rPr/>
      </w:pPr>
      <w:r>
        <w:rPr/>
        <w:t> </w:t>
      </w:r>
    </w:p>
    <w:tbl>
      <w:tblPr>
        <w:tblW w:w="8190" w:type="dxa"/>
        <w:jc w:val="left"/>
        <w:tblInd w:w="0" w:type="dxa"/>
        <w:tblLayout w:type="fixed"/>
        <w:tblCellMar>
          <w:top w:w="0" w:type="dxa"/>
          <w:left w:w="0" w:type="dxa"/>
          <w:bottom w:w="28" w:type="dxa"/>
          <w:right w:w="0" w:type="dxa"/>
        </w:tblCellMar>
      </w:tblPr>
      <w:tblGrid>
        <w:gridCol w:w="3380"/>
        <w:gridCol w:w="60"/>
        <w:gridCol w:w="1385"/>
        <w:gridCol w:w="60"/>
        <w:gridCol w:w="3305"/>
      </w:tblGrid>
      <w:tr>
        <w:trPr/>
        <w:tc>
          <w:tcPr>
            <w:tcW w:w="33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85" w:type="dxa"/>
            <w:tcBorders>
              <w:bottom w:val="single" w:sz="2" w:space="0" w:color="000000"/>
            </w:tcBorders>
            <w:vAlign w:val="center"/>
          </w:tcPr>
          <w:p>
            <w:pPr>
              <w:pStyle w:val="TableContents"/>
              <w:bidi w:val="0"/>
              <w:spacing w:before="0" w:after="0"/>
              <w:ind w:left="0" w:right="0" w:hanging="0"/>
              <w:jc w:val="center"/>
              <w:rPr/>
            </w:pPr>
            <w:r>
              <w:rPr/>
              <w:t> </w:t>
            </w:r>
            <w:r>
              <w:rPr>
                <w:rFonts w:ascii="Times New Roman;Times;serif" w:hAnsi="Times New Roman;Times;serif"/>
                <w:i/>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3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Name of Exchange on Which Registered</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($0.10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85" w:type="dxa"/>
            <w:tcBorders/>
            <w:tcMar>
              <w:bottom w:w="0"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BELFA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3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B Common Stock ($0.10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85" w:type="dxa"/>
            <w:tcBorders/>
            <w:tcMar>
              <w:bottom w:w="0"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BELFB</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3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486"/>
        <w:gridCol w:w="389"/>
        <w:gridCol w:w="330"/>
      </w:tblGrid>
      <w:tr>
        <w:trPr/>
        <w:tc>
          <w:tcPr>
            <w:tcW w:w="9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w:t>
            </w:r>
          </w:p>
        </w:tc>
        <w:tc>
          <w:tcPr>
            <w:tcW w:w="3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 ☐</w:t>
            </w:r>
          </w:p>
        </w:tc>
      </w:tr>
      <w:tr>
        <w:trPr/>
        <w:tc>
          <w:tcPr>
            <w:tcW w:w="9486"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pPr>
            <w:r>
              <w:rPr/>
              <w:t> </w:t>
            </w:r>
          </w:p>
        </w:tc>
      </w:tr>
      <w:tr>
        <w:trPr/>
        <w:tc>
          <w:tcPr>
            <w:tcW w:w="9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w:t>
            </w:r>
          </w:p>
        </w:tc>
        <w:tc>
          <w:tcPr>
            <w:tcW w:w="3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 ☐</w:t>
            </w:r>
          </w:p>
        </w:tc>
      </w:tr>
      <w:tr>
        <w:trPr/>
        <w:tc>
          <w:tcPr>
            <w:tcW w:w="9486"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pPr>
            <w:r>
              <w:rPr/>
              <w:t> </w:t>
            </w:r>
          </w:p>
        </w:tc>
      </w:tr>
      <w:tr>
        <w:trPr/>
        <w:tc>
          <w:tcPr>
            <w:tcW w:w="1020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bl>
    <w:p>
      <w:pPr>
        <w:pStyle w:val="TextBody"/>
        <w:bidi w:val="0"/>
        <w:spacing w:before="0" w:after="0"/>
        <w:ind w:left="0" w:right="0" w:hanging="0"/>
        <w:jc w:val="left"/>
        <w:rPr/>
      </w:pPr>
      <w:r>
        <w:rPr/>
        <w:t> </w:t>
      </w:r>
    </w:p>
    <w:tbl>
      <w:tblPr>
        <w:tblW w:w="6655" w:type="dxa"/>
        <w:jc w:val="left"/>
        <w:tblInd w:w="0" w:type="dxa"/>
        <w:tblLayout w:type="fixed"/>
        <w:tblCellMar>
          <w:top w:w="0" w:type="dxa"/>
          <w:left w:w="0" w:type="dxa"/>
          <w:bottom w:w="0" w:type="dxa"/>
          <w:right w:w="0" w:type="dxa"/>
        </w:tblCellMar>
      </w:tblPr>
      <w:tblGrid>
        <w:gridCol w:w="1460"/>
        <w:gridCol w:w="980"/>
        <w:gridCol w:w="1340"/>
        <w:gridCol w:w="1430"/>
        <w:gridCol w:w="1445"/>
      </w:tblGrid>
      <w:tr>
        <w:trPr/>
        <w:tc>
          <w:tcPr>
            <w:tcW w:w="14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filer</w:t>
            </w:r>
          </w:p>
          <w:p>
            <w:pPr>
              <w:pStyle w:val="TableContents"/>
              <w:bidi w:val="0"/>
              <w:spacing w:before="0" w:after="0"/>
              <w:ind w:left="0" w:right="0" w:hanging="0"/>
              <w:jc w:val="center"/>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filer ☐</w:t>
            </w:r>
          </w:p>
        </w:tc>
        <w:tc>
          <w:tcPr>
            <w:tcW w:w="13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filer ☐</w:t>
            </w:r>
          </w:p>
        </w:tc>
        <w:tc>
          <w:tcPr>
            <w:tcW w:w="14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company ☐</w:t>
            </w:r>
          </w:p>
        </w:tc>
        <w:tc>
          <w:tcPr>
            <w:tcW w:w="1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company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15"/>
        <w:gridCol w:w="230"/>
        <w:gridCol w:w="60"/>
      </w:tblGrid>
      <w:tr>
        <w:trPr/>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117"/>
        <w:gridCol w:w="543"/>
        <w:gridCol w:w="545"/>
      </w:tblGrid>
      <w:tr>
        <w:trPr/>
        <w:tc>
          <w:tcPr>
            <w:tcW w:w="9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w:t>
            </w:r>
          </w:p>
        </w:tc>
        <w:tc>
          <w:tcPr>
            <w:tcW w:w="545" w:type="dxa"/>
            <w:tcBorders/>
            <w:vAlign w:val="center"/>
          </w:tcPr>
          <w:p>
            <w:pPr>
              <w:pStyle w:val="TableContents"/>
              <w:bidi w:val="0"/>
              <w:spacing w:before="0" w:after="0"/>
              <w:ind w:left="0" w:right="0" w:hanging="0"/>
              <w:jc w:val="right"/>
              <w:rPr/>
            </w:pPr>
            <w:r>
              <w:rPr/>
              <w:t> </w:t>
            </w:r>
            <w:r>
              <w:rPr>
                <w:rFonts w:ascii="Times New Roman;Times;serif" w:hAnsi="Times New Roman;Times;serif"/>
                <w:sz w:val="20"/>
              </w:rPr>
              <w:t>No ☒</w:t>
            </w:r>
          </w:p>
        </w:tc>
      </w:tr>
    </w:tbl>
    <w:p>
      <w:pPr>
        <w:pStyle w:val="TextBody"/>
        <w:bidi w:val="0"/>
        <w:spacing w:before="0" w:after="0"/>
        <w:ind w:left="0" w:right="0" w:hanging="0"/>
        <w:jc w:val="left"/>
        <w:rPr/>
      </w:pPr>
      <w:r>
        <w:rPr/>
        <w:t> </w:t>
      </w:r>
    </w:p>
    <w:tbl>
      <w:tblPr>
        <w:tblW w:w="7465" w:type="dxa"/>
        <w:jc w:val="left"/>
        <w:tblInd w:w="0" w:type="dxa"/>
        <w:tblLayout w:type="fixed"/>
        <w:tblCellMar>
          <w:top w:w="0" w:type="dxa"/>
          <w:left w:w="0" w:type="dxa"/>
          <w:bottom w:w="28" w:type="dxa"/>
          <w:right w:w="0" w:type="dxa"/>
        </w:tblCellMar>
      </w:tblPr>
      <w:tblGrid>
        <w:gridCol w:w="3380"/>
        <w:gridCol w:w="60"/>
        <w:gridCol w:w="4025"/>
      </w:tblGrid>
      <w:tr>
        <w:trPr/>
        <w:tc>
          <w:tcPr>
            <w:tcW w:w="33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i/>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0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Number of Shares of Common Stock Outstanding</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as </w:t>
            </w:r>
            <w:r>
              <w:rPr>
                <w:rFonts w:ascii="Times New Roman;Times;serif" w:hAnsi="Times New Roman;Times;serif"/>
                <w:i/>
                <w:color w:val="000000"/>
                <w:sz w:val="20"/>
              </w:rPr>
              <w:t>of  April 30, 2026</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($0.10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0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2,115,263</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B Common Stock ($0.10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0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10,607,444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110" w:type="dxa"/>
        <w:jc w:val="left"/>
        <w:tblInd w:w="0" w:type="dxa"/>
        <w:tblLayout w:type="fixed"/>
        <w:tblCellMar>
          <w:top w:w="0" w:type="dxa"/>
          <w:left w:w="0" w:type="dxa"/>
          <w:bottom w:w="0" w:type="dxa"/>
          <w:right w:w="0" w:type="dxa"/>
        </w:tblCellMar>
      </w:tblPr>
      <w:tblGrid>
        <w:gridCol w:w="3110"/>
      </w:tblGrid>
      <w:tr>
        <w:trPr/>
        <w:tc>
          <w:tcPr>
            <w:tcW w:w="3110" w:type="dxa"/>
            <w:tcBorders/>
            <w:vAlign w:val="center"/>
          </w:tcPr>
          <w:p>
            <w:pPr>
              <w:pStyle w:val="TableContents"/>
              <w:bidi w:val="0"/>
              <w:spacing w:before="0" w:after="0"/>
              <w:ind w:left="0" w:right="0" w:hanging="0"/>
              <w:jc w:val="center"/>
              <w:rPr>
                <w:rFonts w:ascii="Times New Roman;Times;serif" w:hAnsi="Times New Roman;Times;serif"/>
                <w:sz w:val="20"/>
              </w:rPr>
            </w:pPr>
            <w:bookmarkStart w:id="2" w:name="toc"/>
            <w:bookmarkEnd w:id="2"/>
            <w:r>
              <w:rPr>
                <w:rFonts w:ascii="Times New Roman;Times;serif" w:hAnsi="Times New Roman;Times;serif"/>
                <w:sz w:val="20"/>
              </w:rPr>
              <w:t>BEL FUSE INC. AND SUBSIDIARIES</w:t>
            </w:r>
          </w:p>
        </w:tc>
      </w:tr>
      <w:tr>
        <w:trPr/>
        <w:tc>
          <w:tcPr>
            <w:tcW w:w="3110" w:type="dxa"/>
            <w:tcBorders/>
            <w:vAlign w:val="center"/>
          </w:tcPr>
          <w:p>
            <w:pPr>
              <w:pStyle w:val="TableContents"/>
              <w:bidi w:val="0"/>
              <w:spacing w:before="0" w:after="0"/>
              <w:ind w:left="0" w:right="0" w:hanging="0"/>
              <w:jc w:val="left"/>
              <w:rPr/>
            </w:pPr>
            <w:r>
              <w:rPr/>
              <w:t> </w:t>
            </w:r>
          </w:p>
        </w:tc>
      </w:tr>
      <w:tr>
        <w:trPr/>
        <w:tc>
          <w:tcPr>
            <w:tcW w:w="31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 INDEX</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26"/>
        <w:gridCol w:w="875"/>
        <w:gridCol w:w="8313"/>
        <w:gridCol w:w="591"/>
      </w:tblGrid>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4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Information</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313"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Financial Statements (unaudited)</w:t>
              </w:r>
            </w:hyperlink>
          </w:p>
        </w:tc>
        <w:tc>
          <w:tcPr>
            <w:tcW w:w="591" w:type="dxa"/>
            <w:tcBorders/>
            <w:vAlign w:val="center"/>
          </w:tcPr>
          <w:p>
            <w:pPr>
              <w:pStyle w:val="TableContents"/>
              <w:bidi w:val="0"/>
              <w:spacing w:before="0" w:after="0"/>
              <w:ind w:left="0" w:right="0" w:hanging="0"/>
              <w:jc w:val="center"/>
              <w:rPr/>
            </w:pPr>
            <w:hyperlink w:anchor="item1">
              <w:r>
                <w:rPr>
                  <w:rStyle w:val="InternetLink"/>
                  <w:rFonts w:ascii="Times New Roman;Times;serif" w:hAnsi="Times New Roman;Times;serif"/>
                  <w:sz w:val="20"/>
                </w:rPr>
                <w:t>2</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hyperlink w:anchor="bs">
              <w:r>
                <w:rPr>
                  <w:rStyle w:val="InternetLink"/>
                  <w:rFonts w:ascii="Times New Roman;Times;serif" w:hAnsi="Times New Roman;Times;serif"/>
                  <w:sz w:val="20"/>
                </w:rPr>
                <w:t xml:space="preserve">Condensed Consolidated Balance Sheets (unaudited) as of </w:t>
              </w:r>
            </w:hyperlink>
            <w:hyperlink w:anchor="bs">
              <w:r>
                <w:rPr>
                  <w:rStyle w:val="InternetLink"/>
                  <w:rFonts w:ascii="Times New Roman;Times;serif" w:hAnsi="Times New Roman;Times;serif"/>
                  <w:sz w:val="20"/>
                </w:rPr>
                <w:t>March 31, 2026 </w:t>
              </w:r>
            </w:hyperlink>
            <w:hyperlink w:anchor="bs">
              <w:r>
                <w:rPr>
                  <w:rStyle w:val="InternetLink"/>
                  <w:rFonts w:ascii="Times New Roman;Times;serif" w:hAnsi="Times New Roman;Times;serif"/>
                  <w:sz w:val="20"/>
                </w:rPr>
                <w:t>and </w:t>
              </w:r>
            </w:hyperlink>
            <w:hyperlink w:anchor="bs">
              <w:r>
                <w:rPr>
                  <w:rStyle w:val="InternetLink"/>
                  <w:rFonts w:ascii="Times New Roman;Times;serif" w:hAnsi="Times New Roman;Times;serif"/>
                  <w:sz w:val="20"/>
                </w:rPr>
                <w:t>December 31, 2025</w:t>
              </w:r>
            </w:hyperlink>
          </w:p>
        </w:tc>
        <w:tc>
          <w:tcPr>
            <w:tcW w:w="591" w:type="dxa"/>
            <w:tcBorders/>
            <w:vAlign w:val="center"/>
          </w:tcPr>
          <w:p>
            <w:pPr>
              <w:pStyle w:val="TableContents"/>
              <w:bidi w:val="0"/>
              <w:spacing w:before="0" w:after="0"/>
              <w:ind w:left="0" w:right="0" w:hanging="0"/>
              <w:jc w:val="center"/>
              <w:rPr/>
            </w:pPr>
            <w:hyperlink w:anchor="bs">
              <w:r>
                <w:rPr>
                  <w:rStyle w:val="InternetLink"/>
                  <w:rFonts w:ascii="Times New Roman;Times;serif" w:hAnsi="Times New Roman;Times;serif"/>
                  <w:sz w:val="20"/>
                </w:rPr>
                <w:t>2</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hyperlink w:anchor="ops">
              <w:r>
                <w:rPr>
                  <w:rStyle w:val="InternetLink"/>
                  <w:rFonts w:ascii="Times New Roman;Times;serif" w:hAnsi="Times New Roman;Times;serif"/>
                  <w:sz w:val="20"/>
                </w:rPr>
                <w:t>Condensed Consolidated Statements of Operations (unaudited) for the Three Months Ended March 31, 2026 and 2025</w:t>
              </w:r>
            </w:hyperlink>
          </w:p>
        </w:tc>
        <w:tc>
          <w:tcPr>
            <w:tcW w:w="591" w:type="dxa"/>
            <w:tcBorders/>
            <w:vAlign w:val="center"/>
          </w:tcPr>
          <w:p>
            <w:pPr>
              <w:pStyle w:val="TableContents"/>
              <w:bidi w:val="0"/>
              <w:spacing w:before="0" w:after="0"/>
              <w:ind w:left="0" w:right="0" w:hanging="0"/>
              <w:jc w:val="center"/>
              <w:rPr/>
            </w:pPr>
            <w:hyperlink w:anchor="ops">
              <w:r>
                <w:rPr>
                  <w:rStyle w:val="InternetLink"/>
                  <w:rFonts w:ascii="Times New Roman;Times;serif" w:hAnsi="Times New Roman;Times;serif"/>
                  <w:sz w:val="20"/>
                </w:rPr>
                <w:t>3</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hyperlink w:anchor="income">
              <w:r>
                <w:rPr>
                  <w:rStyle w:val="InternetLink"/>
                  <w:rFonts w:ascii="Times New Roman;Times;serif" w:hAnsi="Times New Roman;Times;serif"/>
                  <w:sz w:val="20"/>
                </w:rPr>
                <w:t>Condensed Consolidated Statements of Comprehensive Income (unaudited) for the Three Months Ended March 31, 2026 and 2025</w:t>
              </w:r>
            </w:hyperlink>
          </w:p>
        </w:tc>
        <w:tc>
          <w:tcPr>
            <w:tcW w:w="591" w:type="dxa"/>
            <w:tcBorders/>
            <w:vAlign w:val="center"/>
          </w:tcPr>
          <w:p>
            <w:pPr>
              <w:pStyle w:val="TableContents"/>
              <w:bidi w:val="0"/>
              <w:spacing w:before="0" w:after="0"/>
              <w:ind w:left="0" w:right="0" w:hanging="0"/>
              <w:jc w:val="center"/>
              <w:rPr/>
            </w:pPr>
            <w:hyperlink w:anchor="income">
              <w:r>
                <w:rPr>
                  <w:rStyle w:val="InternetLink"/>
                  <w:rFonts w:ascii="Times New Roman;Times;serif" w:hAnsi="Times New Roman;Times;serif"/>
                  <w:sz w:val="20"/>
                </w:rPr>
                <w:t>4</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hyperlink w:anchor="equity">
              <w:r>
                <w:rPr>
                  <w:rStyle w:val="InternetLink"/>
                  <w:rFonts w:ascii="Times New Roman;Times;serif" w:hAnsi="Times New Roman;Times;serif"/>
                  <w:sz w:val="20"/>
                </w:rPr>
                <w:t>Condensed Consolidated Statements of Shareholders' Equity and Redeemable Noncontrolling Interest (unaudited) for the Three Months Ended March 31, 2026 and 2025</w:t>
              </w:r>
            </w:hyperlink>
          </w:p>
        </w:tc>
        <w:tc>
          <w:tcPr>
            <w:tcW w:w="591" w:type="dxa"/>
            <w:tcBorders/>
            <w:vAlign w:val="center"/>
          </w:tcPr>
          <w:p>
            <w:pPr>
              <w:pStyle w:val="TableContents"/>
              <w:bidi w:val="0"/>
              <w:spacing w:before="0" w:after="0"/>
              <w:ind w:left="0" w:right="0" w:hanging="0"/>
              <w:jc w:val="center"/>
              <w:rPr/>
            </w:pPr>
            <w:hyperlink w:anchor="equity">
              <w:r>
                <w:rPr>
                  <w:rStyle w:val="InternetLink"/>
                  <w:rFonts w:ascii="Times New Roman;Times;serif" w:hAnsi="Times New Roman;Times;serif"/>
                  <w:sz w:val="20"/>
                </w:rPr>
                <w:t>5</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hyperlink w:anchor="cashflow">
              <w:r>
                <w:rPr>
                  <w:rStyle w:val="InternetLink"/>
                  <w:rFonts w:ascii="Times New Roman;Times;serif" w:hAnsi="Times New Roman;Times;serif"/>
                  <w:sz w:val="20"/>
                </w:rPr>
                <w:t>Condensed Consolidated Statements of Cash Flows (unaudited) for the Three Months Ended March 31, 2026 and 2025</w:t>
              </w:r>
            </w:hyperlink>
          </w:p>
        </w:tc>
        <w:tc>
          <w:tcPr>
            <w:tcW w:w="591" w:type="dxa"/>
            <w:tcBorders/>
            <w:vAlign w:val="center"/>
          </w:tcPr>
          <w:p>
            <w:pPr>
              <w:pStyle w:val="TableContents"/>
              <w:bidi w:val="0"/>
              <w:spacing w:before="0" w:after="0"/>
              <w:ind w:left="0" w:right="0" w:hanging="0"/>
              <w:jc w:val="center"/>
              <w:rPr/>
            </w:pPr>
            <w:hyperlink w:anchor="cashflow">
              <w:r>
                <w:rPr>
                  <w:rStyle w:val="InternetLink"/>
                  <w:rFonts w:ascii="Times New Roman;Times;serif" w:hAnsi="Times New Roman;Times;serif"/>
                  <w:sz w:val="20"/>
                </w:rPr>
                <w:t>6</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Condensed Consolidated Financial Statements (unaudited)</w:t>
              </w:r>
            </w:hyperlink>
          </w:p>
        </w:tc>
        <w:tc>
          <w:tcPr>
            <w:tcW w:w="591" w:type="dxa"/>
            <w:tcBorders/>
            <w:vAlign w:val="center"/>
          </w:tcPr>
          <w:p>
            <w:pPr>
              <w:pStyle w:val="TableContents"/>
              <w:bidi w:val="0"/>
              <w:spacing w:before="0" w:after="0"/>
              <w:ind w:left="0" w:right="0" w:hanging="0"/>
              <w:jc w:val="center"/>
              <w:rPr/>
            </w:pPr>
            <w:hyperlink w:anchor="notes">
              <w:r>
                <w:rPr>
                  <w:rStyle w:val="InternetLink"/>
                  <w:rFonts w:ascii="Times New Roman;Times;serif" w:hAnsi="Times New Roman;Times;serif"/>
                  <w:sz w:val="20"/>
                </w:rPr>
                <w:t>7</w:t>
              </w:r>
            </w:hyperlink>
            <w:r>
              <w:rPr>
                <w:rFonts w:ascii="Times New Roman;Times;serif" w:hAnsi="Times New Roman;Times;serif"/>
                <w:color w:val="FF0000"/>
                <w:sz w:val="20"/>
              </w:rPr>
              <w:t> </w:t>
            </w:r>
            <w:r>
              <w:rPr>
                <w:rFonts w:ascii="Times New Roman;Times;serif" w:hAnsi="Times New Roman;Times;serif"/>
                <w:color w:val="000000"/>
                <w:sz w:val="20"/>
              </w:rPr>
              <w:t>- </w:t>
            </w:r>
            <w:hyperlink w:anchor="notesend">
              <w:r>
                <w:rPr>
                  <w:rStyle w:val="InternetLink"/>
                  <w:rFonts w:ascii="Times New Roman;Times;serif" w:hAnsi="Times New Roman;Times;serif"/>
                  <w:color w:val="000080"/>
                  <w:sz w:val="20"/>
                </w:rPr>
                <w:t>22</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8313"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591" w:type="dxa"/>
            <w:tcBorders/>
            <w:vAlign w:val="center"/>
          </w:tcPr>
          <w:p>
            <w:pPr>
              <w:pStyle w:val="TableContents"/>
              <w:bidi w:val="0"/>
              <w:spacing w:before="0" w:after="0"/>
              <w:ind w:left="0" w:right="0" w:hanging="0"/>
              <w:jc w:val="center"/>
              <w:rPr/>
            </w:pPr>
            <w:hyperlink w:anchor="item2">
              <w:r>
                <w:rPr>
                  <w:rStyle w:val="InternetLink"/>
                  <w:rFonts w:ascii="Times New Roman;Times;serif" w:hAnsi="Times New Roman;Times;serif"/>
                  <w:sz w:val="20"/>
                </w:rPr>
                <w:t>24</w:t>
              </w:r>
            </w:hyperlink>
            <w:r>
              <w:rPr>
                <w:rFonts w:ascii="Times New Roman;Times;serif" w:hAnsi="Times New Roman;Times;serif"/>
                <w:color w:val="FF0000"/>
                <w:sz w:val="20"/>
              </w:rPr>
              <w:t> </w:t>
            </w:r>
            <w:r>
              <w:rPr>
                <w:rFonts w:ascii="Times New Roman;Times;serif" w:hAnsi="Times New Roman;Times;serif"/>
                <w:color w:val="000000"/>
                <w:sz w:val="20"/>
              </w:rPr>
              <w:t>- </w:t>
            </w:r>
            <w:hyperlink w:anchor="mdaend">
              <w:r>
                <w:rPr>
                  <w:rStyle w:val="InternetLink"/>
                  <w:rFonts w:ascii="Times New Roman;Times;serif" w:hAnsi="Times New Roman;Times;serif"/>
                  <w:color w:val="000080"/>
                  <w:sz w:val="20"/>
                </w:rPr>
                <w:t>31</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8313"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591" w:type="dxa"/>
            <w:tcBorders/>
            <w:vAlign w:val="center"/>
          </w:tcPr>
          <w:p>
            <w:pPr>
              <w:pStyle w:val="TableContents"/>
              <w:bidi w:val="0"/>
              <w:spacing w:before="0" w:after="0"/>
              <w:ind w:left="0" w:right="0" w:hanging="0"/>
              <w:jc w:val="center"/>
              <w:rPr/>
            </w:pPr>
            <w:hyperlink w:anchor="item3">
              <w:r>
                <w:rPr>
                  <w:rStyle w:val="InternetLink"/>
                  <w:rFonts w:ascii="Times New Roman;Times;serif" w:hAnsi="Times New Roman;Times;serif"/>
                  <w:sz w:val="20"/>
                </w:rPr>
                <w:t>31</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8313"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591" w:type="dxa"/>
            <w:tcBorders/>
            <w:vAlign w:val="center"/>
          </w:tcPr>
          <w:p>
            <w:pPr>
              <w:pStyle w:val="TableContents"/>
              <w:bidi w:val="0"/>
              <w:spacing w:before="0" w:after="0"/>
              <w:ind w:left="0" w:right="0" w:hanging="0"/>
              <w:jc w:val="center"/>
              <w:rPr/>
            </w:pPr>
            <w:hyperlink w:anchor="item4">
              <w:r>
                <w:rPr>
                  <w:rStyle w:val="InternetLink"/>
                  <w:rFonts w:ascii="Times New Roman;Times;serif" w:hAnsi="Times New Roman;Times;serif"/>
                  <w:sz w:val="20"/>
                </w:rPr>
                <w:t>31</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II</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313"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sz w:val="20"/>
                </w:rPr>
                <w:t>Legal Proceedings</w:t>
              </w:r>
            </w:hyperlink>
          </w:p>
        </w:tc>
        <w:tc>
          <w:tcPr>
            <w:tcW w:w="591" w:type="dxa"/>
            <w:tcBorders/>
            <w:vAlign w:val="center"/>
          </w:tcPr>
          <w:p>
            <w:pPr>
              <w:pStyle w:val="TableContents"/>
              <w:bidi w:val="0"/>
              <w:spacing w:before="0" w:after="0"/>
              <w:ind w:left="0" w:right="0" w:hanging="0"/>
              <w:jc w:val="center"/>
              <w:rPr/>
            </w:pPr>
            <w:hyperlink w:anchor="legal">
              <w:r>
                <w:rPr>
                  <w:rStyle w:val="InternetLink"/>
                  <w:rFonts w:ascii="Times New Roman;Times;serif" w:hAnsi="Times New Roman;Times;serif"/>
                  <w:sz w:val="20"/>
                </w:rPr>
                <w:t>32</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8313"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sz w:val="20"/>
                </w:rPr>
                <w:t>Risk Factors</w:t>
              </w:r>
            </w:hyperlink>
          </w:p>
        </w:tc>
        <w:tc>
          <w:tcPr>
            <w:tcW w:w="591" w:type="dxa"/>
            <w:tcBorders/>
            <w:vAlign w:val="center"/>
          </w:tcPr>
          <w:p>
            <w:pPr>
              <w:pStyle w:val="TableContents"/>
              <w:bidi w:val="0"/>
              <w:spacing w:before="0" w:after="0"/>
              <w:ind w:left="0" w:right="0" w:hanging="0"/>
              <w:jc w:val="center"/>
              <w:rPr/>
            </w:pPr>
            <w:hyperlink w:anchor="risk">
              <w:r>
                <w:rPr>
                  <w:rStyle w:val="InternetLink"/>
                  <w:rFonts w:ascii="Times New Roman;Times;serif" w:hAnsi="Times New Roman;Times;serif"/>
                  <w:sz w:val="20"/>
                </w:rPr>
                <w:t>32</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Item 2.</w:t>
            </w:r>
          </w:p>
        </w:tc>
        <w:tc>
          <w:tcPr>
            <w:tcW w:w="8313" w:type="dxa"/>
            <w:tcBorders/>
            <w:vAlign w:val="center"/>
          </w:tcPr>
          <w:p>
            <w:pPr>
              <w:pStyle w:val="TableContents"/>
              <w:bidi w:val="0"/>
              <w:spacing w:before="0" w:after="283"/>
              <w:jc w:val="left"/>
              <w:rPr/>
            </w:pPr>
            <w:hyperlink w:anchor="Item_2._Sale_of_Securities">
              <w:r>
                <w:rPr>
                  <w:rStyle w:val="InternetLink"/>
                </w:rPr>
                <w:t>Unregistered Sales of Equity Securities and Use of Proceeds</w:t>
              </w:r>
            </w:hyperlink>
          </w:p>
        </w:tc>
        <w:tc>
          <w:tcPr>
            <w:tcW w:w="591" w:type="dxa"/>
            <w:tcBorders/>
            <w:vAlign w:val="center"/>
          </w:tcPr>
          <w:p>
            <w:pPr>
              <w:pStyle w:val="TableContents"/>
              <w:bidi w:val="0"/>
              <w:spacing w:before="0" w:after="283"/>
              <w:jc w:val="center"/>
              <w:rPr/>
            </w:pPr>
            <w:hyperlink w:anchor="Item_2._Sale_of_Securities">
              <w:r>
                <w:rPr>
                  <w:rStyle w:val="InternetLink"/>
                </w:rPr>
                <w:t>33</w:t>
              </w:r>
            </w:hyperlink>
          </w:p>
        </w:tc>
      </w:tr>
      <w:tr>
        <w:trPr/>
        <w:tc>
          <w:tcPr>
            <w:tcW w:w="42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8313"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r>
      <w:tr>
        <w:trPr/>
        <w:tc>
          <w:tcPr>
            <w:tcW w:w="42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Item 3.</w:t>
            </w:r>
          </w:p>
        </w:tc>
        <w:tc>
          <w:tcPr>
            <w:tcW w:w="8313" w:type="dxa"/>
            <w:tcBorders/>
            <w:vAlign w:val="center"/>
          </w:tcPr>
          <w:p>
            <w:pPr>
              <w:pStyle w:val="TableContents"/>
              <w:bidi w:val="0"/>
              <w:spacing w:before="0" w:after="283"/>
              <w:jc w:val="left"/>
              <w:rPr/>
            </w:pPr>
            <w:hyperlink w:anchor="Item_3">
              <w:r>
                <w:rPr>
                  <w:rStyle w:val="InternetLink"/>
                </w:rPr>
                <w:t>Defaults Upon Senior Securities</w:t>
              </w:r>
            </w:hyperlink>
          </w:p>
        </w:tc>
        <w:tc>
          <w:tcPr>
            <w:tcW w:w="591" w:type="dxa"/>
            <w:tcBorders/>
            <w:vAlign w:val="center"/>
          </w:tcPr>
          <w:p>
            <w:pPr>
              <w:pStyle w:val="TableContents"/>
              <w:bidi w:val="0"/>
              <w:spacing w:before="0" w:after="283"/>
              <w:jc w:val="center"/>
              <w:rPr/>
            </w:pPr>
            <w:hyperlink w:anchor="Item_3">
              <w:r>
                <w:rPr>
                  <w:rStyle w:val="InternetLink"/>
                </w:rPr>
                <w:t>33</w:t>
              </w:r>
            </w:hyperlink>
          </w:p>
        </w:tc>
      </w:tr>
      <w:tr>
        <w:trPr/>
        <w:tc>
          <w:tcPr>
            <w:tcW w:w="42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8313"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r>
      <w:tr>
        <w:trPr/>
        <w:tc>
          <w:tcPr>
            <w:tcW w:w="42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Item 4.</w:t>
            </w:r>
          </w:p>
        </w:tc>
        <w:tc>
          <w:tcPr>
            <w:tcW w:w="8313" w:type="dxa"/>
            <w:tcBorders/>
            <w:vAlign w:val="center"/>
          </w:tcPr>
          <w:p>
            <w:pPr>
              <w:pStyle w:val="TableContents"/>
              <w:bidi w:val="0"/>
              <w:spacing w:before="0" w:after="283"/>
              <w:jc w:val="left"/>
              <w:rPr/>
            </w:pPr>
            <w:hyperlink w:anchor="Item_4">
              <w:r>
                <w:rPr>
                  <w:rStyle w:val="InternetLink"/>
                </w:rPr>
                <w:t>Mine Safety Disclosures</w:t>
              </w:r>
            </w:hyperlink>
          </w:p>
        </w:tc>
        <w:tc>
          <w:tcPr>
            <w:tcW w:w="591" w:type="dxa"/>
            <w:tcBorders/>
            <w:vAlign w:val="center"/>
          </w:tcPr>
          <w:p>
            <w:pPr>
              <w:pStyle w:val="TableContents"/>
              <w:bidi w:val="0"/>
              <w:spacing w:before="0" w:after="283"/>
              <w:jc w:val="center"/>
              <w:rPr/>
            </w:pPr>
            <w:hyperlink w:anchor="Item_4">
              <w:r>
                <w:rPr>
                  <w:rStyle w:val="InternetLink"/>
                </w:rPr>
                <w:t>33</w:t>
              </w:r>
            </w:hyperlink>
          </w:p>
        </w:tc>
      </w:tr>
      <w:tr>
        <w:trPr/>
        <w:tc>
          <w:tcPr>
            <w:tcW w:w="42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8313"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r>
      <w:tr>
        <w:trPr/>
        <w:tc>
          <w:tcPr>
            <w:tcW w:w="42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Item 5.</w:t>
            </w:r>
          </w:p>
        </w:tc>
        <w:tc>
          <w:tcPr>
            <w:tcW w:w="8313" w:type="dxa"/>
            <w:tcBorders/>
            <w:vAlign w:val="center"/>
          </w:tcPr>
          <w:p>
            <w:pPr>
              <w:pStyle w:val="TableContents"/>
              <w:bidi w:val="0"/>
              <w:spacing w:before="0" w:after="283"/>
              <w:jc w:val="left"/>
              <w:rPr/>
            </w:pPr>
            <w:hyperlink w:anchor="Item_5">
              <w:r>
                <w:rPr>
                  <w:rStyle w:val="InternetLink"/>
                </w:rPr>
                <w:t>Other Information</w:t>
              </w:r>
            </w:hyperlink>
          </w:p>
        </w:tc>
        <w:tc>
          <w:tcPr>
            <w:tcW w:w="591" w:type="dxa"/>
            <w:tcBorders/>
            <w:vAlign w:val="center"/>
          </w:tcPr>
          <w:p>
            <w:pPr>
              <w:pStyle w:val="TableContents"/>
              <w:bidi w:val="0"/>
              <w:spacing w:before="0" w:after="283"/>
              <w:jc w:val="center"/>
              <w:rPr/>
            </w:pPr>
            <w:hyperlink w:anchor="Item_5">
              <w:r>
                <w:rPr>
                  <w:rStyle w:val="InternetLink"/>
                </w:rPr>
                <w:t>33</w:t>
              </w:r>
            </w:hyperlink>
          </w:p>
        </w:tc>
      </w:tr>
      <w:tr>
        <w:trPr/>
        <w:tc>
          <w:tcPr>
            <w:tcW w:w="426"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8313"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8313"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Exhibits</w:t>
              </w:r>
            </w:hyperlink>
          </w:p>
        </w:tc>
        <w:tc>
          <w:tcPr>
            <w:tcW w:w="591" w:type="dxa"/>
            <w:tcBorders/>
            <w:vAlign w:val="center"/>
          </w:tcPr>
          <w:p>
            <w:pPr>
              <w:pStyle w:val="TableContents"/>
              <w:bidi w:val="0"/>
              <w:spacing w:before="0" w:after="0"/>
              <w:ind w:left="0" w:right="0" w:hanging="0"/>
              <w:jc w:val="center"/>
              <w:rPr/>
            </w:pPr>
            <w:hyperlink w:anchor="exhibits">
              <w:r>
                <w:rPr>
                  <w:rStyle w:val="InternetLink"/>
                  <w:rFonts w:ascii="Times New Roman;Times;serif" w:hAnsi="Times New Roman;Times;serif"/>
                  <w:sz w:val="20"/>
                </w:rPr>
                <w:t>34</w:t>
              </w:r>
            </w:hyperlink>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sz w:val="20"/>
                </w:rPr>
                <w:t>Signatures</w:t>
              </w:r>
            </w:hyperlink>
          </w:p>
        </w:tc>
        <w:tc>
          <w:tcPr>
            <w:tcW w:w="8313"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center"/>
              <w:rPr/>
            </w:pPr>
            <w:hyperlink w:anchor="signatures">
              <w:r>
                <w:rPr>
                  <w:rStyle w:val="InternetLink"/>
                  <w:rFonts w:ascii="Times New Roman;Times;serif" w:hAnsi="Times New Roman;Times;serif"/>
                  <w:sz w:val="20"/>
                </w:rPr>
                <w:t>35</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CAUTIONARY NOTICE REGARDING FORWARD-LOOKING INFORMATION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terms the “Company,” “Bel,” “we,” “us,” and “our” as used in this report refer to Bel Fuse Inc. and its consolidated subsidiaries unless otherwise specified.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consolidated operating results are affected by a wide variety of factors that could materially and adversely affect revenues and profitability, including the risk factors described in Item 1A of our Annual Report on Form 10-K for the fiscal year ended December 31, 2025 (our “2025 Annual Report on Form 10-K”), and the risks and other factors described in this and our other Quarterly Reports on Form 10-Q, and in our other reports and documents that we have filed or may file from time to time with the Securities and Exchange Commission ("SEC"). As a result of these and other factors, the Company may experience material fluctuations in future operating results on a quarterly or annual basis, which could materially and adversely affect its business, consolidated financial condition, operating results, and common stock prices. Furthermore, this document and other reports and documents filed by the Company with the SEC contain certain forward-looking statements under the Private Securities Litigation Reform Act of 1995 ("Forward-Looking Statements") with respect to the business of the Company.  Forward-Looking Statements are necessarily subject to risks and uncertainties, many of which are outside our control, that could cause actual results to differ materially from these statements. Forward-Looking Statements can be identified by such words as "anticipates," "believes," "plan," "assumes," "could," "should," "estimates," "forecasts," "projects," "expects," "intends," "potential," "seek," "predict," "may," "will" and similar references to future periods. All statements other than statements of historical facts included in this report regarding our strategies, prospects, financial condition, operations, costs, plans and objectives are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subject to certain risks and uncertainties, including those detailed in Item 1A of our 2025 Annual Report on Form 10-K, and the risks and other factors described in this and our other Quarterly Reports on Form 10-Q, and in our other reports and documents that we have filed or may file from time to time with the SEC, which could cause actual results to differ materially from these Forward-Looking Statements. Any Forward-Looking Statements are qualified in the entirety by reference to such risk factors discussed throughout our 2025 Annual Report on Form 10-K, in this and our other Quarterly Reports on Form 10-Q and as described in our other reports and documents filed from time to time with the SEC. Some of the risks, uncertainties and assumptions that could cause actual results to differ materially from estimates or projections contained in the Forward-Looking Statements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market concerns facing our customers, and risks for our business in the event of the loss of certain substantial customers;</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continuing viability of sectors that rely on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business and economic conditions, and challenges impacting the macroeconomic environment generally and/or our industry in particular;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rising input costs, and cost changes generally, including the potential impact and effects of inflationary pressures;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associated with integrating previously acquired companies, including any unanticipated difficulties, or unexpected or higher than anticipated expenditures;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our intended acquisition of the remaining 20% stake in Enercon is not completed in accordance with the shareholders' agreement as contemplated for any reason, and any resulting disruptions to our business and our currently 80% owned Enercon subsidiary as a result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trends in demand which can affect our products and results, and market and economic factors impacting Enercon’s business, including trends in demand in Enercon’s aerospace and defense end markets which can be cyclical, as well as the impact of any reductions in defense spending, any of which factors could materially adversely affect the demand for and corresponding sales of such products;</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capacity and supply constraints or difficulties, including supply chain constraints or other challenges;</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public health crises including potential future outbreaks, epidemics or pandemics;</w:t>
            </w:r>
          </w:p>
        </w:tc>
      </w:tr>
    </w:tbl>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difficulties associated with the availability of labor, and the risks of any labor unrest or labor shortages;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risks associated with our international operations, including our substantial manufacturing operations in the People’s Republic of China (the “PRC”), and risks associated with operations in Israel, which may be adversely affected by political or economic instability, major hostilities or acts of terrorism in the region;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risks associated with restructuring programs or other strategic initiatives, including any difficulties in implementation or realization of the expected benefits or cost savings;</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75"/>
        <w:gridCol w:w="170"/>
        <w:gridCol w:w="5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 development, commercialization or technological difficulties;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regulatory and trade environment including the potential effects of the imposition or modification of new or increased tariffs either by the U.S. government on foreign imports or by a foreign government on U.S. exports related to the countries in which we transact business, and trade restrictions that may impact us, our customers and/or our suppliers, and risks associated with the evolving trade environment, trade restrictions, and changes in trade agreements, and general uncertainty about future changes in trade and tariff policy and the associated impacts of those changes;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risks associated with fluctuations in foreign currency exchange rates and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uncertainties associated with legal proceedings;</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market's acceptance of our new products and competitive responses to those new products;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changes to U.S. and applicable foreign legal and regulatory requirements, including, without limitation, tax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list sets forth some, but not all, of the factors that could affect our ability to achieve results described in any Forward-Looking Statements, which speak only as of the date of this Quarterly Report on Form 10-Q or the date of the document incorporated by reference into this report. Except as required by law, we assume no obligation and expressly disclaim any duty to publicly release the results of any revisions to these Forward-Looking Statements or otherwise update any Forward-Looking Statement to reflect events or circumstances after the date of this Quarterly Report on Form 10-Q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 contained in this Quarterly Report on Form 10-Q. Any Forward-Looking Statement made by the Company is based only on information currently available to us and speaks only as of the date on which it is made. All Forward-Looking Statements are expressly qualified in their entirety by the cautionary statements contained in this section.</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Financial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3" w:name="item1"/>
      <w:bookmarkEnd w:id="3"/>
      <w:r>
        <w:rPr>
          <w:rFonts w:ascii="Times New Roman;Times;serif" w:hAnsi="Times New Roman;Times;serif"/>
          <w:sz w:val="20"/>
        </w:rPr>
        <w:t>Item 1.  Financial Statements (Unaudited)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4" w:name="bs"/>
      <w:bookmarkEnd w:id="4"/>
      <w:r>
        <w:rPr>
          <w:rFonts w:ascii="Times New Roman;Times;serif" w:hAnsi="Times New Roman;Times;serif"/>
          <w:b/>
          <w:sz w:val="20"/>
        </w:rPr>
        <w:t>BEL FUSE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813"/>
        <w:gridCol w:w="60"/>
        <w:gridCol w:w="127"/>
        <w:gridCol w:w="706"/>
        <w:gridCol w:w="80"/>
        <w:gridCol w:w="60"/>
        <w:gridCol w:w="142"/>
        <w:gridCol w:w="795"/>
        <w:gridCol w:w="422"/>
      </w:tblGrid>
      <w:tr>
        <w:trPr/>
        <w:tc>
          <w:tcPr>
            <w:tcW w:w="78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57,800</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 net of allowance of $825 and $671, respectively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121,490</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167,270</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Unbilled receivables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9,747</w:t>
            </w:r>
          </w:p>
        </w:tc>
        <w:tc>
          <w:tcPr>
            <w:tcW w:w="422" w:type="dxa"/>
            <w:tcBorders/>
            <w:shd w:fill="FFFFFF" w:val="clear"/>
            <w:vAlign w:val="center"/>
          </w:tcPr>
          <w:p>
            <w:pPr>
              <w:pStyle w:val="TableContents"/>
              <w:bidi w:val="0"/>
              <w:spacing w:before="0" w:after="283"/>
              <w:ind w:left="0" w:right="0" w:hanging="0"/>
              <w:jc w:val="left"/>
              <w:rPr/>
            </w:pPr>
            <w:r>
              <w:rPr/>
              <w:t> </w:t>
            </w:r>
          </w:p>
        </w:tc>
      </w:tr>
      <w:tr>
        <w:trPr/>
        <w:tc>
          <w:tcPr>
            <w:tcW w:w="78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27,053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28,454</w:t>
            </w:r>
          </w:p>
        </w:tc>
        <w:tc>
          <w:tcPr>
            <w:tcW w:w="422" w:type="dxa"/>
            <w:tcBorders/>
            <w:shd w:fill="CCEEFF" w:val="clear"/>
            <w:vAlign w:val="center"/>
          </w:tcPr>
          <w:p>
            <w:pPr>
              <w:pStyle w:val="TableContents"/>
              <w:bidi w:val="0"/>
              <w:spacing w:before="0" w:after="0"/>
              <w:jc w:val="left"/>
              <w:rPr/>
            </w:pPr>
            <w:r>
              <w:rPr/>
              <w:t> </w:t>
            </w:r>
          </w:p>
        </w:tc>
      </w:tr>
      <w:tr>
        <w:trPr/>
        <w:tc>
          <w:tcPr>
            <w:tcW w:w="7813"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384,761</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48,428</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22,868</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217,966</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214,821</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12,843</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33,513</w:t>
            </w:r>
          </w:p>
        </w:tc>
        <w:tc>
          <w:tcPr>
            <w:tcW w:w="422" w:type="dxa"/>
            <w:tcBorders/>
            <w:shd w:fill="CCEEFF" w:val="clear"/>
            <w:vAlign w:val="center"/>
          </w:tcPr>
          <w:p>
            <w:pPr>
              <w:pStyle w:val="TableContents"/>
              <w:bidi w:val="0"/>
              <w:spacing w:before="0" w:after="283"/>
              <w:ind w:left="0" w:right="0" w:firstLine="360"/>
              <w:jc w:val="left"/>
              <w:rPr/>
            </w:pPr>
            <w:r>
              <w:rPr/>
              <w:t> </w:t>
            </w:r>
          </w:p>
        </w:tc>
      </w:tr>
      <w:tr>
        <w:trPr/>
        <w:tc>
          <w:tcPr>
            <w:tcW w:w="78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951,920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935,200</w:t>
            </w:r>
          </w:p>
        </w:tc>
        <w:tc>
          <w:tcPr>
            <w:tcW w:w="422" w:type="dxa"/>
            <w:tcBorders/>
            <w:shd w:fill="FFFFFF" w:val="clear"/>
            <w:vAlign w:val="center"/>
          </w:tcPr>
          <w:p>
            <w:pPr>
              <w:pStyle w:val="TableContents"/>
              <w:bidi w:val="0"/>
              <w:spacing w:before="0" w:after="0"/>
              <w:jc w:val="left"/>
              <w:rPr/>
            </w:pPr>
            <w:r>
              <w:rPr/>
              <w:t> </w:t>
            </w:r>
          </w:p>
        </w:tc>
      </w:tr>
      <w:tr>
        <w:trPr/>
        <w:tc>
          <w:tcPr>
            <w:tcW w:w="78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REDEEMABLE NONCONTROLLING INTEREST AND SHAREHOLDERS' EQUITY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52,990</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49,710</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8,029</w:t>
            </w:r>
          </w:p>
        </w:tc>
        <w:tc>
          <w:tcPr>
            <w:tcW w:w="422" w:type="dxa"/>
            <w:tcBorders/>
            <w:shd w:fill="FFFFFF" w:val="clear"/>
            <w:vAlign w:val="center"/>
          </w:tcPr>
          <w:p>
            <w:pPr>
              <w:pStyle w:val="TableContents"/>
              <w:bidi w:val="0"/>
              <w:spacing w:before="0" w:after="283"/>
              <w:ind w:left="0" w:right="0" w:hanging="0"/>
              <w:jc w:val="left"/>
              <w:rPr/>
            </w:pPr>
            <w:r>
              <w:rPr/>
              <w:t> </w:t>
            </w:r>
          </w:p>
        </w:tc>
      </w:tr>
      <w:tr>
        <w:trPr/>
        <w:tc>
          <w:tcPr>
            <w:tcW w:w="78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16,716</w:t>
            </w:r>
          </w:p>
        </w:tc>
        <w:tc>
          <w:tcPr>
            <w:tcW w:w="422" w:type="dxa"/>
            <w:tcBorders/>
            <w:shd w:fill="CCEEFF" w:val="clear"/>
            <w:vAlign w:val="center"/>
          </w:tcPr>
          <w:p>
            <w:pPr>
              <w:pStyle w:val="TableContents"/>
              <w:bidi w:val="0"/>
              <w:spacing w:before="0" w:after="0"/>
              <w:jc w:val="left"/>
              <w:rPr/>
            </w:pPr>
            <w:r>
              <w:rPr/>
              <w:t> </w:t>
            </w:r>
          </w:p>
        </w:tc>
      </w:tr>
      <w:tr>
        <w:trPr/>
        <w:tc>
          <w:tcPr>
            <w:tcW w:w="7813"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127,445</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Long-term debt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197,500</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Operating lease liabilities, long-term</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15,867</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Liability for uncertain tax positions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17,524</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Minimum pension obligation and unfunded pension liability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19,303</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29,684</w:t>
            </w:r>
          </w:p>
        </w:tc>
        <w:tc>
          <w:tcPr>
            <w:tcW w:w="422" w:type="dxa"/>
            <w:tcBorders/>
            <w:shd w:fill="CCEEFF" w:val="clear"/>
            <w:vAlign w:val="center"/>
          </w:tcPr>
          <w:p>
            <w:pPr>
              <w:pStyle w:val="TableContents"/>
              <w:bidi w:val="0"/>
              <w:spacing w:before="0" w:after="283"/>
              <w:ind w:left="0" w:right="0" w:hanging="0"/>
              <w:jc w:val="left"/>
              <w:rPr/>
            </w:pPr>
            <w:r>
              <w:rPr/>
              <w:t> </w:t>
            </w:r>
          </w:p>
        </w:tc>
      </w:tr>
      <w:tr>
        <w:trPr/>
        <w:tc>
          <w:tcPr>
            <w:tcW w:w="78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9,203</w:t>
            </w:r>
          </w:p>
        </w:tc>
        <w:tc>
          <w:tcPr>
            <w:tcW w:w="422" w:type="dxa"/>
            <w:tcBorders/>
            <w:shd w:fill="FFFFFF" w:val="clear"/>
            <w:vAlign w:val="center"/>
          </w:tcPr>
          <w:p>
            <w:pPr>
              <w:pStyle w:val="TableContents"/>
              <w:bidi w:val="0"/>
              <w:spacing w:before="0" w:after="0"/>
              <w:jc w:val="left"/>
              <w:rPr/>
            </w:pPr>
            <w:r>
              <w:rPr/>
              <w:t> </w:t>
            </w:r>
          </w:p>
        </w:tc>
      </w:tr>
      <w:tr>
        <w:trPr/>
        <w:tc>
          <w:tcPr>
            <w:tcW w:w="7813"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416,526</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(see Note 15)</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ind w:left="0" w:right="0" w:hanging="0"/>
              <w:jc w:val="left"/>
              <w:rPr/>
            </w:pPr>
            <w:r>
              <w:rPr/>
              <w:t> </w:t>
            </w:r>
          </w:p>
        </w:tc>
      </w:tr>
      <w:tr>
        <w:trPr/>
        <w:tc>
          <w:tcPr>
            <w:tcW w:w="781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2" w:type="dxa"/>
            <w:tcBorders/>
            <w:shd w:fill="CCEEFF" w:val="clear"/>
            <w:vAlign w:val="center"/>
          </w:tcPr>
          <w:p>
            <w:pPr>
              <w:pStyle w:val="TableContents"/>
              <w:bidi w:val="0"/>
              <w:spacing w:before="0" w:after="0"/>
              <w:ind w:left="0" w:right="0" w:hanging="0"/>
              <w:jc w:val="left"/>
              <w:rPr/>
            </w:pPr>
            <w:r>
              <w:rPr/>
              <w:t> </w:t>
            </w:r>
          </w:p>
        </w:tc>
      </w:tr>
      <w:tr>
        <w:trPr/>
        <w:tc>
          <w:tcPr>
            <w:tcW w:w="78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96,766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93,161</w:t>
            </w:r>
          </w:p>
        </w:tc>
        <w:tc>
          <w:tcPr>
            <w:tcW w:w="422" w:type="dxa"/>
            <w:tcBorders/>
            <w:shd w:fill="FFFFFF" w:val="clear"/>
            <w:vAlign w:val="center"/>
          </w:tcPr>
          <w:p>
            <w:pPr>
              <w:pStyle w:val="TableContents"/>
              <w:bidi w:val="0"/>
              <w:spacing w:before="0" w:after="0"/>
              <w:jc w:val="left"/>
              <w:rPr/>
            </w:pPr>
            <w:r>
              <w:rPr/>
              <w:t> </w:t>
            </w:r>
          </w:p>
        </w:tc>
      </w:tr>
      <w:tr>
        <w:trPr/>
        <w:tc>
          <w:tcPr>
            <w:tcW w:w="78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Preferred stock, no par value, 1,000,000 shares authorized; none issued</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Class A common stock, par value $.10 per share, 10,000,000 shares authorized; 2,115,263 shares outstanding at each date (net of 1,072,769 restricted treasury shares)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Class B common stock, par value $.10 per share, 30,000,000 shares authorized; 10,607,444 and 10,543,368 shares outstanding at March 31, 2026 and December 31, 2025, respectively (net of 3,218,307 restricted treasury shares)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1,058</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38,315</w:t>
            </w:r>
          </w:p>
        </w:tc>
        <w:tc>
          <w:tcPr>
            <w:tcW w:w="422" w:type="dxa"/>
            <w:tcBorders/>
            <w:shd w:fill="FFFFFF" w:val="clear"/>
            <w:vAlign w:val="center"/>
          </w:tcPr>
          <w:p>
            <w:pPr>
              <w:pStyle w:val="TableContents"/>
              <w:bidi w:val="0"/>
              <w:spacing w:before="0" w:after="283"/>
              <w:jc w:val="left"/>
              <w:rPr/>
            </w:pPr>
            <w:r>
              <w:rPr/>
              <w:t> </w:t>
            </w:r>
          </w:p>
        </w:tc>
      </w:tr>
      <w:tr>
        <w:trPr/>
        <w:tc>
          <w:tcPr>
            <w:tcW w:w="7813"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403,102</w:t>
            </w:r>
          </w:p>
        </w:tc>
        <w:tc>
          <w:tcPr>
            <w:tcW w:w="422" w:type="dxa"/>
            <w:tcBorders/>
            <w:shd w:fill="CCEEFF" w:val="clear"/>
            <w:vAlign w:val="center"/>
          </w:tcPr>
          <w:p>
            <w:pPr>
              <w:pStyle w:val="TableContents"/>
              <w:bidi w:val="0"/>
              <w:spacing w:before="0" w:after="283"/>
              <w:ind w:left="0" w:right="0" w:hanging="0"/>
              <w:jc w:val="left"/>
              <w:rPr/>
            </w:pPr>
            <w:r>
              <w:rPr/>
              <w:t> </w:t>
            </w:r>
          </w:p>
        </w:tc>
      </w:tr>
      <w:tr>
        <w:trPr/>
        <w:tc>
          <w:tcPr>
            <w:tcW w:w="78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(17,174</w:t>
            </w:r>
          </w:p>
        </w:tc>
        <w:tc>
          <w:tcPr>
            <w:tcW w:w="422"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813"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425,513</w:t>
            </w:r>
          </w:p>
        </w:tc>
        <w:tc>
          <w:tcPr>
            <w:tcW w:w="422" w:type="dxa"/>
            <w:tcBorders/>
            <w:shd w:fill="CCEEFF" w:val="clear"/>
            <w:vAlign w:val="center"/>
          </w:tcPr>
          <w:p>
            <w:pPr>
              <w:pStyle w:val="TableContents"/>
              <w:bidi w:val="0"/>
              <w:spacing w:before="0" w:after="283"/>
              <w:jc w:val="left"/>
              <w:rPr/>
            </w:pPr>
            <w:r>
              <w:rPr/>
              <w:t> </w:t>
            </w:r>
          </w:p>
        </w:tc>
      </w:tr>
      <w:tr>
        <w:trPr/>
        <w:tc>
          <w:tcPr>
            <w:tcW w:w="7813"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liabilities, redeemable noncontrolling interest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935,200</w:t>
            </w:r>
          </w:p>
        </w:tc>
        <w:tc>
          <w:tcPr>
            <w:tcW w:w="422"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5" w:name="ops"/>
      <w:bookmarkEnd w:id="5"/>
      <w:r>
        <w:rPr>
          <w:rFonts w:ascii="Times New Roman;Times;serif" w:hAnsi="Times New Roman;Times;serif"/>
          <w:b/>
          <w:sz w:val="20"/>
        </w:rPr>
        <w:t>BEL FUSE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7505" w:type="dxa"/>
        <w:jc w:val="left"/>
        <w:tblInd w:w="0" w:type="dxa"/>
        <w:tblLayout w:type="fixed"/>
        <w:tblCellMar>
          <w:top w:w="0" w:type="dxa"/>
          <w:left w:w="0" w:type="dxa"/>
          <w:bottom w:w="0" w:type="dxa"/>
          <w:right w:w="0" w:type="dxa"/>
        </w:tblCellMar>
      </w:tblPr>
      <w:tblGrid>
        <w:gridCol w:w="5585"/>
        <w:gridCol w:w="60"/>
        <w:gridCol w:w="125"/>
        <w:gridCol w:w="695"/>
        <w:gridCol w:w="80"/>
        <w:gridCol w:w="60"/>
        <w:gridCol w:w="125"/>
        <w:gridCol w:w="695"/>
        <w:gridCol w:w="80"/>
      </w:tblGrid>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152,238</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93,419</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58,819</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7,222</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29,507</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liability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25,023</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2,639</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provision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23,785</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5,463</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shareholders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18,322</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earnings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Redemption value adjustment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Bel Fuse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17,874</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 -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 - 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common share - basic</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10,457</w:t>
            </w:r>
          </w:p>
        </w:tc>
        <w:tc>
          <w:tcPr>
            <w:tcW w:w="80" w:type="dxa"/>
            <w:tcBorders/>
            <w:shd w:fill="FFFFFF" w:val="clear"/>
            <w:vAlign w:val="center"/>
          </w:tcPr>
          <w:p>
            <w:pPr>
              <w:pStyle w:val="TableContents"/>
              <w:bidi w:val="0"/>
              <w:spacing w:before="0" w:after="0"/>
              <w:jc w:val="left"/>
              <w:rPr/>
            </w:pPr>
            <w:r>
              <w:rPr/>
              <w:t> </w:t>
            </w:r>
          </w:p>
        </w:tc>
      </w:tr>
      <w:tr>
        <w:trPr/>
        <w:tc>
          <w:tcPr>
            <w:tcW w:w="5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 -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BEL FUSE INC. AND SUBSIDIARIES</w:t>
      </w:r>
    </w:p>
    <w:p>
      <w:pPr>
        <w:pStyle w:val="TextBody"/>
        <w:bidi w:val="0"/>
        <w:spacing w:before="0" w:after="0"/>
        <w:ind w:left="0" w:right="0" w:hanging="0"/>
        <w:jc w:val="center"/>
        <w:rPr>
          <w:rFonts w:ascii="Times New Roman;Times;serif" w:hAnsi="Times New Roman;Times;serif"/>
          <w:b/>
          <w:sz w:val="20"/>
        </w:rPr>
      </w:pPr>
      <w:bookmarkStart w:id="6" w:name="income"/>
      <w:bookmarkEnd w:id="6"/>
      <w:r>
        <w:rPr>
          <w:rFonts w:ascii="Times New Roman;Times;serif" w:hAnsi="Times New Roman;Times;serif"/>
          <w:b/>
          <w:sz w:val="20"/>
        </w:rPr>
        <w:t>CONDENSED 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9747" w:type="dxa"/>
        <w:jc w:val="left"/>
        <w:tblInd w:w="0" w:type="dxa"/>
        <w:tblLayout w:type="fixed"/>
        <w:tblCellMar>
          <w:top w:w="0" w:type="dxa"/>
          <w:left w:w="0" w:type="dxa"/>
          <w:bottom w:w="0" w:type="dxa"/>
          <w:right w:w="0" w:type="dxa"/>
        </w:tblCellMar>
      </w:tblPr>
      <w:tblGrid>
        <w:gridCol w:w="7895"/>
        <w:gridCol w:w="60"/>
        <w:gridCol w:w="136"/>
        <w:gridCol w:w="644"/>
        <w:gridCol w:w="87"/>
        <w:gridCol w:w="65"/>
        <w:gridCol w:w="136"/>
        <w:gridCol w:w="644"/>
        <w:gridCol w:w="80"/>
      </w:tblGrid>
      <w:tr>
        <w:trPr/>
        <w:tc>
          <w:tcPr>
            <w:tcW w:w="7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11,379</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17,874</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translation adjustment, net of taxes of $0, and $0, respectively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losses on interest rate swap cash flow hedge, net of taxes of $0 in all periods presented</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holding losses on marketable securities, net of taxes of $0 in all periods presented</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unfunded SERP liability, net of taxes of $3 and $8, respectively</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16,010</w:t>
            </w:r>
          </w:p>
        </w:tc>
        <w:tc>
          <w:tcPr>
            <w:tcW w:w="80" w:type="dxa"/>
            <w:tcBorders/>
            <w:shd w:fill="CCEEFF" w:val="clear"/>
            <w:vAlign w:val="center"/>
          </w:tcPr>
          <w:p>
            <w:pPr>
              <w:pStyle w:val="TableContents"/>
              <w:bidi w:val="0"/>
              <w:spacing w:before="0" w:after="283"/>
              <w:jc w:val="left"/>
              <w:rPr/>
            </w:pPr>
            <w:r>
              <w:rPr/>
              <w:t> </w:t>
            </w:r>
          </w:p>
        </w:tc>
      </w:tr>
      <w:tr>
        <w:trP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w:t>
            </w:r>
          </w:p>
        </w:tc>
        <w:tc>
          <w:tcPr>
            <w:tcW w:w="80" w:type="dxa"/>
            <w:tcBorders/>
            <w:shd w:fill="FFFFFF" w:val="clear"/>
            <w:vAlign w:val="center"/>
          </w:tcPr>
          <w:p>
            <w:pPr>
              <w:pStyle w:val="TableContents"/>
              <w:bidi w:val="0"/>
              <w:spacing w:before="0" w:after="283"/>
              <w:jc w:val="left"/>
              <w:rPr/>
            </w:pPr>
            <w:r>
              <w:rPr/>
              <w:t> </w:t>
            </w:r>
          </w:p>
        </w:tc>
      </w:tr>
      <w:tr>
        <w:trP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attributable to Bel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11,243</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bookmarkStart w:id="7" w:name="equity"/>
      <w:bookmarkEnd w:id="7"/>
      <w:r>
        <w:rPr>
          <w:rFonts w:ascii="Times New Roman" w:hAnsi="Times New Roman"/>
          <w:b/>
          <w:sz w:val="20"/>
        </w:rPr>
        <w:t>BEL FUSE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SHAREHOLDERS' EQUITY AND REDEEMABLE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NONCONTROLLING INTEREST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 except per share data)</w:t>
      </w:r>
    </w:p>
    <w:p>
      <w:pPr>
        <w:pStyle w:val="TextBody"/>
        <w:bidi w:val="0"/>
        <w:spacing w:before="0" w:after="0"/>
        <w:ind w:left="0" w:right="0" w:hanging="0"/>
        <w:jc w:val="center"/>
        <w:rPr/>
      </w:pPr>
      <w:r>
        <w:rPr/>
        <w:t> </w:t>
      </w:r>
      <w:r>
        <w:rPr>
          <w:rFonts w:ascii="Times New Roman" w:hAnsi="Times New Roman"/>
          <w:b/>
          <w:sz w:val="20"/>
        </w:rPr>
        <w:t>(unaudited)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16"/>
        <w:gridCol w:w="60"/>
        <w:gridCol w:w="110"/>
        <w:gridCol w:w="605"/>
        <w:gridCol w:w="80"/>
        <w:gridCol w:w="60"/>
        <w:gridCol w:w="170"/>
        <w:gridCol w:w="900"/>
        <w:gridCol w:w="80"/>
        <w:gridCol w:w="60"/>
        <w:gridCol w:w="174"/>
        <w:gridCol w:w="461"/>
        <w:gridCol w:w="60"/>
        <w:gridCol w:w="60"/>
        <w:gridCol w:w="68"/>
        <w:gridCol w:w="490"/>
        <w:gridCol w:w="60"/>
        <w:gridCol w:w="60"/>
        <w:gridCol w:w="130"/>
        <w:gridCol w:w="505"/>
        <w:gridCol w:w="60"/>
        <w:gridCol w:w="60"/>
        <w:gridCol w:w="65"/>
        <w:gridCol w:w="562"/>
        <w:gridCol w:w="80"/>
        <w:gridCol w:w="60"/>
        <w:gridCol w:w="132"/>
        <w:gridCol w:w="623"/>
        <w:gridCol w:w="80"/>
        <w:gridCol w:w="60"/>
        <w:gridCol w:w="143"/>
        <w:gridCol w:w="797"/>
        <w:gridCol w:w="80"/>
        <w:gridCol w:w="60"/>
        <w:gridCol w:w="187"/>
        <w:gridCol w:w="883"/>
        <w:gridCol w:w="64"/>
      </w:tblGrid>
      <w:tr>
        <w:trPr/>
        <w:tc>
          <w:tcPr>
            <w:tcW w:w="20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Redeemable</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B</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Shareholders'</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Noncontrolling</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(Loss)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Equity</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Interest</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(17,174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425,513</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93,161</w:t>
            </w:r>
          </w:p>
        </w:tc>
        <w:tc>
          <w:tcPr>
            <w:tcW w:w="64" w:type="dxa"/>
            <w:tcBorders/>
            <w:shd w:fill="CCEE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Redemption value adjustment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2,633</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11,379</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972</w:t>
            </w:r>
          </w:p>
        </w:tc>
        <w:tc>
          <w:tcPr>
            <w:tcW w:w="64" w:type="dxa"/>
            <w:tcBorders/>
            <w:shd w:fill="CCEE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A Common Stock, $0.06/share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4" w:type="dxa"/>
            <w:tcBorders/>
            <w:shd w:fill="CCEE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B Common Stock, $0.07/share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restricted common stock</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4" w:type="dxa"/>
            <w:tcBorders/>
            <w:shd w:fill="CCEE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Forfeiture of restricted common stock</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upon vesting of Performance Stock Units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4" w:type="dxa"/>
            <w:tcBorders/>
            <w:shd w:fill="CCEE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 net of taxes of $0</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1,143</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losses on interest rate swap cash flow hedge, net of taxes of $0</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4" w:type="dxa"/>
            <w:tcBorders/>
            <w:shd w:fill="CCEE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holding gains on marketable securities, net of taxes of $0</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2,077</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4" w:type="dxa"/>
            <w:tcBorders/>
            <w:shd w:fill="CCEE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unfunded SERP liability, net of taxes of $3</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March 31, 2026</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413,618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(16,338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438,942</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96,766</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997"/>
        <w:gridCol w:w="60"/>
        <w:gridCol w:w="110"/>
        <w:gridCol w:w="605"/>
        <w:gridCol w:w="80"/>
        <w:gridCol w:w="60"/>
        <w:gridCol w:w="171"/>
        <w:gridCol w:w="899"/>
        <w:gridCol w:w="80"/>
        <w:gridCol w:w="60"/>
        <w:gridCol w:w="174"/>
        <w:gridCol w:w="461"/>
        <w:gridCol w:w="60"/>
        <w:gridCol w:w="60"/>
        <w:gridCol w:w="68"/>
        <w:gridCol w:w="489"/>
        <w:gridCol w:w="60"/>
        <w:gridCol w:w="60"/>
        <w:gridCol w:w="130"/>
        <w:gridCol w:w="505"/>
        <w:gridCol w:w="60"/>
        <w:gridCol w:w="60"/>
        <w:gridCol w:w="65"/>
        <w:gridCol w:w="561"/>
        <w:gridCol w:w="80"/>
        <w:gridCol w:w="60"/>
        <w:gridCol w:w="132"/>
        <w:gridCol w:w="623"/>
        <w:gridCol w:w="80"/>
        <w:gridCol w:w="60"/>
        <w:gridCol w:w="143"/>
        <w:gridCol w:w="797"/>
        <w:gridCol w:w="80"/>
        <w:gridCol w:w="60"/>
        <w:gridCol w:w="187"/>
        <w:gridCol w:w="883"/>
        <w:gridCol w:w="85"/>
      </w:tblGrid>
      <w:tr>
        <w:trPr/>
        <w:tc>
          <w:tcPr>
            <w:tcW w:w="1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80" w:type="dxa"/>
            <w:tcBorders>
              <w:right w:val="single" w:sz="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left"/>
              <w:rPr/>
            </w:pPr>
            <w:r>
              <w:rPr/>
              <w:t> </w:t>
            </w:r>
          </w:p>
        </w:tc>
      </w:tr>
      <w:tr>
        <w:trPr/>
        <w:tc>
          <w:tcPr>
            <w:tcW w:w="1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80" w:type="dxa"/>
            <w:tcBorders>
              <w:right w:val="single" w:sz="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Redeemable</w:t>
            </w:r>
          </w:p>
        </w:tc>
        <w:tc>
          <w:tcPr>
            <w:tcW w:w="85" w:type="dxa"/>
            <w:tcBorders/>
            <w:vAlign w:val="center"/>
          </w:tcPr>
          <w:p>
            <w:pPr>
              <w:pStyle w:val="TableContents"/>
              <w:bidi w:val="0"/>
              <w:spacing w:before="0" w:after="283"/>
              <w:jc w:val="left"/>
              <w:rPr/>
            </w:pPr>
            <w:r>
              <w:rPr/>
              <w:t> </w:t>
            </w:r>
          </w:p>
        </w:tc>
      </w:tr>
      <w:tr>
        <w:trPr/>
        <w:tc>
          <w:tcPr>
            <w:tcW w:w="1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7"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6"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Shareholders'</w:t>
            </w:r>
          </w:p>
        </w:tc>
        <w:tc>
          <w:tcPr>
            <w:tcW w:w="80" w:type="dxa"/>
            <w:tcBorders>
              <w:right w:val="single" w:sz="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Noncontrolling</w:t>
            </w:r>
          </w:p>
        </w:tc>
        <w:tc>
          <w:tcPr>
            <w:tcW w:w="85" w:type="dxa"/>
            <w:tcBorders/>
            <w:vAlign w:val="center"/>
          </w:tcPr>
          <w:p>
            <w:pPr>
              <w:pStyle w:val="TableContents"/>
              <w:bidi w:val="0"/>
              <w:spacing w:before="0" w:after="283"/>
              <w:jc w:val="left"/>
              <w:rPr/>
            </w:pPr>
            <w:r>
              <w:rPr/>
              <w:t> </w:t>
            </w:r>
          </w:p>
        </w:tc>
      </w:tr>
      <w:tr>
        <w:trPr/>
        <w:tc>
          <w:tcPr>
            <w:tcW w:w="1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(Loss)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 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Equity</w:t>
            </w:r>
          </w:p>
        </w:tc>
        <w:tc>
          <w:tcPr>
            <w:tcW w:w="80" w:type="dxa"/>
            <w:tcBorders>
              <w:right w:val="single" w:sz="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Interest</w:t>
            </w:r>
          </w:p>
        </w:tc>
        <w:tc>
          <w:tcPr>
            <w:tcW w:w="85" w:type="dxa"/>
            <w:tcBorders/>
            <w:vAlign w:val="center"/>
          </w:tcPr>
          <w:p>
            <w:pPr>
              <w:pStyle w:val="TableContents"/>
              <w:bidi w:val="0"/>
              <w:spacing w:before="0" w:after="283"/>
              <w:jc w:val="left"/>
              <w:rPr/>
            </w:pPr>
            <w:r>
              <w:rPr/>
              <w:t> </w:t>
            </w:r>
          </w:p>
        </w:tc>
      </w:tr>
      <w:tr>
        <w:trPr/>
        <w:tc>
          <w:tcPr>
            <w:tcW w:w="19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2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80" w:type="dxa"/>
            <w:tcBorders>
              <w:right w:val="single" w:sz="2"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345,031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360,576</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80,586</w:t>
            </w:r>
          </w:p>
        </w:tc>
        <w:tc>
          <w:tcPr>
            <w:tcW w:w="85"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Redemption value adjustment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(390</w:t>
            </w:r>
          </w:p>
        </w:tc>
        <w:tc>
          <w:tcPr>
            <w:tcW w:w="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17,874</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838</w:t>
            </w:r>
          </w:p>
        </w:tc>
        <w:tc>
          <w:tcPr>
            <w:tcW w:w="85"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A Common Stock, $0.06/share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5"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B Common Stock, $0.07/share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(737</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5" w:type="dxa"/>
            <w:tcBorders/>
            <w:shd w:fill="FFFFFF" w:val="clear"/>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restricted common stock</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5"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Forfeiture of restricted common stock</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5" w:type="dxa"/>
            <w:tcBorders/>
            <w:shd w:fill="FFFFFF" w:val="clear"/>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 net of taxes of $0</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(1,248</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5"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gains on interest rate swap cash flow hedge, net of taxes of $0</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(588</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5" w:type="dxa"/>
            <w:tcBorders/>
            <w:shd w:fill="FFFFFF" w:val="clear"/>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1,179</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5" w:type="dxa"/>
            <w:tcBorders/>
            <w:shd w:fill="CCEEFF" w:val="clear"/>
            <w:vAlign w:val="center"/>
          </w:tcPr>
          <w:p>
            <w:pPr>
              <w:pStyle w:val="TableContents"/>
              <w:bidi w:val="0"/>
              <w:spacing w:before="0" w:after="283"/>
              <w:jc w:val="left"/>
              <w:rPr/>
            </w:pPr>
            <w:r>
              <w:rPr/>
              <w:t> </w:t>
            </w:r>
          </w:p>
        </w:tc>
      </w:tr>
      <w:tr>
        <w:trPr/>
        <w:tc>
          <w:tcPr>
            <w:tcW w:w="19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unfunded SERP liability, net of taxes of $8</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5" w:type="dxa"/>
            <w:tcBorders/>
            <w:shd w:fill="FFFFFF" w:val="clear"/>
            <w:vAlign w:val="center"/>
          </w:tcPr>
          <w:p>
            <w:pPr>
              <w:pStyle w:val="TableContents"/>
              <w:bidi w:val="0"/>
              <w:spacing w:before="0" w:after="283"/>
              <w:jc w:val="left"/>
              <w:rPr/>
            </w:pPr>
            <w:r>
              <w:rPr/>
              <w:t> </w:t>
            </w:r>
          </w:p>
        </w:tc>
      </w:tr>
      <w:tr>
        <w:trPr/>
        <w:tc>
          <w:tcPr>
            <w:tcW w:w="19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March 31, 2025</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362,041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376,901</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81,034</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bookmarkStart w:id="8" w:name="cashflow"/>
      <w:bookmarkEnd w:id="8"/>
      <w:r>
        <w:rPr>
          <w:rFonts w:ascii="Times New Roman" w:hAnsi="Times New Roman"/>
          <w:b/>
          <w:sz w:val="20"/>
        </w:rPr>
        <w:t>BEL FUSE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before="0" w:after="283"/>
        <w:jc w:val="left"/>
        <w:rPr/>
      </w:pPr>
      <w:r>
        <w:rPr/>
        <w:t> </w:t>
      </w:r>
    </w:p>
    <w:tbl>
      <w:tblPr>
        <w:tblW w:w="8741" w:type="dxa"/>
        <w:jc w:val="left"/>
        <w:tblInd w:w="0" w:type="dxa"/>
        <w:tblLayout w:type="fixed"/>
        <w:tblCellMar>
          <w:top w:w="0" w:type="dxa"/>
          <w:left w:w="0" w:type="dxa"/>
          <w:bottom w:w="0" w:type="dxa"/>
          <w:right w:w="0" w:type="dxa"/>
        </w:tblCellMar>
      </w:tblPr>
      <w:tblGrid>
        <w:gridCol w:w="6710"/>
        <w:gridCol w:w="60"/>
        <w:gridCol w:w="126"/>
        <w:gridCol w:w="659"/>
        <w:gridCol w:w="81"/>
        <w:gridCol w:w="60"/>
        <w:gridCol w:w="126"/>
        <w:gridCol w:w="659"/>
        <w:gridCol w:w="260"/>
      </w:tblGrid>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Three Months Ended</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March 31,</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14,984</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18,322</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earnings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6,624</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6,684</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Amortization of deferred financing costs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Deferred tax benefit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Unrealized losses (gains) on foreign currency revaluation</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3,145</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w:t>
            </w:r>
          </w:p>
        </w:tc>
        <w:tc>
          <w:tcPr>
            <w:tcW w:w="260" w:type="dxa"/>
            <w:tcBorders/>
            <w:shd w:fill="FFFF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impairment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 net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Decrease in accounts receivable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3,817</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8,220</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Decrease (increase) unbilled receivables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Increase in inventories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(13,434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Increase in other current assets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(3,266</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65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8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65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w:t>
            </w:r>
          </w:p>
        </w:tc>
        <w:tc>
          <w:tcPr>
            <w:tcW w:w="260" w:type="dxa"/>
            <w:tcBorders/>
            <w:shd w:fill="FFFFFF" w:val="clear"/>
            <w:vAlign w:val="center"/>
          </w:tcPr>
          <w:p>
            <w:pPr>
              <w:pStyle w:val="TableContents"/>
              <w:bidi w:val="0"/>
              <w:spacing w:before="0" w:after="0"/>
              <w:jc w:val="left"/>
              <w:rPr/>
            </w:pPr>
            <w:r>
              <w:rPr/>
              <w:t> </w:t>
            </w:r>
          </w:p>
        </w:tc>
      </w:tr>
      <w:tr>
        <w:trPr/>
        <w:tc>
          <w:tcPr>
            <w:tcW w:w="671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Increase (decrease) in accounts payable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9,731</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(3,374</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Decrease in accrued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(6,598</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(11,058</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Decrease in accrued restructuring costs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(4,508</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(Decrease) increase in income taxes payable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Decrease in other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13,828</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8,147</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Investment in related party notes receivable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disposal/sale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Acquisition of business, net of cash acquired</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(3,065</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Dividends paid to common shareholders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Repayments under revolving line of credit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(13,000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revolving line of credit</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8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260" w:type="dxa"/>
            <w:tcBorders/>
            <w:shd w:fill="FFFFFF" w:val="clear"/>
            <w:vAlign w:val="center"/>
          </w:tcPr>
          <w:p>
            <w:pPr>
              <w:pStyle w:val="TableContents"/>
              <w:bidi w:val="0"/>
              <w:spacing w:before="0" w:after="0"/>
              <w:jc w:val="left"/>
              <w:rPr/>
            </w:pPr>
            <w:r>
              <w:rPr/>
              <w:t> </w:t>
            </w:r>
          </w:p>
        </w:tc>
      </w:tr>
      <w:tr>
        <w:trPr/>
        <w:tc>
          <w:tcPr>
            <w:tcW w:w="6710" w:type="dxa"/>
            <w:tcBorders/>
            <w:shd w:fill="CCEE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(8,329</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1,646</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57,800</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68,253</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59,446</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65,927</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Supplementary information:</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Income taxes, net of refunds received</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5,692</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w:t>
            </w:r>
          </w:p>
        </w:tc>
        <w:tc>
          <w:tcPr>
            <w:tcW w:w="26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Interest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4,207</w:t>
            </w:r>
          </w:p>
        </w:tc>
        <w:tc>
          <w:tcPr>
            <w:tcW w:w="26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ROU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9" w:name="notes"/>
      <w:bookmarkEnd w:id="9"/>
      <w:r>
        <w:rPr>
          <w:rFonts w:ascii="Times New Roman;Times;serif" w:hAnsi="Times New Roman;Times;serif"/>
          <w:b/>
          <w:sz w:val="20"/>
        </w:rPr>
        <w:t>BEL FUSE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5425" w:type="dxa"/>
        <w:jc w:val="left"/>
        <w:tblInd w:w="0" w:type="dxa"/>
        <w:tblLayout w:type="fixed"/>
        <w:tblCellMar>
          <w:top w:w="0" w:type="dxa"/>
          <w:left w:w="0" w:type="dxa"/>
          <w:bottom w:w="0" w:type="dxa"/>
          <w:right w:w="0" w:type="dxa"/>
        </w:tblCellMar>
      </w:tblPr>
      <w:tblGrid>
        <w:gridCol w:w="170"/>
        <w:gridCol w:w="525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w:t>
            </w:r>
          </w:p>
        </w:tc>
        <w:tc>
          <w:tcPr>
            <w:tcW w:w="525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OF PRESENTATION AND ACCOUNTING POLICIES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condensed consolidated balance sheets and statements of operations, comprehensive income, shareholders’ equity and redeemable noncontrolling interest, and cash flows for the periods presented herein have been prepared by the Company and are </w:t>
      </w:r>
      <w:r>
        <w:rPr>
          <w:rFonts w:ascii="Times New Roman;Times;serif" w:hAnsi="Times New Roman;Times;serif"/>
          <w:color w:val="000000"/>
          <w:sz w:val="20"/>
        </w:rPr>
        <w:t>unaudited</w:t>
      </w:r>
      <w:r>
        <w:rPr>
          <w:rFonts w:ascii="Times New Roman;Times;serif" w:hAnsi="Times New Roman;Times;serif"/>
          <w:sz w:val="20"/>
        </w:rPr>
        <w:t>. In the opinion of management, all adjustments (consisting solely of normal recurring adjustments) necessary to present fairly the consolidated financial position, results of operations and cash flows for all periods presented have been made. The results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2026</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to be expected for the full year. These condensed consolidated financial statements should be read in conjunction with the consolidated financial statements and footnotes thereto included in the Bel Fuse Annual Report on Form </w:t>
      </w:r>
      <w:r>
        <w:rPr>
          <w:rStyle w:val="Emphasis"/>
          <w:rFonts w:ascii="Times New Roman;Times;serif" w:hAnsi="Times New Roman;Times;serif"/>
          <w:sz w:val="20"/>
        </w:rPr>
        <w:t>10</w:t>
      </w:r>
      <w:r>
        <w:rPr>
          <w:rFonts w:ascii="Times New Roman;Times;serif" w:hAnsi="Times New Roman;Times;serif"/>
          <w:sz w:val="20"/>
        </w:rPr>
        <w:t>-K for the fiscal year ended </w:t>
      </w:r>
      <w:r>
        <w:rPr>
          <w:rStyle w:val="Emphasis"/>
          <w:rFonts w:ascii="Times New Roman;Times;serif" w:hAnsi="Times New Roman;Times;serif"/>
          <w:sz w:val="20"/>
        </w:rPr>
        <w:t xml:space="preserve"> December 31, 2025</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information and footnote disclosures required under accounting principles generally accepted in the United States of America (“U.S. GAAP”) have been condensed or omitted from these condensed consolidated financial statements pursuant to the rules and regulations, including the interim reporting requirements, of the U.S. Securities and Exchange Commission (“SEC”). The preparation of condensed consolidated financial statements in conformity with U.S. GAAP requires management to make estimates and assumptions that affect the reported amounts and the disclosure of contingent amounts in our condensed consolidated financial statements and accompanying notes. Actual results could differ from these estimates.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amounts included in the tables to these notes to condensed consolidated financial statements, except per share amounts, are in thousands.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Company’s significant accounting policies are summarized in Note </w:t>
      </w:r>
      <w:r>
        <w:rPr>
          <w:rStyle w:val="Emphasis"/>
          <w:rFonts w:ascii="Times New Roman;Times;serif" w:hAnsi="Times New Roman;Times;serif"/>
          <w:sz w:val="20"/>
        </w:rPr>
        <w:t>1</w:t>
      </w:r>
      <w:r>
        <w:rPr>
          <w:rFonts w:ascii="Times New Roman;Times;serif" w:hAnsi="Times New Roman;Times;serif"/>
          <w:sz w:val="20"/>
        </w:rPr>
        <w:t xml:space="preserve"> to the consolidated financial statements of the Company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fiscal year ended </w:t>
      </w:r>
      <w:r>
        <w:rPr>
          <w:rStyle w:val="Emphasis"/>
          <w:rFonts w:ascii="Times New Roman;Times;serif" w:hAnsi="Times New Roman;Times;serif"/>
          <w:sz w:val="20"/>
        </w:rPr>
        <w:t>December 31, 2025</w:t>
      </w:r>
      <w:r>
        <w:rPr>
          <w:rFonts w:ascii="Times New Roman;Times;serif" w:hAnsi="Times New Roman;Times;serif"/>
          <w:sz w:val="20"/>
        </w:rPr>
        <w:t xml:space="preserve">. There were </w:t>
      </w:r>
      <w:r>
        <w:rPr>
          <w:rStyle w:val="Emphasis"/>
          <w:rFonts w:ascii="Times New Roman;Times;serif" w:hAnsi="Times New Roman;Times;serif"/>
          <w:sz w:val="20"/>
        </w:rPr>
        <w:t>no</w:t>
      </w:r>
      <w:r>
        <w:rPr>
          <w:rFonts w:ascii="Times New Roman;Times;serif" w:hAnsi="Times New Roman;Times;serif"/>
          <w:sz w:val="20"/>
        </w:rPr>
        <w:t xml:space="preserve"> significant changes to these accounting policies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2026</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Recently Adopted Accounting Standards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Financial Accounting Standards Board ("FASB") issued Accounting Standard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xml:space="preserve">, which focuses on the rate reconciliation and income taxes paid.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of total income tax payments, net of refunds received. The Company adopted this ASU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Refer to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for the inclusion of new disclosures required.</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Accounting Standards Issued But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Adopted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2024, </w:t>
      </w:r>
      <w:r>
        <w:rPr>
          <w:rFonts w:ascii="Times New Roman;Times;serif" w:hAnsi="Times New Roman;Times;serif"/>
          <w:sz w:val="20"/>
        </w:rPr>
        <w:t xml:space="preserve">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w:t>
      </w:r>
      <w:r>
        <w:rPr>
          <w:rFonts w:ascii="Times New Roman;Times;serif" w:hAnsi="Times New Roman;Times;serif"/>
          <w:i/>
          <w:sz w:val="20"/>
        </w:rPr>
        <w:t>Income Statement</w:t>
      </w:r>
      <w:r>
        <w:rPr>
          <w:rFonts w:ascii="Times New Roman;Times;serif" w:hAnsi="Times New Roman;Times;serif"/>
          <w:sz w:val="20"/>
        </w:rPr>
        <w:t>—</w:t>
      </w:r>
      <w:r>
        <w:rPr>
          <w:rFonts w:ascii="Times New Roman;Times;serif" w:hAnsi="Times New Roman;Times;serif"/>
          <w:i/>
          <w:sz w:val="20"/>
        </w:rPr>
        <w:t>Reporting Comprehensive Income</w:t>
      </w:r>
      <w:r>
        <w:rPr>
          <w:rFonts w:ascii="Times New Roman;Times;serif" w:hAnsi="Times New Roman;Times;serif"/>
          <w:sz w:val="20"/>
        </w:rPr>
        <w:t>—</w:t>
      </w:r>
      <w:r>
        <w:rPr>
          <w:rFonts w:ascii="Times New Roman;Times;serif" w:hAnsi="Times New Roman;Times;serif"/>
          <w:i/>
          <w:sz w:val="20"/>
        </w:rPr>
        <w:t xml:space="preserve">Expense Disaggregation Disclosures (Subtopic </w:t>
      </w:r>
      <w:r>
        <w:rPr>
          <w:rStyle w:val="Emphasis"/>
          <w:rFonts w:ascii="Times New Roman;Times;serif" w:hAnsi="Times New Roman;Times;serif"/>
          <w:i/>
          <w:sz w:val="20"/>
        </w:rPr>
        <w:t>220</w:t>
      </w:r>
      <w:r>
        <w:rPr>
          <w:rFonts w:ascii="Times New Roman;Times;serif" w:hAnsi="Times New Roman;Times;serif"/>
          <w:i/>
          <w:sz w:val="20"/>
        </w:rPr>
        <w:t>-</w:t>
      </w:r>
      <w:r>
        <w:rPr>
          <w:rStyle w:val="Emphasis"/>
          <w:rFonts w:ascii="Times New Roman;Times;serif" w:hAnsi="Times New Roman;Times;serif"/>
          <w:i/>
          <w:sz w:val="20"/>
        </w:rPr>
        <w:t>40</w:t>
      </w:r>
      <w:r>
        <w:rPr>
          <w:rFonts w:ascii="Times New Roman;Times;serif" w:hAnsi="Times New Roman;Times;serif"/>
          <w:i/>
          <w:sz w:val="20"/>
        </w:rPr>
        <w:t>): Disaggregation of Income Statement Expenses</w:t>
      </w:r>
      <w:r>
        <w:rPr>
          <w:rFonts w:ascii="Times New Roman;Times;serif" w:hAnsi="Times New Roman;Times;serif"/>
          <w:sz w:val="20"/>
        </w:rPr>
        <w:t xml:space="preserve">, which is intended to improve disclosures about a PBE's expenses and address requests from investors for more detailed information about the types of expenses in commonly presented expense captions. Such information should allow investors to better understand an entity's performance, assess future cash flows, and compare performance over time and with other entities. The amendments will require PBEs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w:t>
      </w:r>
      <w:r>
        <w:rPr>
          <w:rStyle w:val="Emphasis"/>
          <w:rFonts w:ascii="Times New Roman;Times;serif" w:hAnsi="Times New Roman;Times;serif"/>
          <w:sz w:val="20"/>
        </w:rPr>
        <w:t xml:space="preserve">December 15, 2026, </w:t>
      </w:r>
      <w:r>
        <w:rPr>
          <w:rFonts w:ascii="Times New Roman;Times;serif" w:hAnsi="Times New Roman;Times;serif"/>
          <w:sz w:val="20"/>
        </w:rPr>
        <w:t xml:space="preserve">and interim reporting periods beginning after </w:t>
      </w:r>
      <w:r>
        <w:rPr>
          <w:rStyle w:val="Emphasis"/>
          <w:rFonts w:ascii="Times New Roman;Times;serif" w:hAnsi="Times New Roman;Times;serif"/>
          <w:sz w:val="20"/>
        </w:rPr>
        <w:t xml:space="preserve">December 15, 2027, </w:t>
      </w:r>
      <w:r>
        <w:rPr>
          <w:rFonts w:ascii="Times New Roman;Times;serif" w:hAnsi="Times New Roman;Times;serif"/>
          <w:sz w:val="20"/>
        </w:rPr>
        <w:t xml:space="preserve">and </w:t>
      </w:r>
      <w:r>
        <w:rPr>
          <w:rStyle w:val="Emphasis"/>
          <w:rFonts w:ascii="Times New Roman;Times;serif" w:hAnsi="Times New Roman;Times;serif"/>
          <w:sz w:val="20"/>
        </w:rPr>
        <w:t xml:space="preserve">may </w:t>
      </w:r>
      <w:r>
        <w:rPr>
          <w:rFonts w:ascii="Times New Roman;Times;serif" w:hAnsi="Times New Roman;Times;serif"/>
          <w:sz w:val="20"/>
        </w:rPr>
        <w:t>be applied either prospectively or retrospectively. Early adoption is permitted. The Company is currently evaluating the impact of adopting this guidance on the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00" w:type="dxa"/>
        <w:jc w:val="left"/>
        <w:tblInd w:w="0" w:type="dxa"/>
        <w:tblLayout w:type="fixed"/>
        <w:tblCellMar>
          <w:top w:w="0" w:type="dxa"/>
          <w:left w:w="0" w:type="dxa"/>
          <w:bottom w:w="0" w:type="dxa"/>
          <w:right w:w="0" w:type="dxa"/>
        </w:tblCellMar>
      </w:tblPr>
      <w:tblGrid>
        <w:gridCol w:w="170"/>
        <w:gridCol w:w="143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2.</w:t>
            </w:r>
          </w:p>
        </w:tc>
        <w:tc>
          <w:tcPr>
            <w:tcW w:w="14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ACQUISITIONS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Acquisition of dataMate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completed the acquisition of dataMate (“dataMate”), a provider of Ethernet and broadband connectivity solutions, from Methode Electronics, Inc. for aggregate consideration of approximately $16.0 million, subject to customary post-closing adjustments. The acquisition was funded using cash on hand and borrowings under our revolving credit facility. The acquisition was accounted for as a business combination under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The acquisition is expected to broaden Bel’s customer reach and increase exposure to attractive end markets, including networking, data centers, industrial automation, smart buildings and broadband deployment, while providing additional U.S.-based manufacturing and R&amp;D capabilities. Bel also believes the acquisition provides opportunities to leverage dataMate’s ongoing technology development, including solutions intended to deliver data and power over a single pair of wires, to support future product expansion.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separate fair value step-up was recorded for inventory or identifiable intangible assets; accordingly, any such value was included in goodwill. The purchase price allocation is preliminary and is subject to change as additional information becomes available, including as valuation work related to acquired intangible assets is finalized. The results of operations of dataMate have been included in our condensed consolidated financial statements from the acquisition date. The contribution of dataMate to our net sales and operating income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 </w:t>
      </w:r>
    </w:p>
    <w:p>
      <w:pPr>
        <w:pStyle w:val="TextBody"/>
        <w:bidi w:val="0"/>
        <w:spacing w:before="0" w:after="0"/>
        <w:ind w:left="0" w:right="0" w:hanging="0"/>
        <w:jc w:val="both"/>
        <w:rPr>
          <w:caps w:val="false"/>
          <w:smallCaps w:val="false"/>
        </w:rPr>
      </w:pPr>
      <w:r>
        <w:rPr>
          <w:caps w:val="false"/>
          <w:smallCaps w:val="false"/>
        </w:rPr>
        <w:t> </w:t>
      </w:r>
    </w:p>
    <w:tbl>
      <w:tblPr>
        <w:tblW w:w="3819" w:type="dxa"/>
        <w:jc w:val="left"/>
        <w:tblInd w:w="0" w:type="dxa"/>
        <w:tblLayout w:type="fixed"/>
        <w:tblCellMar>
          <w:top w:w="0" w:type="dxa"/>
          <w:left w:w="0" w:type="dxa"/>
          <w:bottom w:w="0" w:type="dxa"/>
          <w:right w:w="0" w:type="dxa"/>
        </w:tblCellMar>
      </w:tblPr>
      <w:tblGrid>
        <w:gridCol w:w="2285"/>
        <w:gridCol w:w="60"/>
        <w:gridCol w:w="243"/>
        <w:gridCol w:w="1156"/>
        <w:gridCol w:w="75"/>
      </w:tblGrid>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Preliminary</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Acquisition Date</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adjusted)</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2,704</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1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identifiable assets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Fixed Assets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1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10,464</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16,522</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 Liabilities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 paid</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results of operations of dataMate have been included in the Company’s condensed consolidated financial statements for periods subsequent to the acquisition date of </w:t>
      </w:r>
      <w:r>
        <w:rPr>
          <w:rStyle w:val="Emphasis"/>
          <w:rFonts w:ascii="Times New Roman" w:hAnsi="Times New Roman"/>
          <w:caps w:val="false"/>
          <w:smallCaps w:val="false"/>
          <w:sz w:val="20"/>
        </w:rPr>
        <w:t xml:space="preserve">March 5, 2026. </w:t>
      </w:r>
      <w:r>
        <w:rPr>
          <w:rFonts w:ascii="Times New Roman" w:hAnsi="Times New Roman"/>
          <w:caps w:val="false"/>
          <w:smallCaps w:val="false"/>
          <w:sz w:val="20"/>
        </w:rPr>
        <w:t xml:space="preserve">The following unaudited pro forma information presents the combined results of operations of the Company and dataMate as if the acquisition had occurred 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as applicable to the periods presented. The unaudited pro forma information is presented for illustrative purposes only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of operations that would have been achieved had the acquisition occurred on the assumed date, nor is it intended to be a projection of future results. The unaudited pro forma information reflects adjustments that are directly attributable to the acquisition, factually supportable, and, with respect to the statements of operations, expected to have a continuing impact. The unaudited pro forma information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 the realization of any anticipated cost savings, synergies, or operating efficiencies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from the acquisition, nor does it reflect any nonrecurring integration-related costs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incurred, while certain cost savings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from the acquisition,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such cost savings will be achieved.</w:t>
      </w:r>
    </w:p>
    <w:p>
      <w:pPr>
        <w:pStyle w:val="TextBody"/>
        <w:bidi w:val="0"/>
        <w:spacing w:before="0" w:after="0"/>
        <w:ind w:left="0" w:right="0" w:hanging="0"/>
        <w:jc w:val="left"/>
        <w:rPr>
          <w:caps w:val="false"/>
          <w:smallCaps w:val="false"/>
        </w:rPr>
      </w:pPr>
      <w:r>
        <w:rPr>
          <w:caps w:val="false"/>
          <w:smallCaps w:val="false"/>
        </w:rPr>
        <w:t> </w:t>
      </w:r>
    </w:p>
    <w:tbl>
      <w:tblPr>
        <w:tblW w:w="10123" w:type="dxa"/>
        <w:jc w:val="left"/>
        <w:tblInd w:w="0" w:type="dxa"/>
        <w:tblLayout w:type="fixed"/>
        <w:tblCellMar>
          <w:top w:w="0" w:type="dxa"/>
          <w:left w:w="0" w:type="dxa"/>
          <w:bottom w:w="0" w:type="dxa"/>
          <w:right w:w="0" w:type="dxa"/>
        </w:tblCellMar>
      </w:tblPr>
      <w:tblGrid>
        <w:gridCol w:w="4685"/>
        <w:gridCol w:w="60"/>
        <w:gridCol w:w="396"/>
        <w:gridCol w:w="2203"/>
        <w:gridCol w:w="60"/>
        <w:gridCol w:w="60"/>
        <w:gridCol w:w="396"/>
        <w:gridCol w:w="2203"/>
        <w:gridCol w:w="60"/>
      </w:tblGrid>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March 31,</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156,224</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ind w:left="0" w:right="0" w:hanging="0"/>
              <w:jc w:val="left"/>
              <w:rPr/>
            </w:pPr>
            <w:r>
              <w:rPr/>
              <w:t> </w:t>
            </w:r>
          </w:p>
        </w:tc>
        <w:tc>
          <w:tcPr>
            <w:tcW w:w="22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ind w:left="0" w:right="0" w:hanging="0"/>
              <w:jc w:val="left"/>
              <w:rPr/>
            </w:pPr>
            <w:r>
              <w:rPr/>
              <w:t> </w:t>
            </w:r>
          </w:p>
        </w:tc>
        <w:tc>
          <w:tcPr>
            <w:tcW w:w="22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18,694</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earnings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3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Bel Fuse shareholders</w:t>
            </w:r>
          </w:p>
        </w:tc>
        <w:tc>
          <w:tcPr>
            <w:tcW w:w="60" w:type="dxa"/>
            <w:tcBorders/>
            <w:shd w:fill="CCEEFF" w:val="clear"/>
            <w:vAlign w:val="center"/>
          </w:tcPr>
          <w:p>
            <w:pPr>
              <w:pStyle w:val="TableContents"/>
              <w:bidi w:val="0"/>
              <w:spacing w:before="0" w:after="283"/>
              <w:jc w:val="left"/>
              <w:rPr/>
            </w:pPr>
            <w:r>
              <w:rPr/>
              <w:t> </w:t>
            </w:r>
          </w:p>
        </w:tc>
        <w:tc>
          <w:tcPr>
            <w:tcW w:w="3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18,246</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Class A common share - basic and diluted</w:t>
            </w:r>
          </w:p>
        </w:tc>
        <w:tc>
          <w:tcPr>
            <w:tcW w:w="60" w:type="dxa"/>
            <w:tcBorders/>
            <w:shd w:fill="FFFFFF" w:val="cle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Class A common share - basic</w:t>
            </w:r>
          </w:p>
        </w:tc>
        <w:tc>
          <w:tcPr>
            <w:tcW w:w="60" w:type="dxa"/>
            <w:tcBorders/>
            <w:shd w:fill="CCEEFF" w:val="clear"/>
            <w:vAlign w:val="center"/>
          </w:tcPr>
          <w:p>
            <w:pPr>
              <w:pStyle w:val="TableContents"/>
              <w:bidi w:val="0"/>
              <w:spacing w:before="0" w:after="0"/>
              <w:ind w:left="0" w:right="0" w:hanging="0"/>
              <w:jc w:val="left"/>
              <w:rPr/>
            </w:pPr>
            <w:r>
              <w:rPr/>
              <w:t> </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60" w:type="dxa"/>
            <w:tcBorders/>
            <w:shd w:fill="CCEEFF" w:val="clear"/>
            <w:vAlign w:val="center"/>
          </w:tcPr>
          <w:p>
            <w:pPr>
              <w:pStyle w:val="TableContents"/>
              <w:bidi w:val="0"/>
              <w:spacing w:before="0" w:after="0"/>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Class B common share - diluted</w:t>
            </w:r>
          </w:p>
        </w:tc>
        <w:tc>
          <w:tcPr>
            <w:tcW w:w="60" w:type="dxa"/>
            <w:tcBorders/>
            <w:shd w:fill="FFFFFF" w:val="cle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Acquisition of Enercon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14, 2024, </w:t>
      </w:r>
      <w:r>
        <w:rPr>
          <w:rFonts w:ascii="Times New Roman" w:hAnsi="Times New Roman"/>
          <w:caps w:val="false"/>
          <w:smallCaps w:val="false"/>
          <w:sz w:val="20"/>
        </w:rPr>
        <w:t xml:space="preserve">the Company closed on its acquisition of its majority 80% stake in Enercon Technologies, Ltd. (“Enercon”), pursuant to the terms of the Share Purchase Agreement, dated as of </w:t>
      </w:r>
      <w:r>
        <w:rPr>
          <w:rStyle w:val="Emphasis"/>
          <w:rFonts w:ascii="Times New Roman" w:hAnsi="Times New Roman"/>
          <w:caps w:val="false"/>
          <w:smallCaps w:val="false"/>
          <w:sz w:val="20"/>
        </w:rPr>
        <w:t>September 19, 2024 (</w:t>
      </w:r>
      <w:r>
        <w:rPr>
          <w:rFonts w:ascii="Times New Roman" w:hAnsi="Times New Roman"/>
          <w:caps w:val="false"/>
          <w:smallCaps w:val="false"/>
          <w:sz w:val="20"/>
        </w:rPr>
        <w:t xml:space="preserve">the “Purchase Agreement”), by and among the Company, Enercon, and </w:t>
      </w:r>
      <w:r>
        <w:rPr>
          <w:rStyle w:val="Emphasis"/>
          <w:rFonts w:ascii="Times New Roman" w:hAnsi="Times New Roman"/>
          <w:caps w:val="false"/>
          <w:smallCaps w:val="false"/>
          <w:sz w:val="20"/>
        </w:rPr>
        <w:t>FF3</w:t>
      </w:r>
      <w:r>
        <w:rPr>
          <w:rFonts w:ascii="Times New Roman" w:hAnsi="Times New Roman"/>
          <w:caps w:val="false"/>
          <w:smallCaps w:val="false"/>
          <w:sz w:val="20"/>
        </w:rPr>
        <w:t xml:space="preserve"> Holdings, L.P., for itself and as Sellers’ Representative (</w:t>
      </w:r>
      <w:r>
        <w:rPr>
          <w:rStyle w:val="Emphasis"/>
          <w:rFonts w:ascii="Times New Roman" w:hAnsi="Times New Roman"/>
          <w:caps w:val="false"/>
          <w:smallCaps w:val="false"/>
          <w:sz w:val="20"/>
        </w:rPr>
        <w:t>“FF3”</w:t>
      </w:r>
      <w:r>
        <w:rPr>
          <w:rFonts w:ascii="Times New Roman" w:hAnsi="Times New Roman"/>
          <w:caps w:val="false"/>
          <w:smallCaps w:val="false"/>
          <w:sz w:val="20"/>
        </w:rPr>
        <w:t xml:space="preserve">), and each of the other seller parties signatory thereto (collectively with </w:t>
      </w:r>
      <w:r>
        <w:rPr>
          <w:rStyle w:val="Emphasis"/>
          <w:rFonts w:ascii="Times New Roman" w:hAnsi="Times New Roman"/>
          <w:caps w:val="false"/>
          <w:smallCaps w:val="false"/>
          <w:sz w:val="20"/>
        </w:rPr>
        <w:t>FF3,</w:t>
      </w:r>
      <w:r>
        <w:rPr>
          <w:rFonts w:ascii="Times New Roman" w:hAnsi="Times New Roman"/>
          <w:caps w:val="false"/>
          <w:smallCaps w:val="false"/>
          <w:sz w:val="20"/>
        </w:rPr>
        <w:t xml:space="preserve"> the “Sellers”). Enercon is a leading supplier of highly customized power conversion and networking solutions to aerospace and defense markets globally, providing robust and reliable solutions across air, land and sea applications. Enercon is based in Netanya, Israel with additional facilities in New Hampshire, U.S. and Haryana, India.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terms of the Purchase Agreement, on </w:t>
      </w:r>
      <w:r>
        <w:rPr>
          <w:rStyle w:val="Emphasis"/>
          <w:rFonts w:ascii="Times New Roman" w:hAnsi="Times New Roman"/>
          <w:caps w:val="false"/>
          <w:smallCaps w:val="false"/>
          <w:sz w:val="20"/>
        </w:rPr>
        <w:t xml:space="preserve">November 14, 2024, </w:t>
      </w:r>
      <w:r>
        <w:rPr>
          <w:rFonts w:ascii="Times New Roman" w:hAnsi="Times New Roman"/>
          <w:caps w:val="false"/>
          <w:smallCaps w:val="false"/>
          <w:sz w:val="20"/>
        </w:rPr>
        <w:t xml:space="preserve">closing date (and deemed effective solely for accounting purposes as of </w:t>
      </w:r>
      <w:r>
        <w:rPr>
          <w:rStyle w:val="Emphasis"/>
          <w:rFonts w:ascii="Times New Roman" w:hAnsi="Times New Roman"/>
          <w:caps w:val="false"/>
          <w:smallCaps w:val="false"/>
          <w:sz w:val="20"/>
        </w:rPr>
        <w:t xml:space="preserve">November 1, 2024), </w:t>
      </w:r>
      <w:r>
        <w:rPr>
          <w:rFonts w:ascii="Times New Roman" w:hAnsi="Times New Roman"/>
          <w:caps w:val="false"/>
          <w:smallCaps w:val="false"/>
          <w:sz w:val="20"/>
        </w:rPr>
        <w:t xml:space="preserve">Bel acquired from the Sellers 80% of the issued and outstanding share capital of Enercon on a fully-diluted basis for (i) a cash purchase price of $320 million (subject to customary adjustments), plus (ii) up to $10 million in potential earnout payments for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period (the “Earnout Payments”), as further described below (the “Transaction” or the "acquisition"). Bel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acquire the remaining 20% stake in Enercon and has the current intention to purchase such remaining interest by early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in accordance with the terms and subject to the conditions of a shareholders’ agreement, which was also entered into on </w:t>
      </w:r>
      <w:r>
        <w:rPr>
          <w:rStyle w:val="Emphasis"/>
          <w:rFonts w:ascii="Times New Roman" w:hAnsi="Times New Roman"/>
          <w:caps w:val="false"/>
          <w:smallCaps w:val="false"/>
          <w:sz w:val="20"/>
        </w:rPr>
        <w:t>November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potential Earnout 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payable of up to $5 million for each of the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earnout periods (each, an “Earnout Period”), subject to Enercon’s achievement of certain specified EBITDA targets for each respective Earnout Period, as calculated and determined in accordance with the Purchase Agreement. In the event that (i) the target for the respective Earnout Period has been achieved, the full $5 million Earnout Payment for the Earnout Period shall be payable, or (ii) achievement for the respective Earnout Period is at least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the target level but less than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target level, then the amount payable in respect of the Earnout Payment for such Earnout Period shall be $2.5 million. In the event that achievement for the respective Earnout Period is less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the target level, no Earnout Payment shall be due for such period. The Earnout Payment associated with fiscal year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achieved in full and the Company paid $5 million to the Sellers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in connection with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earnout achievement.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acquisition of Enercon resulted in a noncontrolling interest holder who is entitled to a put option, giving the sellers the ability to put their redeemable interest in the shares of the acquiree to the Company. Specifically, if exercised by the noncontrolling interest holder, the Company would be required to purchase the remaining 20% of the Seller's redeemable interest, at a redemption price during specified time period(s) stipulated in the Enercon acquisition agreement. The Company also has a corresponding call option with respect to the noncontrolling interest. Upon acquisition, the redeemable noncontrolling interest was initially valued at a fair value of $72.4 million. The redeemable noncontrolling interest reflected on the accompanying condensed consolidated balance sheets at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will remain in temporary equity until the applicable put-call option is either fully exercised or expires. At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redeemable noncontrolling interest was adjusted to reflect its redemption value of $96.8 million and $93.2 million, respectively. The redemption value of the redeemable noncontrolling interest is generally calculated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inputs based on a multiple of earnings. A roll-forward of the redeemable noncontrolling interest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is included in the accompanying condensed consolidated statements of shareholders' equity and redeemable noncontrolling interest.</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135" w:type="dxa"/>
        <w:jc w:val="left"/>
        <w:tblInd w:w="0" w:type="dxa"/>
        <w:tblLayout w:type="fixed"/>
        <w:tblCellMar>
          <w:top w:w="0" w:type="dxa"/>
          <w:left w:w="0" w:type="dxa"/>
          <w:bottom w:w="0" w:type="dxa"/>
          <w:right w:w="0" w:type="dxa"/>
        </w:tblCellMar>
      </w:tblPr>
      <w:tblGrid>
        <w:gridCol w:w="170"/>
        <w:gridCol w:w="9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3.</w:t>
            </w:r>
          </w:p>
        </w:tc>
        <w:tc>
          <w:tcPr>
            <w:tcW w:w="9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table provides information about disaggregated revenue by geographic region and sales channel, and includes a reconciliation of the disaggregated revenue to our reportable segments. See Note </w:t>
      </w:r>
      <w:r>
        <w:rPr>
          <w:rStyle w:val="Emphasis"/>
          <w:rFonts w:ascii="Times New Roman;Times;serif" w:hAnsi="Times New Roman;Times;serif"/>
          <w:sz w:val="20"/>
        </w:rPr>
        <w:t>15,</w:t>
      </w:r>
      <w:r>
        <w:rPr>
          <w:rFonts w:ascii="Times New Roman;Times;serif" w:hAnsi="Times New Roman;Times;serif"/>
          <w:sz w:val="20"/>
        </w:rPr>
        <w:t xml:space="preserve"> “</w:t>
      </w:r>
      <w:r>
        <w:rPr>
          <w:rFonts w:ascii="Times New Roman;Times;serif" w:hAnsi="Times New Roman;Times;serif"/>
          <w:i/>
          <w:sz w:val="20"/>
        </w:rPr>
        <w:t>Segments,</w:t>
      </w:r>
      <w:r>
        <w:rPr>
          <w:rFonts w:ascii="Times New Roman;Times;serif" w:hAnsi="Times New Roman;Times;serif"/>
          <w:sz w:val="20"/>
        </w:rPr>
        <w:t>” for additional information regarding the Company’s current reportable segments and the recast of prior period segment information to conform to the current presentation:</w:t>
      </w:r>
    </w:p>
    <w:p>
      <w:pPr>
        <w:pStyle w:val="TextBody"/>
        <w:bidi w:val="0"/>
        <w:spacing w:before="0" w:after="0"/>
        <w:ind w:left="0" w:right="0" w:hanging="0"/>
        <w:jc w:val="both"/>
        <w:rPr/>
      </w:pPr>
      <w:r>
        <w:rPr/>
        <w:t> </w:t>
      </w:r>
    </w:p>
    <w:tbl>
      <w:tblPr>
        <w:tblW w:w="10120" w:type="dxa"/>
        <w:jc w:val="left"/>
        <w:tblInd w:w="0" w:type="dxa"/>
        <w:tblLayout w:type="fixed"/>
        <w:tblCellMar>
          <w:top w:w="0" w:type="dxa"/>
          <w:left w:w="0" w:type="dxa"/>
          <w:bottom w:w="0" w:type="dxa"/>
          <w:right w:w="0" w:type="dxa"/>
        </w:tblCellMar>
      </w:tblPr>
      <w:tblGrid>
        <w:gridCol w:w="1970"/>
        <w:gridCol w:w="60"/>
        <w:gridCol w:w="574"/>
        <w:gridCol w:w="2730"/>
        <w:gridCol w:w="73"/>
        <w:gridCol w:w="73"/>
        <w:gridCol w:w="576"/>
        <w:gridCol w:w="2728"/>
        <w:gridCol w:w="73"/>
        <w:gridCol w:w="73"/>
        <w:gridCol w:w="172"/>
        <w:gridCol w:w="958"/>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3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March 31, 2026</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33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273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272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Geographic Region:</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273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272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64,178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50,174</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114,352</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ind w:left="0" w:right="0" w:hanging="0"/>
              <w:jc w:val="left"/>
              <w:rPr/>
            </w:pPr>
            <w:r>
              <w:rPr/>
              <w:t> </w:t>
            </w:r>
          </w:p>
        </w:tc>
        <w:tc>
          <w:tcPr>
            <w:tcW w:w="2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ind w:left="0" w:right="0" w:hanging="0"/>
              <w:jc w:val="left"/>
              <w:rPr/>
            </w:pPr>
            <w:r>
              <w:rPr/>
              <w:t> </w:t>
            </w:r>
          </w:p>
        </w:tc>
        <w:tc>
          <w:tcPr>
            <w:tcW w:w="27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15,493</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48,573</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2,563</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13,003</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15,566</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99,821</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78,670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178,491</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273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272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Sales Channel:</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273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272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to customer</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76,087</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54,987</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131,074</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Through distribution</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23,734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23,683</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47,417</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99,821</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78,670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178,491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10120" w:type="dxa"/>
        <w:jc w:val="left"/>
        <w:tblInd w:w="0" w:type="dxa"/>
        <w:tblLayout w:type="fixed"/>
        <w:tblCellMar>
          <w:top w:w="0" w:type="dxa"/>
          <w:left w:w="0" w:type="dxa"/>
          <w:bottom w:w="0" w:type="dxa"/>
          <w:right w:w="0" w:type="dxa"/>
        </w:tblCellMar>
      </w:tblPr>
      <w:tblGrid>
        <w:gridCol w:w="1970"/>
        <w:gridCol w:w="60"/>
        <w:gridCol w:w="574"/>
        <w:gridCol w:w="2730"/>
        <w:gridCol w:w="73"/>
        <w:gridCol w:w="73"/>
        <w:gridCol w:w="576"/>
        <w:gridCol w:w="2728"/>
        <w:gridCol w:w="73"/>
        <w:gridCol w:w="73"/>
        <w:gridCol w:w="172"/>
        <w:gridCol w:w="958"/>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3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March 31, 2025</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33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273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272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Geographic Region:</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273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272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55,060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41,211</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96,271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ind w:left="0" w:right="0" w:hanging="0"/>
              <w:jc w:val="left"/>
              <w:rPr/>
            </w:pPr>
            <w:r>
              <w:rPr/>
              <w:t> </w:t>
            </w:r>
          </w:p>
        </w:tc>
        <w:tc>
          <w:tcPr>
            <w:tcW w:w="2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25,108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ind w:left="0" w:right="0" w:hanging="0"/>
              <w:jc w:val="left"/>
              <w:rPr/>
            </w:pPr>
            <w:r>
              <w:rPr/>
              <w:t> </w:t>
            </w:r>
          </w:p>
        </w:tc>
        <w:tc>
          <w:tcPr>
            <w:tcW w:w="27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15,709</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40,817</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2,954</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12,196</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15,150</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83,122</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69,116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152,238</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273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272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Sales Channel:</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273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272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to customer</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63,818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45,622</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109,440</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Through distribution</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42,798</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83,122</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69,116</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152,238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r>
        <w:rPr>
          <w:rFonts w:ascii="Times New Roman;Times;serif" w:hAnsi="Times New Roman;Times;serif"/>
          <w:sz w:val="20"/>
        </w:rPr>
        <w:br/>
        <w:t>The balances of the Company’s contract assets and contract liabilities at </w:t>
      </w:r>
      <w:r>
        <w:rPr>
          <w:rStyle w:val="Emphasis"/>
          <w:rFonts w:ascii="Times New Roman;Times;serif" w:hAnsi="Times New Roman;Times;serif"/>
          <w:sz w:val="20"/>
        </w:rPr>
        <w:t xml:space="preserve"> March 31,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are as follows:</w:t>
      </w:r>
    </w:p>
    <w:p>
      <w:pPr>
        <w:pStyle w:val="TextBody"/>
        <w:bidi w:val="0"/>
        <w:spacing w:before="0" w:after="0"/>
        <w:ind w:left="0" w:right="0" w:hanging="0"/>
        <w:jc w:val="left"/>
        <w:rPr/>
      </w:pPr>
      <w:r>
        <w:rPr/>
        <w:t> </w:t>
      </w:r>
    </w:p>
    <w:tbl>
      <w:tblPr>
        <w:tblW w:w="6013" w:type="dxa"/>
        <w:jc w:val="left"/>
        <w:tblInd w:w="0" w:type="dxa"/>
        <w:tblLayout w:type="fixed"/>
        <w:tblCellMar>
          <w:top w:w="0" w:type="dxa"/>
          <w:left w:w="0" w:type="dxa"/>
          <w:bottom w:w="0" w:type="dxa"/>
          <w:right w:w="0" w:type="dxa"/>
        </w:tblCellMar>
      </w:tblPr>
      <w:tblGrid>
        <w:gridCol w:w="3785"/>
        <w:gridCol w:w="60"/>
        <w:gridCol w:w="131"/>
        <w:gridCol w:w="728"/>
        <w:gridCol w:w="60"/>
        <w:gridCol w:w="60"/>
        <w:gridCol w:w="171"/>
        <w:gridCol w:w="958"/>
        <w:gridCol w:w="60"/>
      </w:tblGrid>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assets - current (unbilled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9,747</w:t>
            </w:r>
          </w:p>
        </w:tc>
        <w:tc>
          <w:tcPr>
            <w:tcW w:w="6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Contract liabilities - current (deferred revenue)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9,767</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121,490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change in the balance of the Company’s unbilled receivables from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to </w:t>
      </w:r>
      <w:r>
        <w:rPr>
          <w:rStyle w:val="Emphasis"/>
          <w:rFonts w:ascii="Times New Roman;Times;serif" w:hAnsi="Times New Roman;Times;serif"/>
          <w:sz w:val="20"/>
        </w:rPr>
        <w:t xml:space="preserve">March 31, 2026 </w:t>
      </w:r>
      <w:r>
        <w:rPr>
          <w:rFonts w:ascii="Times New Roman;Times;serif" w:hAnsi="Times New Roman;Times;serif"/>
          <w:sz w:val="20"/>
        </w:rPr>
        <w:t xml:space="preserve">primarily reflects a timing difference between (i) when the Company satisfies its performance obligation (i.e., when product is shipped to a customer-controlled hub and control transfers in accordance with the applicable contract terms) and (ii) when the Company has an unconditional right to invoice the customer under the contractual invoicing provisions (i.e., when the customer withdraws (“pulls”) product from the customer-controlled hub). Accordingly, unbilled receivables represent amounts for which revenue has been recognized but which are </w:t>
      </w:r>
      <w:r>
        <w:rPr>
          <w:rStyle w:val="Emphasis"/>
          <w:rFonts w:ascii="Times New Roman;Times;serif" w:hAnsi="Times New Roman;Times;serif"/>
          <w:sz w:val="20"/>
        </w:rPr>
        <w:t>not</w:t>
      </w:r>
      <w:r>
        <w:rPr>
          <w:rFonts w:ascii="Times New Roman;Times;serif" w:hAnsi="Times New Roman;Times;serif"/>
          <w:sz w:val="20"/>
        </w:rPr>
        <w:t xml:space="preserve"> yet billable, and are expected to be billed as customers withdraw product from the hub.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contract liabilities (deferred revenue)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primarily relate to customer prepayments and advance billings for which revenue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recognized. Revenue is recognized upon shipment (or otherwise upon transfer of control) of the related goods in accordance with the Company’s revenue recognition policy. Contract liabilities are classified as current and are included in other current liabilities.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contract liabilities decreased by approximately $1.2 million to $8.5 million, from $9.8 million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reflecting $22.1 million of customer prepayments and advance billings recorded during the period, partially offset by $23.3 million of revenue recognized that was included in contract liabilities at the beginning of the period and/or recorded during the period.</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Transaction Price Allocated to Future Obligations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aggregate amount of transaction price allocated to remaining performance obligations that have </w:t>
      </w:r>
      <w:r>
        <w:rPr>
          <w:rStyle w:val="Emphasis"/>
          <w:rFonts w:ascii="Times New Roman;Times;serif" w:hAnsi="Times New Roman;Times;serif"/>
          <w:sz w:val="20"/>
        </w:rPr>
        <w:t>not</w:t>
      </w:r>
      <w:r>
        <w:rPr>
          <w:rFonts w:ascii="Times New Roman;Times;serif" w:hAnsi="Times New Roman;Times;serif"/>
          <w:sz w:val="20"/>
        </w:rPr>
        <w:t xml:space="preserve"> been fully satisfied as of </w:t>
      </w:r>
      <w:r>
        <w:rPr>
          <w:rStyle w:val="Emphasis"/>
          <w:rFonts w:ascii="Times New Roman;Times;serif" w:hAnsi="Times New Roman;Times;serif"/>
          <w:sz w:val="20"/>
        </w:rPr>
        <w:t xml:space="preserve"> March 31, 2026</w:t>
      </w:r>
      <w:r>
        <w:rPr>
          <w:rFonts w:ascii="Times New Roman;Times;serif" w:hAnsi="Times New Roman;Times;serif"/>
          <w:sz w:val="20"/>
        </w:rPr>
        <w:t xml:space="preserve"> related to contracts that exceed </w:t>
      </w:r>
      <w:r>
        <w:rPr>
          <w:rStyle w:val="Emphasis"/>
          <w:rFonts w:ascii="Times New Roman;Times;serif" w:hAnsi="Times New Roman;Times;serif"/>
          <w:sz w:val="20"/>
        </w:rPr>
        <w:t>one</w:t>
      </w:r>
      <w:r>
        <w:rPr>
          <w:rFonts w:ascii="Times New Roman;Times;serif" w:hAnsi="Times New Roman;Times;serif"/>
          <w:sz w:val="20"/>
        </w:rPr>
        <w:t xml:space="preserve"> year in duration amounted to $22.4 million, with expected contract expiration dates that range from </w:t>
      </w:r>
      <w:r>
        <w:rPr>
          <w:rStyle w:val="Emphasis"/>
          <w:rFonts w:ascii="Times New Roman;Times;serif" w:hAnsi="Times New Roman;Times;serif"/>
          <w:sz w:val="20"/>
        </w:rPr>
        <w:t>2027</w:t>
      </w:r>
      <w:r>
        <w:rPr>
          <w:rFonts w:ascii="Times New Roman;Times;serif" w:hAnsi="Times New Roman;Times;serif"/>
          <w:sz w:val="20"/>
        </w:rPr>
        <w:t xml:space="preserve"> – </w:t>
      </w:r>
      <w:r>
        <w:rPr>
          <w:rStyle w:val="Emphasis"/>
          <w:rFonts w:ascii="Times New Roman;Times;serif" w:hAnsi="Times New Roman;Times;serif"/>
          <w:sz w:val="20"/>
        </w:rPr>
        <w:t>2031</w:t>
      </w:r>
      <w:r>
        <w:rPr>
          <w:rFonts w:ascii="Times New Roman;Times;serif" w:hAnsi="Times New Roman;Times;serif"/>
          <w:b/>
          <w:sz w:val="20"/>
        </w:rPr>
        <w:t xml:space="preserve">. </w:t>
      </w:r>
      <w:r>
        <w:rPr>
          <w:rFonts w:ascii="Times New Roman;Times;serif" w:hAnsi="Times New Roman;Times;serif"/>
          <w:sz w:val="20"/>
        </w:rPr>
        <w:t xml:space="preserve">Based on the Company's current estimates, it is expected that approximately $4.2 million of this aggregate amount will be recognized in 2027, $0.3 million will be recognized in 2028, and $17.9 million will be recognized in the years beyond 2028. The majority of the Company's orders received (but </w:t>
      </w:r>
      <w:r>
        <w:rPr>
          <w:rStyle w:val="Emphasis"/>
          <w:rFonts w:ascii="Times New Roman;Times;serif" w:hAnsi="Times New Roman;Times;serif"/>
          <w:sz w:val="20"/>
        </w:rPr>
        <w:t>not</w:t>
      </w:r>
      <w:r>
        <w:rPr>
          <w:rFonts w:ascii="Times New Roman;Times;serif" w:hAnsi="Times New Roman;Times;serif"/>
          <w:sz w:val="20"/>
        </w:rPr>
        <w:t xml:space="preserve"> yet shipped) at </w:t>
      </w:r>
      <w:r>
        <w:rPr>
          <w:rStyle w:val="Emphasis"/>
          <w:rFonts w:ascii="Times New Roman;Times;serif" w:hAnsi="Times New Roman;Times;serif"/>
          <w:sz w:val="20"/>
        </w:rPr>
        <w:t xml:space="preserve"> March 31, 2026</w:t>
      </w:r>
      <w:r>
        <w:rPr>
          <w:rFonts w:ascii="Times New Roman;Times;serif" w:hAnsi="Times New Roman;Times;serif"/>
          <w:sz w:val="20"/>
        </w:rPr>
        <w:t xml:space="preserve"> are related to contracts that have an original expected duration of </w:t>
      </w:r>
      <w:r>
        <w:rPr>
          <w:rStyle w:val="Emphasis"/>
          <w:rFonts w:ascii="Times New Roman;Times;serif" w:hAnsi="Times New Roman;Times;serif"/>
          <w:sz w:val="20"/>
        </w:rPr>
        <w:t>one</w:t>
      </w:r>
      <w:r>
        <w:rPr>
          <w:rFonts w:ascii="Times New Roman;Times;serif" w:hAnsi="Times New Roman;Times;serif"/>
          <w:sz w:val="20"/>
        </w:rPr>
        <w:t xml:space="preserve"> year or less, for which the Company is electing to utilize the practical expedient available within the applicable guidance, and are excluded from the transaction price related to these future obligations. The Company will generally satisfy the remaining performance obligations as we transfer control of the products ordered to our customers.</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335" w:type="dxa"/>
        <w:jc w:val="left"/>
        <w:tblInd w:w="0" w:type="dxa"/>
        <w:tblLayout w:type="fixed"/>
        <w:tblCellMar>
          <w:top w:w="0" w:type="dxa"/>
          <w:left w:w="0" w:type="dxa"/>
          <w:bottom w:w="0" w:type="dxa"/>
          <w:right w:w="0" w:type="dxa"/>
        </w:tblCellMar>
      </w:tblPr>
      <w:tblGrid>
        <w:gridCol w:w="170"/>
        <w:gridCol w:w="21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4.</w:t>
            </w:r>
          </w:p>
        </w:tc>
        <w:tc>
          <w:tcPr>
            <w:tcW w:w="21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table sets forth the calculation of basic and diluted net earnings per common share under the </w:t>
      </w:r>
      <w:r>
        <w:rPr>
          <w:rStyle w:val="Emphasis"/>
          <w:rFonts w:ascii="Times New Roman;Times;serif" w:hAnsi="Times New Roman;Times;serif"/>
          <w:sz w:val="20"/>
        </w:rPr>
        <w:t>two</w:t>
      </w:r>
      <w:r>
        <w:rPr>
          <w:rFonts w:ascii="Times New Roman;Times;serif" w:hAnsi="Times New Roman;Times;serif"/>
          <w:sz w:val="20"/>
        </w:rPr>
        <w:t>-class method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w:t>
      </w:r>
    </w:p>
    <w:p>
      <w:pPr>
        <w:pStyle w:val="TextBody"/>
        <w:bidi w:val="0"/>
        <w:spacing w:before="0" w:after="0"/>
        <w:ind w:left="0" w:right="0" w:hanging="0"/>
        <w:jc w:val="both"/>
        <w:rPr/>
      </w:pPr>
      <w:r>
        <w:rPr/>
        <w:t> </w:t>
      </w:r>
    </w:p>
    <w:tbl>
      <w:tblPr>
        <w:tblW w:w="4957" w:type="dxa"/>
        <w:jc w:val="left"/>
        <w:tblInd w:w="0" w:type="dxa"/>
        <w:tblLayout w:type="fixed"/>
        <w:tblCellMar>
          <w:top w:w="0" w:type="dxa"/>
          <w:left w:w="0" w:type="dxa"/>
          <w:bottom w:w="0" w:type="dxa"/>
          <w:right w:w="0" w:type="dxa"/>
        </w:tblCellMar>
      </w:tblPr>
      <w:tblGrid>
        <w:gridCol w:w="3125"/>
        <w:gridCol w:w="60"/>
        <w:gridCol w:w="138"/>
        <w:gridCol w:w="652"/>
        <w:gridCol w:w="66"/>
        <w:gridCol w:w="66"/>
        <w:gridCol w:w="138"/>
        <w:gridCol w:w="652"/>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17,874</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dividends declared:</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Undistributed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17,010</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Undistributed earnings allocation: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undistributed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2,748</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undistributed earnings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14,262</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undistributed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17,010</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allocation:</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net earnings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14,999</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17,874</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 Basic and Diluted</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60" w:type="dxa"/>
            <w:tcBorders/>
            <w:shd w:fill="FFFFFF" w:val="clear"/>
            <w:vAlign w:val="center"/>
          </w:tcPr>
          <w:p>
            <w:pPr>
              <w:pStyle w:val="TableContents"/>
              <w:bidi w:val="0"/>
              <w:spacing w:before="0" w:after="0"/>
              <w:jc w:val="left"/>
              <w:rPr/>
            </w:pPr>
            <w:r>
              <w:rPr/>
              <w:t> </w:t>
            </w:r>
          </w:p>
        </w:tc>
      </w:tr>
      <w:tr>
        <w:trPr/>
        <w:tc>
          <w:tcPr>
            <w:tcW w:w="312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Basic</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10,457</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Diluted</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10,457</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per share: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 Basic and Diluted</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0.86</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60" w:type="dxa"/>
            <w:tcBorders/>
            <w:shd w:fill="CCEEFF" w:val="clear"/>
            <w:vAlign w:val="center"/>
          </w:tcPr>
          <w:p>
            <w:pPr>
              <w:pStyle w:val="TableContents"/>
              <w:bidi w:val="0"/>
              <w:spacing w:before="0" w:after="0"/>
              <w:jc w:val="left"/>
              <w:rPr/>
            </w:pPr>
            <w:r>
              <w:rPr/>
              <w:t> </w:t>
            </w:r>
          </w:p>
        </w:tc>
      </w:tr>
      <w:tr>
        <w:trPr/>
        <w:tc>
          <w:tcPr>
            <w:tcW w:w="312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070" w:type="dxa"/>
        <w:jc w:val="left"/>
        <w:tblInd w:w="0" w:type="dxa"/>
        <w:tblLayout w:type="fixed"/>
        <w:tblCellMar>
          <w:top w:w="0" w:type="dxa"/>
          <w:left w:w="0" w:type="dxa"/>
          <w:bottom w:w="0" w:type="dxa"/>
          <w:right w:w="0" w:type="dxa"/>
        </w:tblCellMar>
      </w:tblPr>
      <w:tblGrid>
        <w:gridCol w:w="170"/>
        <w:gridCol w:w="290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5.</w:t>
            </w:r>
          </w:p>
        </w:tc>
        <w:tc>
          <w:tcPr>
            <w:tcW w:w="29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Fair value is defined as an exit price, representing the price that would be received to sell an asset or paid to transfer a liability in an orderly transaction between market participants based upon the best use of the asset or liability at the measurement date. Entities are required to use a fair value hierarchy which maximizes the use of observable inputs and minimizes the use of unobservable inputs when measuring fair value. There are </w:t>
      </w:r>
      <w:r>
        <w:rPr>
          <w:rStyle w:val="Emphasis"/>
          <w:rFonts w:ascii="Times New Roman;Times;serif" w:hAnsi="Times New Roman;Times;serif"/>
          <w:sz w:val="20"/>
        </w:rPr>
        <w:t>three</w:t>
      </w:r>
      <w:r>
        <w:rPr>
          <w:rFonts w:ascii="Times New Roman;Times;serif" w:hAnsi="Times New Roman;Times;serif"/>
          <w:sz w:val="20"/>
        </w:rPr>
        <w:t xml:space="preserve"> levels of inputs that </w:t>
      </w:r>
      <w:r>
        <w:rPr>
          <w:rStyle w:val="Emphasis"/>
          <w:rFonts w:ascii="Times New Roman;Times;serif" w:hAnsi="Times New Roman;Times;serif"/>
          <w:sz w:val="20"/>
        </w:rPr>
        <w:t xml:space="preserve">may </w:t>
      </w:r>
      <w:r>
        <w:rPr>
          <w:rFonts w:ascii="Times New Roman;Times;serif" w:hAnsi="Times New Roman;Times;serif"/>
          <w:sz w:val="20"/>
        </w:rPr>
        <w:t>be used to measure fair value:</w:t>
      </w:r>
    </w:p>
    <w:p>
      <w:pPr>
        <w:pStyle w:val="TextBody"/>
        <w:bidi w:val="0"/>
        <w:spacing w:before="0" w:after="0"/>
        <w:ind w:left="0" w:right="0" w:hanging="0"/>
        <w:jc w:val="left"/>
        <w:rPr/>
      </w:pPr>
      <w:r>
        <w:rPr/>
        <w:t> </w:t>
      </w:r>
    </w:p>
    <w:p>
      <w:pPr>
        <w:pStyle w:val="TextBody"/>
        <w:bidi w:val="0"/>
        <w:spacing w:before="0" w:after="0"/>
        <w:ind w:left="720" w:right="0" w:hanging="0"/>
        <w:jc w:val="both"/>
        <w:rPr/>
      </w:pPr>
      <w:r>
        <w:rPr>
          <w:rFonts w:ascii="Times New Roman;Times;serif" w:hAnsi="Times New Roman;Times;serif"/>
          <w:b/>
          <w:sz w:val="20"/>
        </w:rPr>
        <w:t xml:space="preserve">Level </w:t>
      </w:r>
      <w:r>
        <w:rPr>
          <w:rStyle w:val="Emphasis"/>
          <w:rFonts w:ascii="Times New Roman;Times;serif" w:hAnsi="Times New Roman;Times;serif"/>
          <w:b/>
          <w:sz w:val="20"/>
        </w:rPr>
        <w:t>1</w:t>
      </w:r>
      <w:r>
        <w:rPr>
          <w:rFonts w:ascii="Times New Roman;Times;serif" w:hAnsi="Times New Roman;Times;serif"/>
          <w:sz w:val="20"/>
        </w:rPr>
        <w:t xml:space="preserve"> – Observable inputs such as quoted market prices in active markets;</w:t>
      </w:r>
    </w:p>
    <w:p>
      <w:pPr>
        <w:pStyle w:val="TextBody"/>
        <w:bidi w:val="0"/>
        <w:spacing w:before="0" w:after="0"/>
        <w:ind w:left="180" w:right="0" w:hanging="0"/>
        <w:jc w:val="left"/>
        <w:rPr/>
      </w:pPr>
      <w:r>
        <w:rPr/>
        <w:t> </w:t>
      </w:r>
    </w:p>
    <w:p>
      <w:pPr>
        <w:pStyle w:val="TextBody"/>
        <w:bidi w:val="0"/>
        <w:spacing w:before="0" w:after="0"/>
        <w:ind w:left="720" w:right="0" w:hanging="0"/>
        <w:jc w:val="both"/>
        <w:rPr/>
      </w:pPr>
      <w:r>
        <w:rPr>
          <w:rFonts w:ascii="Times New Roman;Times;serif" w:hAnsi="Times New Roman;Times;serif"/>
          <w:b/>
          <w:sz w:val="20"/>
        </w:rPr>
        <w:t xml:space="preserve">Level </w:t>
      </w:r>
      <w:r>
        <w:rPr>
          <w:rStyle w:val="Emphasis"/>
          <w:rFonts w:ascii="Times New Roman;Times;serif" w:hAnsi="Times New Roman;Times;serif"/>
          <w:b/>
          <w:sz w:val="20"/>
        </w:rPr>
        <w:t>2</w:t>
      </w:r>
      <w:r>
        <w:rPr>
          <w:rFonts w:ascii="Times New Roman;Times;serif" w:hAnsi="Times New Roman;Times;serif"/>
          <w:sz w:val="20"/>
        </w:rPr>
        <w:t xml:space="preserve"> – Inputs other than quoted prices in active markets that are either directly or indirectly observable; and</w:t>
      </w:r>
    </w:p>
    <w:p>
      <w:pPr>
        <w:pStyle w:val="TextBody"/>
        <w:bidi w:val="0"/>
        <w:spacing w:before="0" w:after="0"/>
        <w:ind w:left="0" w:right="0" w:hanging="0"/>
        <w:jc w:val="left"/>
        <w:rPr/>
      </w:pPr>
      <w:r>
        <w:rPr/>
        <w:t> </w:t>
      </w:r>
    </w:p>
    <w:p>
      <w:pPr>
        <w:pStyle w:val="TextBody"/>
        <w:bidi w:val="0"/>
        <w:spacing w:before="0" w:after="0"/>
        <w:ind w:left="720" w:right="0" w:hanging="0"/>
        <w:jc w:val="both"/>
        <w:rPr/>
      </w:pPr>
      <w:r>
        <w:rPr>
          <w:rFonts w:ascii="Times New Roman;Times;serif" w:hAnsi="Times New Roman;Times;serif"/>
          <w:b/>
          <w:sz w:val="20"/>
        </w:rPr>
        <w:t xml:space="preserve">Level </w:t>
      </w:r>
      <w:r>
        <w:rPr>
          <w:rStyle w:val="Emphasis"/>
          <w:rFonts w:ascii="Times New Roman;Times;serif" w:hAnsi="Times New Roman;Times;serif"/>
          <w:b/>
          <w:sz w:val="20"/>
        </w:rPr>
        <w:t>3</w:t>
      </w:r>
      <w:r>
        <w:rPr>
          <w:rFonts w:ascii="Times New Roman;Times;serif" w:hAnsi="Times New Roman;Times;serif"/>
          <w:sz w:val="20"/>
        </w:rPr>
        <w:t xml:space="preserve"> – Unobservable inputs about which little or </w:t>
      </w:r>
      <w:r>
        <w:rPr>
          <w:rStyle w:val="Emphasis"/>
          <w:rFonts w:ascii="Times New Roman;Times;serif" w:hAnsi="Times New Roman;Times;serif"/>
          <w:sz w:val="20"/>
        </w:rPr>
        <w:t>no</w:t>
      </w:r>
      <w:r>
        <w:rPr>
          <w:rFonts w:ascii="Times New Roman;Times;serif" w:hAnsi="Times New Roman;Times;serif"/>
          <w:sz w:val="20"/>
        </w:rPr>
        <w:t xml:space="preserve"> market data exists, therefore requiring an entity to develop its own assumptions.</w:t>
      </w:r>
    </w:p>
    <w:p>
      <w:pPr>
        <w:pStyle w:val="TextBody"/>
        <w:bidi w:val="0"/>
        <w:spacing w:before="0" w:after="0"/>
        <w:ind w:left="0" w:right="0" w:hanging="0"/>
        <w:jc w:val="left"/>
        <w:rPr/>
      </w:pPr>
      <w:r>
        <w:rPr/>
        <w:t>   </w:t>
      </w:r>
    </w:p>
    <w:tbl>
      <w:tblPr>
        <w:tblW w:w="9996" w:type="dxa"/>
        <w:jc w:val="left"/>
        <w:tblInd w:w="0" w:type="dxa"/>
        <w:tblLayout w:type="fixed"/>
        <w:tblCellMar>
          <w:top w:w="0" w:type="dxa"/>
          <w:left w:w="0" w:type="dxa"/>
          <w:bottom w:w="0" w:type="dxa"/>
          <w:right w:w="0" w:type="dxa"/>
        </w:tblCellMar>
      </w:tblPr>
      <w:tblGrid>
        <w:gridCol w:w="3455"/>
        <w:gridCol w:w="60"/>
        <w:gridCol w:w="220"/>
        <w:gridCol w:w="1044"/>
        <w:gridCol w:w="60"/>
        <w:gridCol w:w="60"/>
        <w:gridCol w:w="152"/>
        <w:gridCol w:w="722"/>
        <w:gridCol w:w="60"/>
        <w:gridCol w:w="60"/>
        <w:gridCol w:w="384"/>
        <w:gridCol w:w="1825"/>
        <w:gridCol w:w="60"/>
        <w:gridCol w:w="60"/>
        <w:gridCol w:w="350"/>
        <w:gridCol w:w="1364"/>
        <w:gridCol w:w="60"/>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2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 (Rabbi Trust)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 and time deposits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969</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tbl>
      <w:tblPr>
        <w:tblW w:w="9996" w:type="dxa"/>
        <w:jc w:val="left"/>
        <w:tblInd w:w="0" w:type="dxa"/>
        <w:tblLayout w:type="fixed"/>
        <w:tblCellMar>
          <w:top w:w="0" w:type="dxa"/>
          <w:left w:w="0" w:type="dxa"/>
          <w:bottom w:w="0" w:type="dxa"/>
          <w:right w:w="0" w:type="dxa"/>
        </w:tblCellMar>
      </w:tblPr>
      <w:tblGrid>
        <w:gridCol w:w="3455"/>
        <w:gridCol w:w="60"/>
        <w:gridCol w:w="220"/>
        <w:gridCol w:w="1044"/>
        <w:gridCol w:w="60"/>
        <w:gridCol w:w="60"/>
        <w:gridCol w:w="152"/>
        <w:gridCol w:w="722"/>
        <w:gridCol w:w="60"/>
        <w:gridCol w:w="60"/>
        <w:gridCol w:w="384"/>
        <w:gridCol w:w="1825"/>
        <w:gridCol w:w="60"/>
        <w:gridCol w:w="60"/>
        <w:gridCol w:w="350"/>
        <w:gridCol w:w="1364"/>
        <w:gridCol w:w="60"/>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2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ind w:left="0" w:right="0" w:hanging="0"/>
              <w:jc w:val="left"/>
              <w:rPr/>
            </w:pPr>
            <w:r>
              <w:rPr/>
              <w:t> </w:t>
            </w:r>
          </w:p>
        </w:tc>
        <w:tc>
          <w:tcPr>
            <w:tcW w:w="1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 (Rabbi Trust)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 and time deposits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March 31,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our available-for-sale securities primarily consisted of investments held in a rabbi trust which are intended to fund the Company’s Supplemental Executive Retirement Plan (“SERP”) obligations. These securities are measured at fair value using quoted prices in active markets for identical assets (Level </w:t>
      </w:r>
      <w:r>
        <w:rPr>
          <w:rStyle w:val="Emphasis"/>
          <w:rFonts w:ascii="Times New Roman;Times;serif" w:hAnsi="Times New Roman;Times;serif"/>
          <w:sz w:val="20"/>
        </w:rPr>
        <w:t>1</w:t>
      </w:r>
      <w:r>
        <w:rPr>
          <w:rFonts w:ascii="Times New Roman;Times;serif" w:hAnsi="Times New Roman;Times;serif"/>
          <w:sz w:val="20"/>
        </w:rPr>
        <w:t>) inputs and amounted to $0.4 million at </w:t>
      </w:r>
      <w:r>
        <w:rPr>
          <w:rStyle w:val="Emphasis"/>
          <w:rFonts w:ascii="Times New Roman;Times;serif" w:hAnsi="Times New Roman;Times;serif"/>
          <w:sz w:val="20"/>
        </w:rPr>
        <w:t xml:space="preserve"> March 31, 2026</w:t>
      </w:r>
      <w:r>
        <w:rPr>
          <w:rFonts w:ascii="Times New Roman;Times;serif" w:hAnsi="Times New Roman;Times;serif"/>
          <w:sz w:val="20"/>
        </w:rPr>
        <w:t> and </w:t>
      </w:r>
      <w:r>
        <w:rPr>
          <w:rFonts w:ascii="Times New Roman;Times;serif" w:hAnsi="Times New Roman;Times;serif"/>
          <w:color w:val="000000"/>
          <w:sz w:val="20"/>
        </w:rPr>
        <w:t xml:space="preserve">$0.6 million </w:t>
      </w:r>
      <w:r>
        <w:rPr>
          <w:rFonts w:ascii="Times New Roman;Times;serif" w:hAnsi="Times New Roman;Times;serif"/>
          <w:sz w:val="20"/>
        </w:rPr>
        <w:t xml:space="preserve">at </w:t>
      </w:r>
      <w:r>
        <w:rPr>
          <w:rStyle w:val="Emphasis"/>
          <w:rFonts w:ascii="Times New Roman;Times;serif" w:hAnsi="Times New Roman;Times;serif"/>
          <w:sz w:val="20"/>
        </w:rPr>
        <w:t>December 31, 2025</w:t>
      </w:r>
      <w:r>
        <w:rPr>
          <w:rFonts w:ascii="Times New Roman;Times;serif" w:hAnsi="Times New Roman;Times;serif"/>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Throughout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entered into a series of foreign currency forward contracts, the fair values of which were </w:t>
      </w:r>
      <w:r>
        <w:rPr>
          <w:rFonts w:ascii="Times New Roman" w:hAnsi="Times New Roman"/>
          <w:caps w:val="false"/>
          <w:smallCaps w:val="false"/>
          <w:color w:val="000000"/>
          <w:sz w:val="20"/>
        </w:rPr>
        <w:t>$1.3 million</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w:t>
      </w:r>
      <w:r>
        <w:rPr>
          <w:rFonts w:ascii="Times New Roman" w:hAnsi="Times New Roman"/>
          <w:caps w:val="false"/>
          <w:smallCaps w:val="false"/>
          <w:color w:val="000000"/>
          <w:sz w:val="20"/>
        </w:rPr>
        <w:t>$1.8 million</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estimated fair value of foreign currency forward contracts is based on quotes received from the applicable counterparty, and represents the estimated amount we would receive or pay to settle the contracts, taking into consideration current exchange rates which can be validated through readily observable data from external sources (Level </w:t>
      </w:r>
      <w:r>
        <w:rPr>
          <w:rStyle w:val="Emphasis"/>
          <w:rFonts w:ascii="Times New Roman" w:hAnsi="Times New Roman"/>
          <w:caps w:val="false"/>
          <w:smallCaps w:val="false"/>
          <w:sz w:val="20"/>
        </w:rPr>
        <w:t>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a party 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interest rate swap agreements as further described in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w:t>
      </w:r>
      <w:r>
        <w:rPr>
          <w:rFonts w:ascii="Times New Roman" w:hAnsi="Times New Roman"/>
          <w:i/>
          <w:caps w:val="false"/>
          <w:smallCaps w:val="false"/>
          <w:sz w:val="20"/>
        </w:rPr>
        <w:t>"Derivative Instruments and Hedging Activities"</w:t>
      </w:r>
      <w:r>
        <w:rPr>
          <w:rFonts w:ascii="Times New Roman" w:hAnsi="Times New Roman"/>
          <w:caps w:val="false"/>
          <w:smallCaps w:val="false"/>
          <w:sz w:val="20"/>
        </w:rPr>
        <w:t xml:space="preserve">. The fair value of the interest rate swap agreements was $0.6 million at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$0.9 million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which was based on market data, and represents the estimated amount we would receive or pay to settle the agreements, taking into consideration current and projected future interest rates as well as the creditworthiness of the parties, all of which can be validated through readily observable data from external sources (Level </w:t>
      </w:r>
      <w:r>
        <w:rPr>
          <w:rStyle w:val="Emphasis"/>
          <w:rFonts w:ascii="Times New Roman" w:hAnsi="Times New Roman"/>
          <w:caps w:val="false"/>
          <w:smallCaps w:val="false"/>
          <w:sz w:val="20"/>
        </w:rPr>
        <w:t>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fair values of our derivative financial instruments and their classifications in our condensed consolidated balance sheets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w:t>
      </w:r>
    </w:p>
    <w:p>
      <w:pPr>
        <w:pStyle w:val="TextBody"/>
        <w:bidi w:val="0"/>
        <w:spacing w:before="0" w:after="0"/>
        <w:ind w:left="0" w:right="0" w:hanging="0"/>
        <w:jc w:val="left"/>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170"/>
        <w:gridCol w:w="2390"/>
        <w:gridCol w:w="60"/>
        <w:gridCol w:w="271"/>
        <w:gridCol w:w="1053"/>
        <w:gridCol w:w="60"/>
        <w:gridCol w:w="60"/>
        <w:gridCol w:w="326"/>
        <w:gridCol w:w="1268"/>
        <w:gridCol w:w="60"/>
      </w:tblGrid>
      <w:tr>
        <w:trPr/>
        <w:tc>
          <w:tcPr>
            <w:tcW w:w="3170" w:type="dxa"/>
            <w:tcBorders/>
            <w:shd w:fill="FFFFFF" w:val="clear"/>
            <w:vAlign w:val="center"/>
          </w:tcPr>
          <w:p>
            <w:pPr>
              <w:pStyle w:val="TableContents"/>
              <w:bidi w:val="0"/>
              <w:spacing w:before="0" w:after="283"/>
              <w:ind w:left="0" w:right="0" w:hanging="0"/>
              <w:jc w:val="left"/>
              <w:rPr/>
            </w:pPr>
            <w:r>
              <w:rPr/>
              <w:t> </w:t>
            </w:r>
          </w:p>
        </w:tc>
        <w:tc>
          <w:tcPr>
            <w:tcW w:w="23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Balance Sheet 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assets:</w:t>
            </w:r>
          </w:p>
        </w:tc>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Designated as cash flow hedges</w:t>
            </w:r>
          </w:p>
        </w:tc>
        <w:tc>
          <w:tcPr>
            <w:tcW w:w="239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designated as hedging instruments</w:t>
            </w:r>
          </w:p>
        </w:tc>
        <w:tc>
          <w:tcPr>
            <w:tcW w:w="239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agreements:</w:t>
            </w:r>
          </w:p>
        </w:tc>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Designated as a cash flow hedge</w:t>
            </w:r>
          </w:p>
        </w:tc>
        <w:tc>
          <w:tcPr>
            <w:tcW w:w="239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60" w:type="dxa"/>
            <w:tcBorders/>
            <w:shd w:fill="FFFFFF" w:val="clear"/>
            <w:vAlign w:val="center"/>
          </w:tcPr>
          <w:p>
            <w:pPr>
              <w:pStyle w:val="TableContents"/>
              <w:bidi w:val="0"/>
              <w:spacing w:before="0" w:after="283"/>
              <w:jc w:val="left"/>
              <w:rPr/>
            </w:pPr>
            <w:r>
              <w:rPr/>
              <w:t> </w:t>
            </w:r>
          </w:p>
        </w:tc>
      </w:tr>
      <w:tr>
        <w:trPr/>
        <w:tc>
          <w:tcPr>
            <w:tcW w:w="5560" w:type="dxa"/>
            <w:gridSpan w:val="2"/>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derivative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acquisition of Enercon as further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t>
      </w:r>
      <w:r>
        <w:rPr>
          <w:rFonts w:ascii="Times New Roman" w:hAnsi="Times New Roman"/>
          <w:i/>
          <w:caps w:val="false"/>
          <w:smallCaps w:val="false"/>
          <w:sz w:val="20"/>
        </w:rPr>
        <w:t>Acquisition</w:t>
      </w:r>
      <w:r>
        <w:rPr>
          <w:rFonts w:ascii="Times New Roman" w:hAnsi="Times New Roman"/>
          <w:caps w:val="false"/>
          <w:smallCaps w:val="false"/>
          <w:sz w:val="20"/>
        </w:rPr>
        <w:t>", the sellers are eligible to receive an Earnout Payment based on the achievement of certain financial metrics for each of the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Earnout Periods. As this contingent consideration will be settled in cash by Bel if the related metrics are achieved, this contingent consideration has been classified as a liability on the accompanying balance sheets at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earnout liabilities were initially recorded at a fair value of $3.3 million at the acquisition date, with subsequent remeasurements to fair value as of the balance sheet dates calculated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inputs. At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inputs to the valuation approach for the contingent earnout liabilities include the Company's forecasted Enercon EBITDA (as defined under the terms of the Purchase Agreement) for each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 estimated EBITDA volatility measure of</w:t>
      </w:r>
      <w:r>
        <w:rPr>
          <w:rFonts w:ascii="Times New Roman" w:hAnsi="Times New Roman"/>
          <w:caps w:val="false"/>
          <w:smallCaps w:val="false"/>
          <w:color w:val="000000"/>
          <w:sz w:val="20"/>
        </w:rPr>
        <w:t> 57.1%, and 52.1%, respectively,</w:t>
      </w:r>
      <w:r>
        <w:rPr>
          <w:rFonts w:ascii="Times New Roman" w:hAnsi="Times New Roman"/>
          <w:caps w:val="false"/>
          <w:smallCaps w:val="false"/>
          <w:sz w:val="20"/>
        </w:rPr>
        <w:t xml:space="preserve"> an expected term of 2 years and a discount rate on the Earnout Payments of</w:t>
      </w:r>
      <w:r>
        <w:rPr>
          <w:rFonts w:ascii="Times New Roman" w:hAnsi="Times New Roman"/>
          <w:caps w:val="false"/>
          <w:smallCaps w:val="false"/>
          <w:color w:val="000000"/>
          <w:sz w:val="20"/>
        </w:rPr>
        <w:t xml:space="preserve"> 6.10% and 6.66%, respectively. T</w:t>
      </w:r>
      <w:r>
        <w:rPr>
          <w:rFonts w:ascii="Times New Roman" w:hAnsi="Times New Roman"/>
          <w:caps w:val="false"/>
          <w:smallCaps w:val="false"/>
          <w:sz w:val="20"/>
        </w:rPr>
        <w:t xml:space="preserve">he fair value of the earnout liabilities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were as follows:</w:t>
      </w:r>
    </w:p>
    <w:p>
      <w:pPr>
        <w:pStyle w:val="TextBody"/>
        <w:bidi w:val="0"/>
        <w:spacing w:before="0" w:after="0"/>
        <w:ind w:left="0" w:right="0" w:hanging="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2690"/>
        <w:gridCol w:w="2390"/>
        <w:gridCol w:w="60"/>
        <w:gridCol w:w="271"/>
        <w:gridCol w:w="1053"/>
        <w:gridCol w:w="60"/>
        <w:gridCol w:w="60"/>
        <w:gridCol w:w="326"/>
        <w:gridCol w:w="1268"/>
        <w:gridCol w:w="60"/>
      </w:tblGrid>
      <w:tr>
        <w:trPr/>
        <w:tc>
          <w:tcPr>
            <w:tcW w:w="2690" w:type="dxa"/>
            <w:tcBorders/>
            <w:shd w:fill="FFFFFF" w:val="clear"/>
            <w:vAlign w:val="center"/>
          </w:tcPr>
          <w:p>
            <w:pPr>
              <w:pStyle w:val="TableContents"/>
              <w:bidi w:val="0"/>
              <w:spacing w:before="0" w:after="283"/>
              <w:jc w:val="left"/>
              <w:rPr/>
            </w:pPr>
            <w:r>
              <w:rPr/>
              <w:t> </w:t>
            </w:r>
          </w:p>
        </w:tc>
        <w:tc>
          <w:tcPr>
            <w:tcW w:w="239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ind w:left="0" w:right="0" w:hanging="0"/>
              <w:jc w:val="left"/>
              <w:rPr/>
            </w:pPr>
            <w:r>
              <w:rPr/>
              <w:t> </w:t>
            </w:r>
          </w:p>
        </w:tc>
        <w:tc>
          <w:tcPr>
            <w:tcW w:w="23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Balance Sheet 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Liabilities:</w:t>
            </w:r>
          </w:p>
        </w:tc>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payment liability - 2025</w:t>
            </w:r>
          </w:p>
        </w:tc>
        <w:tc>
          <w:tcPr>
            <w:tcW w:w="239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4,916</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payment liability - 2026</w:t>
            </w:r>
          </w:p>
        </w:tc>
        <w:tc>
          <w:tcPr>
            <w:tcW w:w="239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1,709</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change in the fair value of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Earnout Payment noted above from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March 31, 2026 </w:t>
      </w:r>
      <w:r>
        <w:rPr>
          <w:rFonts w:ascii="Times New Roman" w:hAnsi="Times New Roman"/>
          <w:caps w:val="false"/>
          <w:smallCaps w:val="false"/>
          <w:sz w:val="20"/>
        </w:rPr>
        <w:t xml:space="preserve">relates to the full achievement of the earnout targets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resulting payment thereof to the Sellers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Changes in the fair value of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Earnout Payment have been recognized through earnings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Aside from the earnout liability described above,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financial assets measured at fair value on a recurring basis categorized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and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transfers in or out of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or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Company’s valuation techniques used to measure fair values on a recurring or nonrecurring basis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 </w:t>
      </w:r>
      <w:r>
        <w:rPr>
          <w:rFonts w:ascii="Times New Roman" w:hAnsi="Times New Roman"/>
          <w:caps w:val="false"/>
          <w:smallCaps w:val="false"/>
          <w:sz w:val="20"/>
        </w:rPr>
        <w:t>or </w:t>
      </w:r>
      <w:r>
        <w:rPr>
          <w:rStyle w:val="Emphasis"/>
          <w:rFonts w:ascii="Times New Roman" w:hAnsi="Times New Roman"/>
          <w:caps w:val="false"/>
          <w:smallCaps w:val="false"/>
          <w:sz w:val="20"/>
        </w:rPr>
        <w:t xml:space="preserve">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 connection with the Company's annual impairment test of indefinite-lived intangible assets and determined that no impairment charges were required. There were no financial assets or indefinite-lived intangible assets measured at fair value on a nonrecurring basis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Company has other financial instruments, such as cash and cash equivalents, accounts receivable, accounts payable and accrued expenses,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measured at fair value on a recurring basis but are recorded at amounts that approximate fair value due to their liquid or short-term nature. </w:t>
      </w:r>
      <w:r>
        <w:rPr>
          <w:rFonts w:ascii="Times New Roman" w:hAnsi="Times New Roman"/>
          <w:caps w:val="false"/>
          <w:smallCaps w:val="false"/>
          <w:color w:val="000000"/>
          <w:sz w:val="20"/>
        </w:rPr>
        <w:t>The fair value of the Company’s long-term debt is estimated using a discounted cash flow method based on interest rates that are currently available for debt issuances with similar terms and maturities. At </w:t>
      </w:r>
      <w:r>
        <w:rPr>
          <w:rStyle w:val="Emphasis"/>
          <w:rFonts w:ascii="Times New Roman" w:hAnsi="Times New Roman"/>
          <w:caps w:val="false"/>
          <w:smallCaps w:val="false"/>
          <w:sz w:val="20"/>
        </w:rPr>
        <w:t xml:space="preserve"> March 31, 2026</w:t>
      </w:r>
      <w:r>
        <w:rPr>
          <w:rFonts w:ascii="Times New Roman" w:hAnsi="Times New Roman"/>
          <w:caps w:val="false"/>
          <w:smallCaps w:val="false"/>
          <w:color w:val="000000"/>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color w:val="000000"/>
          <w:sz w:val="20"/>
        </w:rPr>
        <w:t>, the estimated fair value of total debt was $204.3 million and $196.5 million, respectively, compared to a carrying amount of $204.5 million and $197.5 million, respectively</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other financial liabilities within the scope of the fair value disclosure requirements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Nonfinancial assets and liabilities, such as goodwill, indefinite-lived intangible assets and long-lived assets, are accounted for at fair value on a nonrecurring basis. These items are tested for impairment upon the occurrence of a triggering event or in the case of goodwill, on at least an annual basis. Based on the Company's assessment,</w:t>
      </w:r>
      <w:r>
        <w:rPr>
          <w:rFonts w:ascii="Times New Roman" w:hAnsi="Times New Roman"/>
          <w:caps w:val="false"/>
          <w:smallCaps w:val="false"/>
          <w:color w:val="000000"/>
          <w:sz w:val="20"/>
        </w:rPr>
        <w:t xml:space="preserve"> it was concluded that </w:t>
      </w:r>
      <w:r>
        <w:rPr>
          <w:rStyle w:val="Emphasis"/>
          <w:rFonts w:ascii="Times New Roman" w:hAnsi="Times New Roman"/>
          <w:caps w:val="false"/>
          <w:smallCaps w:val="false"/>
          <w:color w:val="000000"/>
          <w:sz w:val="20"/>
        </w:rPr>
        <w:t>no</w:t>
      </w:r>
      <w:r>
        <w:rPr>
          <w:rFonts w:ascii="Times New Roman" w:hAnsi="Times New Roman"/>
          <w:caps w:val="false"/>
          <w:smallCaps w:val="false"/>
          <w:color w:val="000000"/>
          <w:sz w:val="20"/>
        </w:rPr>
        <w:t xml:space="preserve"> triggering events occurred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March 31, 2025</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1540" w:type="dxa"/>
        <w:jc w:val="left"/>
        <w:tblInd w:w="0" w:type="dxa"/>
        <w:tblLayout w:type="fixed"/>
        <w:tblCellMar>
          <w:top w:w="0" w:type="dxa"/>
          <w:left w:w="0" w:type="dxa"/>
          <w:bottom w:w="0" w:type="dxa"/>
          <w:right w:w="0" w:type="dxa"/>
        </w:tblCellMar>
      </w:tblPr>
      <w:tblGrid>
        <w:gridCol w:w="170"/>
        <w:gridCol w:w="137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6.</w:t>
            </w:r>
          </w:p>
        </w:tc>
        <w:tc>
          <w:tcPr>
            <w:tcW w:w="13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inventories are as follows:</w:t>
      </w:r>
    </w:p>
    <w:p>
      <w:pPr>
        <w:pStyle w:val="TextBody"/>
        <w:bidi w:val="0"/>
        <w:spacing w:before="0" w:after="0"/>
        <w:ind w:left="0" w:right="0" w:hanging="0"/>
        <w:jc w:val="left"/>
        <w:rPr/>
      </w:pPr>
      <w:r>
        <w:rPr/>
        <w:t> </w:t>
      </w:r>
    </w:p>
    <w:tbl>
      <w:tblPr>
        <w:tblW w:w="3628" w:type="dxa"/>
        <w:jc w:val="left"/>
        <w:tblInd w:w="0" w:type="dxa"/>
        <w:tblLayout w:type="fixed"/>
        <w:tblCellMar>
          <w:top w:w="0" w:type="dxa"/>
          <w:left w:w="0" w:type="dxa"/>
          <w:bottom w:w="0" w:type="dxa"/>
          <w:right w:w="0" w:type="dxa"/>
        </w:tblCellMar>
      </w:tblPr>
      <w:tblGrid>
        <w:gridCol w:w="1400"/>
        <w:gridCol w:w="60"/>
        <w:gridCol w:w="131"/>
        <w:gridCol w:w="728"/>
        <w:gridCol w:w="60"/>
        <w:gridCol w:w="60"/>
        <w:gridCol w:w="171"/>
        <w:gridCol w:w="958"/>
        <w:gridCol w:w="60"/>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81,862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73,629</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8"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59,886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58,076</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39,486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35,565</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181,234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760" w:type="dxa"/>
        <w:jc w:val="left"/>
        <w:tblInd w:w="0" w:type="dxa"/>
        <w:tblLayout w:type="fixed"/>
        <w:tblCellMar>
          <w:top w:w="0" w:type="dxa"/>
          <w:left w:w="0" w:type="dxa"/>
          <w:bottom w:w="0" w:type="dxa"/>
          <w:right w:w="0" w:type="dxa"/>
        </w:tblCellMar>
      </w:tblPr>
      <w:tblGrid>
        <w:gridCol w:w="170"/>
        <w:gridCol w:w="359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7.</w:t>
            </w:r>
          </w:p>
        </w:tc>
        <w:tc>
          <w:tcPr>
            <w:tcW w:w="3590" w:type="dxa"/>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PROPERTY, PLANT AND EQUIPMENT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consist of the following:</w:t>
      </w:r>
    </w:p>
    <w:p>
      <w:pPr>
        <w:pStyle w:val="TextBody"/>
        <w:bidi w:val="0"/>
        <w:spacing w:before="0" w:after="0"/>
        <w:ind w:left="0" w:right="0" w:hanging="0"/>
        <w:jc w:val="left"/>
        <w:rPr/>
      </w:pPr>
      <w:r>
        <w:rPr/>
        <w:t> </w:t>
      </w:r>
    </w:p>
    <w:tbl>
      <w:tblPr>
        <w:tblW w:w="5273" w:type="dxa"/>
        <w:jc w:val="left"/>
        <w:tblInd w:w="0" w:type="dxa"/>
        <w:tblLayout w:type="fixed"/>
        <w:tblCellMar>
          <w:top w:w="0" w:type="dxa"/>
          <w:left w:w="0" w:type="dxa"/>
          <w:bottom w:w="0" w:type="dxa"/>
          <w:right w:w="0" w:type="dxa"/>
        </w:tblCellMar>
      </w:tblPr>
      <w:tblGrid>
        <w:gridCol w:w="3005"/>
        <w:gridCol w:w="60"/>
        <w:gridCol w:w="131"/>
        <w:gridCol w:w="728"/>
        <w:gridCol w:w="80"/>
        <w:gridCol w:w="60"/>
        <w:gridCol w:w="171"/>
        <w:gridCol w:w="958"/>
        <w:gridCol w:w="80"/>
      </w:tblGrid>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16,408</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103,445</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7,114</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127,097</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Depreciation expense was</w:t>
      </w:r>
      <w:r>
        <w:rPr>
          <w:rFonts w:ascii="Times New Roman;Times;serif" w:hAnsi="Times New Roman;Times;serif"/>
          <w:color w:val="000000"/>
          <w:sz w:val="20"/>
        </w:rPr>
        <w:t xml:space="preserve"> $2.9 </w:t>
      </w:r>
      <w:r>
        <w:rPr>
          <w:rFonts w:ascii="Times New Roman;Times;serif" w:hAnsi="Times New Roman;Times;serif"/>
          <w:sz w:val="20"/>
        </w:rPr>
        <w:t xml:space="preserve">million and </w:t>
      </w:r>
      <w:r>
        <w:rPr>
          <w:rFonts w:ascii="Times New Roman;Times;serif" w:hAnsi="Times New Roman;Times;serif"/>
          <w:color w:val="000000"/>
          <w:sz w:val="20"/>
        </w:rPr>
        <w:t>$3.0</w:t>
      </w:r>
      <w:r>
        <w:rPr>
          <w:rFonts w:ascii="Times New Roman;Times;serif" w:hAnsi="Times New Roman;Times;serif"/>
          <w:sz w:val="20"/>
        </w:rPr>
        <w:t xml:space="preserve"> million,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March 31,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Depreciation expense related to our manufacturing facilities and equipment is included in cost of sales and depreciation expense associated with administrative facilities and office equipment is included in selling, general and administrative expense within the accompanying condensed consolidated statements of operations.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185" w:type="dxa"/>
        <w:jc w:val="left"/>
        <w:tblInd w:w="0" w:type="dxa"/>
        <w:tblLayout w:type="fixed"/>
        <w:tblCellMar>
          <w:top w:w="0" w:type="dxa"/>
          <w:left w:w="0" w:type="dxa"/>
          <w:bottom w:w="0" w:type="dxa"/>
          <w:right w:w="0" w:type="dxa"/>
        </w:tblCellMar>
      </w:tblPr>
      <w:tblGrid>
        <w:gridCol w:w="170"/>
        <w:gridCol w:w="201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8.</w:t>
            </w:r>
          </w:p>
        </w:tc>
        <w:tc>
          <w:tcPr>
            <w:tcW w:w="20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EXPENSES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expenses consist of the following:</w:t>
      </w:r>
    </w:p>
    <w:p>
      <w:pPr>
        <w:pStyle w:val="TextBody"/>
        <w:bidi w:val="0"/>
        <w:spacing w:before="0" w:after="0"/>
        <w:ind w:left="0" w:right="0" w:hanging="0"/>
        <w:jc w:val="left"/>
        <w:rPr/>
      </w:pPr>
      <w:r>
        <w:rPr/>
        <w:t> </w:t>
      </w:r>
    </w:p>
    <w:tbl>
      <w:tblPr>
        <w:tblW w:w="5263" w:type="dxa"/>
        <w:jc w:val="left"/>
        <w:tblInd w:w="0" w:type="dxa"/>
        <w:tblLayout w:type="fixed"/>
        <w:tblCellMar>
          <w:top w:w="0" w:type="dxa"/>
          <w:left w:w="0" w:type="dxa"/>
          <w:bottom w:w="0" w:type="dxa"/>
          <w:right w:w="0" w:type="dxa"/>
        </w:tblCellMar>
      </w:tblPr>
      <w:tblGrid>
        <w:gridCol w:w="3035"/>
        <w:gridCol w:w="60"/>
        <w:gridCol w:w="150"/>
        <w:gridCol w:w="709"/>
        <w:gridCol w:w="60"/>
        <w:gridCol w:w="60"/>
        <w:gridCol w:w="197"/>
        <w:gridCol w:w="932"/>
        <w:gridCol w:w="60"/>
      </w:tblGrid>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bonuses and related benefits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37,426</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restructuring costs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commissions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accrual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7,905</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42,727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49,710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rFonts w:ascii="Times New Roman;Times;serif" w:hAnsi="Times New Roman;Times;serif"/>
          <w:color w:val="000000"/>
          <w:sz w:val="20"/>
        </w:rPr>
        <w:t xml:space="preserve">The change in warranty accrual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2026</w:t>
      </w:r>
      <w:r>
        <w:rPr>
          <w:rFonts w:ascii="Times New Roman;Times;serif" w:hAnsi="Times New Roman;Times;serif"/>
          <w:color w:val="000000"/>
          <w:sz w:val="20"/>
        </w:rPr>
        <w:t xml:space="preserve"> primarily related to repair costs incurred and adjustments to pre-existing warranties. The new warranty charges incurred </w:t>
      </w:r>
      <w:r>
        <w:rPr>
          <w:rFonts w:ascii="Times New Roman;Times;serif" w:hAnsi="Times New Roman;Times;serif"/>
          <w:sz w:val="20"/>
        </w:rPr>
        <w:t xml:space="preserve">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2026</w:t>
      </w:r>
      <w:r>
        <w:rPr>
          <w:rFonts w:ascii="Times New Roman;Times;serif" w:hAnsi="Times New Roman;Times;serif"/>
          <w:sz w:val="20"/>
        </w:rPr>
        <w:t>. were less than $0.1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Restructuring Activities: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Activity and liability balances related to restructuring costs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2026</w:t>
      </w:r>
      <w:r>
        <w:rPr>
          <w:rFonts w:ascii="Times New Roman;Times;serif" w:hAnsi="Times New Roman;Times;serif"/>
          <w:sz w:val="20"/>
        </w:rPr>
        <w:t xml:space="preserve"> are as follows:</w:t>
      </w:r>
    </w:p>
    <w:p>
      <w:pPr>
        <w:pStyle w:val="TextBody"/>
        <w:bidi w:val="0"/>
        <w:spacing w:before="0" w:after="0"/>
        <w:ind w:left="0" w:right="0" w:hanging="0"/>
        <w:jc w:val="left"/>
        <w:rPr/>
      </w:pPr>
      <w:r>
        <w:rPr/>
        <w:t> </w:t>
      </w:r>
    </w:p>
    <w:tbl>
      <w:tblPr>
        <w:tblW w:w="6623" w:type="dxa"/>
        <w:jc w:val="left"/>
        <w:tblInd w:w="0" w:type="dxa"/>
        <w:tblLayout w:type="fixed"/>
        <w:tblCellMar>
          <w:top w:w="0" w:type="dxa"/>
          <w:left w:w="0" w:type="dxa"/>
          <w:bottom w:w="0" w:type="dxa"/>
          <w:right w:w="0" w:type="dxa"/>
        </w:tblCellMar>
      </w:tblPr>
      <w:tblGrid>
        <w:gridCol w:w="2000"/>
        <w:gridCol w:w="60"/>
        <w:gridCol w:w="307"/>
        <w:gridCol w:w="822"/>
        <w:gridCol w:w="60"/>
        <w:gridCol w:w="60"/>
        <w:gridCol w:w="280"/>
        <w:gridCol w:w="430"/>
        <w:gridCol w:w="103"/>
        <w:gridCol w:w="103"/>
        <w:gridCol w:w="303"/>
        <w:gridCol w:w="961"/>
        <w:gridCol w:w="80"/>
        <w:gridCol w:w="60"/>
        <w:gridCol w:w="254"/>
        <w:gridCol w:w="680"/>
        <w:gridCol w:w="60"/>
      </w:tblGrid>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Liability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center"/>
              <w:rPr/>
            </w:pPr>
            <w:r>
              <w:rPr>
                <w:rStyle w:val="Emphasis"/>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Payments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Liability at</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New</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and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Charges</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Settlements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Severance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shd w:fill="CCEEFF" w:val="clear"/>
            <w:vAlign w:val="center"/>
          </w:tcPr>
          <w:p>
            <w:pPr>
              <w:pStyle w:val="TableContents"/>
              <w:bidi w:val="0"/>
              <w:spacing w:before="0" w:after="283"/>
              <w:ind w:left="0" w:right="0" w:hanging="0"/>
              <w:jc w:val="right"/>
              <w:rPr>
                <w:rFonts w:ascii="Times New Roman" w:hAnsi="Times New Roman"/>
                <w:color w:val="000000"/>
                <w:sz w:val="20"/>
              </w:rPr>
            </w:pPr>
            <w:r>
              <w:rPr>
                <w:rFonts w:ascii="Times New Roman" w:hAnsi="Times New Roman"/>
                <w:color w:val="000000"/>
                <w:sz w:val="20"/>
              </w:rPr>
              <w:t>(45</w:t>
            </w:r>
          </w:p>
        </w:tc>
        <w:tc>
          <w:tcPr>
            <w:tcW w:w="8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0" w:type="dxa"/>
            <w:tcBorders/>
            <w:shd w:fill="CCEEFF" w:val="clear"/>
            <w:vAlign w:val="center"/>
          </w:tcPr>
          <w:p>
            <w:pPr>
              <w:pStyle w:val="TableContents"/>
              <w:bidi w:val="0"/>
              <w:spacing w:before="0" w:after="283"/>
              <w:ind w:left="0" w:right="0" w:hanging="0"/>
              <w:jc w:val="right"/>
              <w:rPr>
                <w:rFonts w:ascii="Times New Roman" w:hAnsi="Times New Roman"/>
                <w:color w:val="000000"/>
                <w:sz w:val="20"/>
              </w:rPr>
            </w:pPr>
            <w:r>
              <w:rPr>
                <w:rFonts w:ascii="Times New Roman" w:hAnsi="Times New Roman"/>
                <w:color w:val="000000"/>
                <w:sz w:val="20"/>
              </w:rPr>
              <w:t>116</w:t>
            </w:r>
          </w:p>
        </w:tc>
        <w:tc>
          <w:tcPr>
            <w:tcW w:w="6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restructuring costs</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color w:val="000000"/>
                <w:sz w:val="20"/>
              </w:rPr>
            </w:pPr>
            <w:r>
              <w:rPr>
                <w:rFonts w:ascii="Times New Roman" w:hAnsi="Times New Roman"/>
                <w:color w:val="000000"/>
                <w:sz w:val="20"/>
              </w:rPr>
              <w:t>-</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color w:val="000000"/>
                <w:sz w:val="20"/>
              </w:rPr>
            </w:pPr>
            <w:r>
              <w:rPr>
                <w:rFonts w:ascii="Times New Roman" w:hAnsi="Times New Roman"/>
                <w:color w:val="000000"/>
                <w:sz w:val="20"/>
              </w:rPr>
              <w:t>(351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balance of accrued restructuring costs at </w:t>
      </w:r>
      <w:r>
        <w:rPr>
          <w:rStyle w:val="Emphasis"/>
          <w:rFonts w:ascii="Times New Roman" w:hAnsi="Times New Roman"/>
          <w:caps w:val="false"/>
          <w:smallCaps w:val="false"/>
          <w:sz w:val="20"/>
        </w:rPr>
        <w:t>March 31, 2026</w:t>
      </w:r>
      <w:r>
        <w:rPr>
          <w:rFonts w:ascii="Times New Roman" w:hAnsi="Times New Roman"/>
          <w:caps w:val="false"/>
          <w:smallCaps w:val="false"/>
          <w:color w:val="000000"/>
          <w:sz w:val="20"/>
        </w:rPr>
        <w:t> is primarily related to remaining liabilities associated with the Company's facility consolidation project in China where multiple Industrial Technology &amp; Data Solutions manufacturing sites were consolidated.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bidi w:val="0"/>
        <w:jc w:val="both"/>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pPr>
      <w:r>
        <w:rPr/>
        <w:t xml:space="preserve">  </w:t>
      </w:r>
    </w:p>
    <w:tbl>
      <w:tblPr>
        <w:tblW w:w="5665" w:type="dxa"/>
        <w:jc w:val="left"/>
        <w:tblInd w:w="0" w:type="dxa"/>
        <w:tblLayout w:type="fixed"/>
        <w:tblCellMar>
          <w:top w:w="0" w:type="dxa"/>
          <w:left w:w="0" w:type="dxa"/>
          <w:bottom w:w="0" w:type="dxa"/>
          <w:right w:w="0" w:type="dxa"/>
        </w:tblCellMar>
      </w:tblPr>
      <w:tblGrid>
        <w:gridCol w:w="350"/>
        <w:gridCol w:w="5315"/>
      </w:tblGrid>
      <w:tr>
        <w:trPr/>
        <w:tc>
          <w:tcPr>
            <w:tcW w:w="35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    </w:t>
            </w:r>
          </w:p>
        </w:tc>
        <w:tc>
          <w:tcPr>
            <w:tcW w:w="53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INSTRUMENTS AND HEDGING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primary objective for holding derivative financial instruments is to manage foreign currency exchange rate risk and interest rate risk, when deemed appropriate. We enter into these contracts in the normal course of business to mitigate risks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Forward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Under our risk management strategy, we periodically use foreign currency forward contracts to manage our short-term exposures to fluctuations in operational cash flows resulting from changes in foreign currency exchange rates. These cash flow exposures result from portions of our forecasted operating expenses, primarily compensation and related expenses, which are transacted in currencies other than the U.S. dollar, most notably the Chinese renminbi, Mexican peso and Israeli shekel.</w:t>
      </w:r>
      <w:r>
        <w:rPr>
          <w:rFonts w:ascii="Times New Roman" w:hAnsi="Times New Roman"/>
          <w:caps w:val="false"/>
          <w:smallCaps w:val="false"/>
          <w:color w:val="000000"/>
          <w:sz w:val="20"/>
        </w:rPr>
        <w:t xml:space="preserve"> These foreign currency forward contracts generally have maturities of </w:t>
      </w:r>
      <w:r>
        <w:rPr>
          <w:rStyle w:val="Emphasis"/>
          <w:rFonts w:ascii="Times New Roman" w:hAnsi="Times New Roman"/>
          <w:caps w:val="false"/>
          <w:smallCaps w:val="false"/>
          <w:color w:val="000000"/>
          <w:sz w:val="20"/>
        </w:rPr>
        <w:t>no</w:t>
      </w:r>
      <w:r>
        <w:rPr>
          <w:rFonts w:ascii="Times New Roman" w:hAnsi="Times New Roman"/>
          <w:caps w:val="false"/>
          <w:smallCaps w:val="false"/>
          <w:color w:val="000000"/>
          <w:sz w:val="20"/>
        </w:rPr>
        <w:t xml:space="preserve"> longer than </w:t>
      </w:r>
      <w:r>
        <w:rPr>
          <w:rStyle w:val="Emphasis"/>
          <w:rFonts w:ascii="Times New Roman" w:hAnsi="Times New Roman"/>
          <w:caps w:val="false"/>
          <w:smallCaps w:val="false"/>
          <w:color w:val="000000"/>
          <w:sz w:val="20"/>
        </w:rPr>
        <w:t>twelve</w:t>
      </w:r>
      <w:r>
        <w:rPr>
          <w:rFonts w:ascii="Times New Roman" w:hAnsi="Times New Roman"/>
          <w:caps w:val="false"/>
          <w:smallCaps w:val="false"/>
          <w:color w:val="000000"/>
          <w:sz w:val="20"/>
        </w:rPr>
        <w:t xml:space="preserve"> months, although occasionally we will execute a contract that extends beyond </w:t>
      </w:r>
      <w:r>
        <w:rPr>
          <w:rStyle w:val="Emphasis"/>
          <w:rFonts w:ascii="Times New Roman" w:hAnsi="Times New Roman"/>
          <w:caps w:val="false"/>
          <w:smallCaps w:val="false"/>
          <w:color w:val="000000"/>
          <w:sz w:val="20"/>
        </w:rPr>
        <w:t>twelve</w:t>
      </w:r>
      <w:r>
        <w:rPr>
          <w:rFonts w:ascii="Times New Roman" w:hAnsi="Times New Roman"/>
          <w:caps w:val="false"/>
          <w:smallCaps w:val="false"/>
          <w:color w:val="000000"/>
          <w:sz w:val="20"/>
        </w:rPr>
        <w:t xml:space="preserve"> months, depending upon the nature of the underlying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held outstanding foreign currency forward contracts with notional amounts of </w:t>
      </w:r>
      <w:r>
        <w:rPr>
          <w:rFonts w:ascii="Times New Roman" w:hAnsi="Times New Roman"/>
          <w:caps w:val="false"/>
          <w:smallCaps w:val="false"/>
          <w:color w:val="000000"/>
          <w:sz w:val="20"/>
        </w:rPr>
        <w:t>$55.6</w:t>
      </w:r>
      <w:r>
        <w:rPr>
          <w:rFonts w:ascii="Times New Roman" w:hAnsi="Times New Roman"/>
          <w:caps w:val="false"/>
          <w:smallCaps w:val="false"/>
          <w:sz w:val="20"/>
        </w:rPr>
        <w:t xml:space="preserve"> million and </w:t>
      </w:r>
      <w:r>
        <w:rPr>
          <w:rFonts w:ascii="Times New Roman" w:hAnsi="Times New Roman"/>
          <w:caps w:val="false"/>
          <w:smallCaps w:val="false"/>
          <w:color w:val="000000"/>
          <w:sz w:val="20"/>
        </w:rPr>
        <w:t>$49.6</w:t>
      </w:r>
      <w:r>
        <w:rPr>
          <w:rFonts w:ascii="Times New Roman" w:hAnsi="Times New Roman"/>
          <w:caps w:val="false"/>
          <w:smallCaps w:val="false"/>
          <w:sz w:val="20"/>
        </w:rPr>
        <w:t xml:space="preserve"> million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 The Company's foreign currency forward contracts related to the Chinese renminbi are designated as cash flow hedges for accounting purposes and as such, changes in their fair value are recognized in accumulated other comprehensive loss in the consolidated balance sheet and are reclassified into the statement of operations within cost of goods sold in the period in which the hedged transaction affects earnings.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 Rate Swap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To partially mitigate risks associated with the variable interest rates on the revolver borrowings under our Credit Agreement (as defined and described in </w:t>
      </w:r>
      <w:r>
        <w:rPr>
          <w:rFonts w:ascii="Times New Roman" w:hAnsi="Times New Roman"/>
          <w:caps w:val="false"/>
          <w:smallCaps w:val="false"/>
          <w:color w:val="000000"/>
          <w:sz w:val="20"/>
        </w:rPr>
        <w:t xml:space="preserve">Note </w:t>
      </w:r>
      <w:r>
        <w:rPr>
          <w:rStyle w:val="Emphasis"/>
          <w:rFonts w:ascii="Times New Roman" w:hAnsi="Times New Roman"/>
          <w:caps w:val="false"/>
          <w:smallCaps w:val="false"/>
          <w:color w:val="000000"/>
          <w:sz w:val="20"/>
        </w:rPr>
        <w:t>10,</w:t>
      </w:r>
      <w:r>
        <w:rPr>
          <w:rFonts w:ascii="Times New Roman" w:hAnsi="Times New Roman"/>
          <w:caps w:val="false"/>
          <w:smallCaps w:val="false"/>
          <w:color w:val="000000"/>
          <w:sz w:val="20"/>
        </w:rPr>
        <w:t xml:space="preserve"> "</w:t>
      </w:r>
      <w:r>
        <w:rPr>
          <w:rFonts w:ascii="Times New Roman" w:hAnsi="Times New Roman"/>
          <w:i/>
          <w:caps w:val="false"/>
          <w:smallCaps w:val="false"/>
          <w:color w:val="000000"/>
          <w:sz w:val="20"/>
        </w:rPr>
        <w:t>Debt</w:t>
      </w:r>
      <w:r>
        <w:rPr>
          <w:rFonts w:ascii="Times New Roman" w:hAnsi="Times New Roman"/>
          <w:caps w:val="false"/>
          <w:smallCaps w:val="false"/>
          <w:color w:val="000000"/>
          <w:sz w:val="20"/>
        </w:rPr>
        <w:t>"</w:t>
      </w:r>
      <w:r>
        <w:rPr>
          <w:rFonts w:ascii="Times New Roman" w:hAnsi="Times New Roman"/>
          <w:caps w:val="false"/>
          <w:smallCaps w:val="false"/>
          <w:sz w:val="20"/>
        </w:rPr>
        <w:t xml:space="preserve">, below),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we executed a pay-fixed, receive-variable interest rate swap agreement with each of</w:t>
      </w:r>
      <w:r>
        <w:rPr>
          <w:rFonts w:ascii="Times New Roman" w:hAnsi="Times New Roman"/>
          <w:caps w:val="false"/>
          <w:smallCaps w:val="false"/>
          <w:color w:val="000000"/>
          <w:sz w:val="20"/>
        </w:rPr>
        <w:t xml:space="preserve"> </w:t>
      </w:r>
      <w:r>
        <w:rPr>
          <w:rStyle w:val="Emphasis"/>
          <w:rFonts w:ascii="Times New Roman" w:hAnsi="Times New Roman"/>
          <w:caps w:val="false"/>
          <w:smallCaps w:val="false"/>
          <w:color w:val="000000"/>
          <w:sz w:val="20"/>
        </w:rPr>
        <w:t>two</w:t>
      </w:r>
      <w:r>
        <w:rPr>
          <w:rFonts w:ascii="Times New Roman" w:hAnsi="Times New Roman"/>
          <w:caps w:val="false"/>
          <w:smallCaps w:val="false"/>
          <w:color w:val="000000"/>
          <w:sz w:val="20"/>
        </w:rPr>
        <w:t xml:space="preserve"> mu</w:t>
      </w:r>
      <w:r>
        <w:rPr>
          <w:rFonts w:ascii="Times New Roman" w:hAnsi="Times New Roman"/>
          <w:caps w:val="false"/>
          <w:smallCaps w:val="false"/>
          <w:sz w:val="20"/>
        </w:rPr>
        <w:t>ltinational financial institutions under which we (i) pay interest at a fixed rate of</w:t>
      </w:r>
      <w:r>
        <w:rPr>
          <w:rFonts w:ascii="Times New Roman" w:hAnsi="Times New Roman"/>
          <w:caps w:val="false"/>
          <w:smallCaps w:val="false"/>
          <w:color w:val="000000"/>
          <w:sz w:val="20"/>
        </w:rPr>
        <w:t> 1.334% a</w:t>
      </w:r>
      <w:r>
        <w:rPr>
          <w:rFonts w:ascii="Times New Roman" w:hAnsi="Times New Roman"/>
          <w:caps w:val="false"/>
          <w:smallCaps w:val="false"/>
          <w:sz w:val="20"/>
        </w:rPr>
        <w:t xml:space="preserve">nd received variable interest of the daily SOFR rate plus 10 basis points on a notional amount </w:t>
      </w:r>
      <w:r>
        <w:rPr>
          <w:rFonts w:ascii="Times New Roman" w:hAnsi="Times New Roman"/>
          <w:caps w:val="false"/>
          <w:smallCaps w:val="false"/>
          <w:color w:val="000000"/>
          <w:sz w:val="20"/>
        </w:rPr>
        <w:t xml:space="preserve">of $30.0 million and (ii) paid interest at a fixed rate of 1.348% and received variable interest of the daily SOFR rate plus 10 basis points on a notional amount of $30.0 million (the </w:t>
      </w:r>
      <w:r>
        <w:rPr>
          <w:rStyle w:val="Emphasis"/>
          <w:rFonts w:ascii="Times New Roman" w:hAnsi="Times New Roman"/>
          <w:caps w:val="false"/>
          <w:smallCaps w:val="false"/>
          <w:color w:val="000000"/>
          <w:sz w:val="20"/>
        </w:rPr>
        <w:t>“2021</w:t>
      </w:r>
      <w:r>
        <w:rPr>
          <w:rFonts w:ascii="Times New Roman" w:hAnsi="Times New Roman"/>
          <w:caps w:val="false"/>
          <w:smallCaps w:val="false"/>
          <w:color w:val="000000"/>
          <w:sz w:val="20"/>
        </w:rPr>
        <w:t xml:space="preserve"> Swaps”). </w:t>
      </w:r>
      <w:r>
        <w:rPr>
          <w:rFonts w:ascii="Times New Roman" w:hAnsi="Times New Roman"/>
          <w:caps w:val="false"/>
          <w:smallCaps w:val="false"/>
          <w:sz w:val="20"/>
        </w:rPr>
        <w:t xml:space="preserve">The effective date of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Swaps was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settlements with the counterparties began on </w:t>
      </w:r>
      <w:r>
        <w:rPr>
          <w:rStyle w:val="Emphasis"/>
          <w:rFonts w:ascii="Times New Roman" w:hAnsi="Times New Roman"/>
          <w:caps w:val="false"/>
          <w:smallCaps w:val="false"/>
          <w:sz w:val="20"/>
        </w:rPr>
        <w:t xml:space="preserve">January 31, 2022 </w:t>
      </w:r>
      <w:r>
        <w:rPr>
          <w:rFonts w:ascii="Times New Roman" w:hAnsi="Times New Roman"/>
          <w:caps w:val="false"/>
          <w:smallCaps w:val="false"/>
          <w:sz w:val="20"/>
        </w:rPr>
        <w:t xml:space="preserve">and occur on a monthly basis.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Swaps will terminate on </w:t>
      </w:r>
      <w:r>
        <w:rPr>
          <w:rStyle w:val="Emphasis"/>
          <w:rFonts w:ascii="Times New Roman" w:hAnsi="Times New Roman"/>
          <w:caps w:val="false"/>
          <w:smallCaps w:val="false"/>
          <w:sz w:val="20"/>
        </w:rPr>
        <w:t>August 31,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Swaps are designated as cash flow hedges for accounting purposes and as such, changes in their fair value are recognized in accumulated other comprehensive loss in the consolidated balance sheet and are reclassified into the statement of operations within interest expense in the period in which the hedged transaction affects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Fair Values of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5,</w:t>
      </w:r>
      <w:r>
        <w:rPr>
          <w:rFonts w:ascii="Times New Roman" w:hAnsi="Times New Roman"/>
          <w:caps w:val="false"/>
          <w:smallCaps w:val="false"/>
          <w:sz w:val="20"/>
        </w:rPr>
        <w:t> </w:t>
      </w:r>
      <w:r>
        <w:rPr>
          <w:rFonts w:ascii="Times New Roman" w:hAnsi="Times New Roman"/>
          <w:i/>
          <w:caps w:val="false"/>
          <w:smallCaps w:val="false"/>
          <w:sz w:val="20"/>
        </w:rPr>
        <w:t>"Fair Value Measurements"</w:t>
      </w:r>
      <w:r>
        <w:rPr>
          <w:rFonts w:ascii="Times New Roman" w:hAnsi="Times New Roman"/>
          <w:caps w:val="false"/>
          <w:smallCaps w:val="false"/>
          <w:sz w:val="20"/>
        </w:rPr>
        <w:t xml:space="preserve"> for the gross fair values of the Company's derivative assets and liabilities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Financial Instruments in Cash Flow Hedging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effects of derivative financial instruments designated as cash flow hedges on</w:t>
      </w:r>
      <w:r>
        <w:rPr>
          <w:rFonts w:ascii="Times New Roman" w:hAnsi="Times New Roman"/>
          <w:caps w:val="false"/>
          <w:smallCaps w:val="false"/>
          <w:color w:val="000000"/>
          <w:sz w:val="20"/>
        </w:rPr>
        <w:t xml:space="preserve"> accumulated other comprehensive loss (“AOCL”) an</w:t>
      </w:r>
      <w:r>
        <w:rPr>
          <w:rFonts w:ascii="Times New Roman" w:hAnsi="Times New Roman"/>
          <w:caps w:val="false"/>
          <w:smallCaps w:val="false"/>
          <w:sz w:val="20"/>
        </w:rPr>
        <w:t>d on the condensed consolidated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were as follows: </w:t>
      </w:r>
    </w:p>
    <w:p>
      <w:pPr>
        <w:pStyle w:val="TextBody"/>
        <w:bidi w:val="0"/>
        <w:spacing w:before="0" w:after="0"/>
        <w:ind w:left="0" w:right="0" w:hanging="0"/>
        <w:jc w:val="left"/>
        <w:rPr>
          <w:caps w:val="false"/>
          <w:smallCaps w:val="false"/>
        </w:rPr>
      </w:pPr>
      <w:r>
        <w:rPr>
          <w:caps w:val="false"/>
          <w:smallCaps w:val="false"/>
        </w:rPr>
        <w:t>  </w:t>
      </w:r>
    </w:p>
    <w:tbl>
      <w:tblPr>
        <w:tblW w:w="8831" w:type="dxa"/>
        <w:jc w:val="left"/>
        <w:tblInd w:w="0" w:type="dxa"/>
        <w:tblLayout w:type="fixed"/>
        <w:tblCellMar>
          <w:top w:w="0" w:type="dxa"/>
          <w:left w:w="0" w:type="dxa"/>
          <w:bottom w:w="0" w:type="dxa"/>
          <w:right w:w="0" w:type="dxa"/>
        </w:tblCellMar>
      </w:tblPr>
      <w:tblGrid>
        <w:gridCol w:w="6980"/>
        <w:gridCol w:w="60"/>
        <w:gridCol w:w="194"/>
        <w:gridCol w:w="522"/>
        <w:gridCol w:w="93"/>
        <w:gridCol w:w="93"/>
        <w:gridCol w:w="194"/>
        <w:gridCol w:w="615"/>
        <w:gridCol w:w="80"/>
      </w:tblGrid>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8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gains (losses) recognized in AOCL:</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gains (losses) reclassified from AOCL to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gains and losses related to the foreign currency forward contracts are included as a component of currency translation adjustment on the accompanying condensed consolidated statements of comprehensive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Derivative</w:t>
      </w:r>
      <w:r>
        <w:rPr>
          <w:rFonts w:ascii="Times New Roman" w:hAnsi="Times New Roman"/>
          <w:caps w:val="false"/>
          <w:smallCaps w:val="false"/>
          <w:sz w:val="20"/>
        </w:rPr>
        <w:t> </w:t>
      </w:r>
      <w:r>
        <w:rPr>
          <w:rFonts w:ascii="Times New Roman" w:hAnsi="Times New Roman"/>
          <w:b/>
          <w:caps w:val="false"/>
          <w:smallCaps w:val="false"/>
          <w:sz w:val="20"/>
        </w:rPr>
        <w:t>Financial Instruments</w:t>
      </w:r>
      <w:r>
        <w:rPr>
          <w:rFonts w:ascii="Times New Roman" w:hAnsi="Times New Roman"/>
          <w:caps w:val="false"/>
          <w:smallCaps w:val="false"/>
          <w:sz w:val="20"/>
        </w:rPr>
        <w:t>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Designated as Hedging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Gains (losses) recognized on derivative financial instruments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hedging instruments in our condensed consolidated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were as follows: </w:t>
      </w:r>
    </w:p>
    <w:p>
      <w:pPr>
        <w:pStyle w:val="TextBody"/>
        <w:bidi w:val="0"/>
        <w:spacing w:before="0" w:after="0"/>
        <w:ind w:left="0" w:right="0" w:hanging="0"/>
        <w:jc w:val="both"/>
        <w:rPr>
          <w:caps w:val="false"/>
          <w:smallCaps w:val="false"/>
        </w:rPr>
      </w:pPr>
      <w:r>
        <w:rPr>
          <w:caps w:val="false"/>
          <w:smallCaps w:val="false"/>
        </w:rPr>
        <w:t> </w:t>
      </w:r>
    </w:p>
    <w:tbl>
      <w:tblPr>
        <w:tblW w:w="9331" w:type="dxa"/>
        <w:jc w:val="left"/>
        <w:tblInd w:w="0" w:type="dxa"/>
        <w:tblLayout w:type="fixed"/>
        <w:tblCellMar>
          <w:top w:w="0" w:type="dxa"/>
          <w:left w:w="0" w:type="dxa"/>
          <w:bottom w:w="0" w:type="dxa"/>
          <w:right w:w="0" w:type="dxa"/>
        </w:tblCellMar>
      </w:tblPr>
      <w:tblGrid>
        <w:gridCol w:w="2840"/>
        <w:gridCol w:w="4640"/>
        <w:gridCol w:w="60"/>
        <w:gridCol w:w="194"/>
        <w:gridCol w:w="522"/>
        <w:gridCol w:w="93"/>
        <w:gridCol w:w="93"/>
        <w:gridCol w:w="194"/>
        <w:gridCol w:w="615"/>
        <w:gridCol w:w="80"/>
      </w:tblGrid>
      <w:tr>
        <w:trPr/>
        <w:tc>
          <w:tcPr>
            <w:tcW w:w="2840" w:type="dxa"/>
            <w:tcBorders/>
            <w:shd w:fill="FFFFFF" w:val="clear"/>
            <w:vAlign w:val="center"/>
          </w:tcPr>
          <w:p>
            <w:pPr>
              <w:pStyle w:val="TableContents"/>
              <w:bidi w:val="0"/>
              <w:spacing w:before="0" w:after="283"/>
              <w:jc w:val="left"/>
              <w:rPr/>
            </w:pPr>
            <w:r>
              <w:rPr/>
              <w:t> </w:t>
            </w:r>
          </w:p>
        </w:tc>
        <w:tc>
          <w:tcPr>
            <w:tcW w:w="464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464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ind w:left="0" w:right="0" w:hanging="0"/>
              <w:jc w:val="left"/>
              <w:rPr/>
            </w:pPr>
            <w:r>
              <w:rPr/>
              <w:t> </w:t>
            </w:r>
          </w:p>
        </w:tc>
        <w:tc>
          <w:tcPr>
            <w:tcW w:w="464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Classification in Consolidated Statements of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7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8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464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 (expense)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40" w:type="dxa"/>
            <w:tcBorders/>
            <w:shd w:fill="FFFFFF" w:val="clear"/>
            <w:vAlign w:val="center"/>
          </w:tcPr>
          <w:p>
            <w:pPr>
              <w:pStyle w:val="TableContents"/>
              <w:bidi w:val="0"/>
              <w:spacing w:before="0" w:after="283"/>
              <w:jc w:val="left"/>
              <w:rPr/>
            </w:pPr>
            <w:r>
              <w:rPr/>
              <w:t> </w:t>
            </w:r>
          </w:p>
        </w:tc>
        <w:tc>
          <w:tcPr>
            <w:tcW w:w="464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95" w:type="dxa"/>
        <w:jc w:val="left"/>
        <w:tblInd w:w="0" w:type="dxa"/>
        <w:tblLayout w:type="fixed"/>
        <w:tblCellMar>
          <w:top w:w="0" w:type="dxa"/>
          <w:left w:w="0" w:type="dxa"/>
          <w:bottom w:w="0" w:type="dxa"/>
          <w:right w:w="0" w:type="dxa"/>
        </w:tblCellMar>
      </w:tblPr>
      <w:tblGrid>
        <w:gridCol w:w="275"/>
        <w:gridCol w:w="62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10.</w:t>
            </w:r>
          </w:p>
        </w:tc>
        <w:tc>
          <w:tcPr>
            <w:tcW w:w="620" w:type="dxa"/>
            <w:tcBorders/>
            <w:vAlign w:val="center"/>
          </w:tcPr>
          <w:p>
            <w:pPr>
              <w:pStyle w:val="TableContents"/>
              <w:bidi w:val="0"/>
              <w:spacing w:before="0" w:after="0"/>
              <w:ind w:left="0" w:right="0" w:hanging="0"/>
              <w:jc w:val="both"/>
              <w:rPr/>
            </w:pPr>
            <w:r>
              <w:rPr/>
              <w:t> </w:t>
            </w:r>
            <w:r>
              <w:rPr>
                <w:rFonts w:ascii="Times New Roman;Times;serif" w:hAnsi="Times New Roman;Times;serif"/>
                <w:b/>
                <w:sz w:val="20"/>
              </w:rPr>
              <w:t>DEBT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 Credit and Security Agreement with KeyBank National Association (as amended, the "Credit Agreement" or the "CSA") with a maximum revolving amount of $400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outstanding borrowings under the revolver amounted to $204.5 million and $197.5 million, respectively. The unused credit available under the credit facility was $195.5 million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$202.5 million at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The Company incurred $2.5 million and $4.2 million of interest expense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in connection with interest due on its outstanding borrowings under the CSA during each period, including the effects of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Swaps discussed in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w:t>
      </w:r>
      <w:r>
        <w:rPr>
          <w:rFonts w:ascii="Times New Roman" w:hAnsi="Times New Roman"/>
          <w:i/>
          <w:caps w:val="false"/>
          <w:smallCaps w:val="false"/>
          <w:sz w:val="20"/>
        </w:rPr>
        <w:t>"Derivative Instruments and Hedging Activities"</w:t>
      </w:r>
      <w:r>
        <w:rPr>
          <w:rFonts w:ascii="Times New Roman" w:hAnsi="Times New Roman"/>
          <w:caps w:val="false"/>
          <w:smallCaps w:val="false"/>
          <w:sz w:val="20"/>
        </w:rPr>
        <w:t>, and amortization of deferred financing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borrowings consist of (i) a $60.0 million fixed-rate tranche that bears interest at a stated rate of 2.59% at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and (ii) a variable-rate tranche of $144.5 million and $137.5 million at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that bears interest at SOFR plus the applicable credit spread in accordance with the credit agreement. For comparability, the Company also presents the weighted-average effective interest rates on its borrowings after giving effect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interest rate swaps: the weighted-average effective rate on the variable-rate tranche was 3.54% and 3.63%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and the weighted-average effective rate on total borrowings (fixed and variable) was 4.30% and 4.42%, respectively. The stated variable rates in effect on the measurement dates (before the impact of the swaps) were 5.01% at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5.21% at </w:t>
      </w:r>
      <w:r>
        <w:rPr>
          <w:rStyle w:val="Emphasis"/>
          <w:rFonts w:ascii="Times New Roman" w:hAnsi="Times New Roman"/>
          <w:caps w:val="false"/>
          <w:smallCaps w:val="false"/>
          <w:sz w:val="20"/>
        </w:rPr>
        <w:t>December 31,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CSA contains customary representations and warranties, covenants and events of default. In addition, the CSA contains financial covenants that measure (i) the ratio of the Company’s total funded indebtedness, on a consolidated basis, less the aggregate amount of all unencumbered cash and cash equivalents, to the amount of the Company’s consolidated EBITDA (or the “Leverage Ratio”), in each case as defined and calculated in accordance with the CSA, and (ii) the ratio of the amount of the Company’s consolidated EBITDA to the Company’s consolidated fixed charges (or the “Fixed Charge Coverage Ratio”), in each case as defined and calculated in accordance with the CSA. If an event of default occurs, the lenders under the CSA would be entitled to take various actions, including the acceleration of amounts due thereunder and all actions permitted to be taken by a secured creditor.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the Company was in compliance with its debt covenants, including its most restrictive covenant, the Fixed Charge Coverage Ratio.</w:t>
      </w:r>
    </w:p>
    <w:p>
      <w:pPr>
        <w:pStyle w:val="TextBody"/>
        <w:bidi w:val="0"/>
        <w:spacing w:before="0" w:after="0"/>
        <w:jc w:val="left"/>
        <w:rPr/>
      </w:pPr>
      <w:r>
        <w:rPr/>
        <w:t xml:space="preserve">  </w:t>
      </w:r>
    </w:p>
    <w:tbl>
      <w:tblPr>
        <w:tblW w:w="1795" w:type="dxa"/>
        <w:jc w:val="left"/>
        <w:tblInd w:w="0" w:type="dxa"/>
        <w:tblLayout w:type="fixed"/>
        <w:tblCellMar>
          <w:top w:w="0" w:type="dxa"/>
          <w:left w:w="0" w:type="dxa"/>
          <w:bottom w:w="0" w:type="dxa"/>
          <w:right w:w="0" w:type="dxa"/>
        </w:tblCellMar>
      </w:tblPr>
      <w:tblGrid>
        <w:gridCol w:w="275"/>
        <w:gridCol w:w="152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11.</w:t>
            </w:r>
          </w:p>
        </w:tc>
        <w:tc>
          <w:tcPr>
            <w:tcW w:w="15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measure income tax expense for interim periods using the annual effective tax rate (“AETR”) method, as its estimated taxable income for future periods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determined on a legal entity basis. The Company and its subsidiaries file income tax returns in the U.S. federal jurisdiction and various states and foreign jurisdictions. 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U.S. federal examinations by tax authorities for years prior to 2021 and state examinations for years prior to 2018. For foreign subsidiaries, the Company is generally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tax examinations for years prior to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in Asia and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Due to the expiration of the statutes of limitations for certain jurisdictions, it is reasonably possible that unrecognized tax benefits related to previously filed tax returns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materially change from the amounts recorded as liabilities for uncertain tax positions in the Company’s condensed consolidated financial statements as of </w:t>
      </w:r>
      <w:r>
        <w:rPr>
          <w:rStyle w:val="Emphasis"/>
          <w:rFonts w:ascii="Times New Roman" w:hAnsi="Times New Roman"/>
          <w:caps w:val="false"/>
          <w:smallCaps w:val="false"/>
          <w:sz w:val="20"/>
        </w:rPr>
        <w:t>March 31, 2026. </w:t>
      </w:r>
      <w:r>
        <w:rPr>
          <w:rFonts w:ascii="Times New Roman" w:hAnsi="Times New Roman"/>
          <w:caps w:val="false"/>
          <w:smallCaps w:val="false"/>
          <w:sz w:val="20"/>
        </w:rPr>
        <w:t xml:space="preserve">The Company’s liabilities for uncertain tax positions totaled $17.8 million as of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compared to $17.5 million as of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Approximately $2.0 million of these liabilities are expected to be resolved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due to statute expirations. These amounts, if recognized, would reduce the Company’s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policy is to recognize interest and penalties related to uncertain tax positions as a component of the current provision for income taxes.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$0.1 million in each period, in interest and penalties in the condensed consolidated statements of operations.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the Company had accrued approximately $1.2 million for the payment of interest and penalties, compared to $1.1 million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These amounts are included in liability for uncertain tax positions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430" w:type="dxa"/>
        <w:jc w:val="left"/>
        <w:tblInd w:w="0" w:type="dxa"/>
        <w:tblLayout w:type="fixed"/>
        <w:tblCellMar>
          <w:top w:w="0" w:type="dxa"/>
          <w:left w:w="0" w:type="dxa"/>
          <w:bottom w:w="0" w:type="dxa"/>
          <w:right w:w="0" w:type="dxa"/>
        </w:tblCellMar>
      </w:tblPr>
      <w:tblGrid>
        <w:gridCol w:w="275"/>
        <w:gridCol w:w="615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p>
        </w:tc>
        <w:tc>
          <w:tcPr>
            <w:tcW w:w="61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RETIREMENT, SAVINGS AND DEFERRED COMPENSATION PLANS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maintains the Bel Fuse Inc. Employees’ Savings Plan, a defined contribution plan that is intended to meet the applicable requirements for tax-qualification under sections </w:t>
      </w:r>
      <w:r>
        <w:rPr>
          <w:rStyle w:val="Emphasis"/>
          <w:rFonts w:ascii="Times New Roman;Times;serif" w:hAnsi="Times New Roman;Times;serif"/>
          <w:sz w:val="20"/>
        </w:rPr>
        <w:t>401</w:t>
      </w:r>
      <w:r>
        <w:rPr>
          <w:rFonts w:ascii="Times New Roman;Times;serif" w:hAnsi="Times New Roman;Times;serif"/>
          <w:sz w:val="20"/>
        </w:rPr>
        <w:t>(a) and (k) of the Internal Revenue Code. </w:t>
      </w:r>
      <w:r>
        <w:rPr>
          <w:rFonts w:ascii="Times New Roman;Times;serif" w:hAnsi="Times New Roman;Times;serif"/>
          <w:color w:val="000000"/>
          <w:sz w:val="20"/>
        </w:rPr>
        <w:t xml:space="preserve">The expense for the </w:t>
      </w:r>
      <w:r>
        <w:rPr>
          <w:rStyle w:val="Emphasis"/>
          <w:rFonts w:ascii="Times New Roman;Times;serif" w:hAnsi="Times New Roman;Times;serif"/>
          <w:color w:val="000000"/>
          <w:sz w:val="20"/>
        </w:rPr>
        <w:t>three</w:t>
      </w:r>
      <w:r>
        <w:rPr>
          <w:rFonts w:ascii="Times New Roman;Times;serif" w:hAnsi="Times New Roman;Times;serif"/>
          <w:color w:val="000000"/>
          <w:sz w:val="20"/>
        </w:rPr>
        <w:t xml:space="preserve"> months ended </w:t>
      </w:r>
      <w:r>
        <w:rPr>
          <w:rStyle w:val="Emphasis"/>
          <w:rFonts w:ascii="Times New Roman;Times;serif" w:hAnsi="Times New Roman;Times;serif"/>
          <w:sz w:val="20"/>
        </w:rPr>
        <w:t xml:space="preserve">March 31,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color w:val="000000"/>
          <w:sz w:val="20"/>
        </w:rPr>
        <w:t xml:space="preserve"> amounted to $0.7 million and $0.4 million, respectively. </w:t>
      </w:r>
      <w:r>
        <w:rPr>
          <w:rFonts w:ascii="Times New Roman;Times;serif" w:hAnsi="Times New Roman;Times;serif"/>
          <w:sz w:val="20"/>
        </w:rPr>
        <w:t xml:space="preserve">The Company’s matching contribution is made in the form of Bel Class A common stock. As of </w:t>
      </w:r>
      <w:r>
        <w:rPr>
          <w:rStyle w:val="Emphasis"/>
          <w:rFonts w:ascii="Times New Roman;Times;serif" w:hAnsi="Times New Roman;Times;serif"/>
          <w:sz w:val="20"/>
        </w:rPr>
        <w:t>March 31, 2026</w:t>
      </w:r>
      <w:r>
        <w:rPr>
          <w:rFonts w:ascii="Times New Roman;Times;serif" w:hAnsi="Times New Roman;Times;serif"/>
          <w:sz w:val="20"/>
        </w:rPr>
        <w:t xml:space="preserve">, the plan owned </w:t>
      </w:r>
      <w:r>
        <w:rPr>
          <w:rFonts w:ascii="Times New Roman;Times;serif" w:hAnsi="Times New Roman;Times;serif"/>
          <w:color w:val="000000"/>
          <w:sz w:val="20"/>
        </w:rPr>
        <w:t>217,238</w:t>
      </w:r>
      <w:r>
        <w:rPr>
          <w:rFonts w:ascii="Times New Roman;Times;serif" w:hAnsi="Times New Roman;Times;serif"/>
          <w:sz w:val="20"/>
        </w:rPr>
        <w:t xml:space="preserve"> and </w:t>
      </w:r>
      <w:r>
        <w:rPr>
          <w:rFonts w:ascii="Times New Roman;Times;serif" w:hAnsi="Times New Roman;Times;serif"/>
          <w:color w:val="000000"/>
          <w:sz w:val="20"/>
        </w:rPr>
        <w:t>45,561</w:t>
      </w:r>
      <w:r>
        <w:rPr>
          <w:rFonts w:ascii="Times New Roman;Times;serif" w:hAnsi="Times New Roman;Times;serif"/>
          <w:sz w:val="20"/>
        </w:rPr>
        <w:t xml:space="preserve"> shares of Bel Class A and Class B common stock, respectively.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The Company also maintains a Nonqualified Deferred Compensation Plan (the "DCP"). With certain exceptions, the Company's contributions to the DCP are discretionary and become fully vested by the participants upon reaching age 65. </w:t>
      </w:r>
      <w:r>
        <w:rPr>
          <w:rFonts w:ascii="Times New Roman;Times;serif" w:hAnsi="Times New Roman;Times;serif"/>
          <w:color w:val="000000"/>
          <w:sz w:val="20"/>
          <w:shd w:fill="FFFFFF" w:val="clear"/>
        </w:rPr>
        <w:t xml:space="preserve">The expense for the </w:t>
      </w:r>
      <w:r>
        <w:rPr>
          <w:rStyle w:val="Emphasis"/>
          <w:rFonts w:ascii="Times New Roman;Times;serif" w:hAnsi="Times New Roman;Times;serif"/>
          <w:sz w:val="20"/>
          <w:shd w:fill="FFFFFF" w:val="clear"/>
        </w:rPr>
        <w:t>three</w:t>
      </w:r>
      <w:r>
        <w:rPr>
          <w:rFonts w:ascii="Times New Roman;Times;serif" w:hAnsi="Times New Roman;Times;serif"/>
          <w:color w:val="000000"/>
          <w:sz w:val="20"/>
          <w:shd w:fill="FFFFFF" w:val="clear"/>
        </w:rPr>
        <w:t xml:space="preserve"> months ended </w:t>
      </w:r>
      <w:r>
        <w:rPr>
          <w:rStyle w:val="Emphasis"/>
          <w:rFonts w:ascii="Times New Roman;Times;serif" w:hAnsi="Times New Roman;Times;serif"/>
          <w:sz w:val="20"/>
        </w:rPr>
        <w:t xml:space="preserve">March 31,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color w:val="000000"/>
          <w:sz w:val="20"/>
          <w:shd w:fill="FFFFFF" w:val="clear"/>
        </w:rPr>
        <w:t xml:space="preserve"> amounted to </w:t>
      </w:r>
      <w:r>
        <w:rPr>
          <w:rFonts w:ascii="Times New Roman;Times;serif" w:hAnsi="Times New Roman;Times;serif"/>
          <w:color w:val="000000"/>
          <w:sz w:val="20"/>
        </w:rPr>
        <w:t>less than $0.1 million during each period. </w:t>
      </w:r>
      <w:r>
        <w:rPr>
          <w:rFonts w:ascii="Times New Roman;Times;serif" w:hAnsi="Times New Roman;Times;serif"/>
          <w:sz w:val="20"/>
        </w:rPr>
        <w:t>As the plan is fully funded, the assets and liabilities related to the DCP were in equal amounts of $1.7 million at </w:t>
      </w:r>
      <w:r>
        <w:rPr>
          <w:rStyle w:val="Emphasis"/>
          <w:rFonts w:ascii="Times New Roman;Times;serif" w:hAnsi="Times New Roman;Times;serif"/>
          <w:sz w:val="20"/>
        </w:rPr>
        <w:t xml:space="preserve"> March 31, 2026</w:t>
      </w:r>
      <w:r>
        <w:rPr>
          <w:rFonts w:ascii="Times New Roman;Times;serif" w:hAnsi="Times New Roman;Times;serif"/>
          <w:sz w:val="20"/>
        </w:rPr>
        <w:t> and $1.7 million at </w:t>
      </w:r>
      <w:r>
        <w:rPr>
          <w:rStyle w:val="Emphasis"/>
          <w:rFonts w:ascii="Times New Roman;Times;serif" w:hAnsi="Times New Roman;Times;serif"/>
          <w:sz w:val="20"/>
        </w:rPr>
        <w:t xml:space="preserve"> December 31, 2025</w:t>
      </w:r>
      <w:r>
        <w:rPr>
          <w:rFonts w:ascii="Times New Roman;Times;serif" w:hAnsi="Times New Roman;Times;serif"/>
          <w:sz w:val="20"/>
        </w:rPr>
        <w:t>. These amounts are included in other assets and other liabilities, respectively, on the accompanying condensed consolidated balance sheets as of each date.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subsidiaries in Asia maintain a retirement fund that covers substantially all Hong Kong-based full-time employees. Retirement fund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amounted to less than $0.1 million, in each period.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maintains a </w:t>
      </w:r>
      <w:r>
        <w:rPr>
          <w:rFonts w:ascii="Times New Roman;Times;serif" w:hAnsi="Times New Roman;Times;serif"/>
          <w:color w:val="000000"/>
          <w:sz w:val="20"/>
          <w:shd w:fill="FFFFFF" w:val="clear"/>
        </w:rPr>
        <w:t xml:space="preserve">SERP, </w:t>
      </w:r>
      <w:r>
        <w:rPr>
          <w:rFonts w:ascii="Times New Roman;Times;serif" w:hAnsi="Times New Roman;Times;serif"/>
          <w:sz w:val="20"/>
        </w:rPr>
        <w:t xml:space="preserve">which is designed to provide a limited group of key management and other key employees of the Company with supplemental retirement and death benefits. As discussed in </w:t>
      </w:r>
      <w:r>
        <w:rPr>
          <w:rFonts w:ascii="Times New Roman;Times;serif" w:hAnsi="Times New Roman;Times;serif"/>
          <w:color w:val="000000"/>
          <w:sz w:val="20"/>
        </w:rPr>
        <w:t xml:space="preserve">Note </w:t>
      </w:r>
      <w:r>
        <w:rPr>
          <w:rStyle w:val="Emphasis"/>
          <w:rFonts w:ascii="Times New Roman;Times;serif" w:hAnsi="Times New Roman;Times;serif"/>
          <w:color w:val="000000"/>
          <w:sz w:val="20"/>
        </w:rPr>
        <w:t>5,</w:t>
      </w:r>
      <w:r>
        <w:rPr>
          <w:rFonts w:ascii="Times New Roman;Times;serif" w:hAnsi="Times New Roman;Times;serif"/>
          <w:color w:val="000000"/>
          <w:sz w:val="20"/>
        </w:rPr>
        <w:t xml:space="preserve"> </w:t>
      </w:r>
      <w:r>
        <w:rPr>
          <w:rFonts w:ascii="Times New Roman;Times;serif" w:hAnsi="Times New Roman;Times;serif"/>
          <w:i/>
          <w:color w:val="000000"/>
          <w:sz w:val="20"/>
        </w:rPr>
        <w:t>"Fair Value Measurements"</w:t>
      </w:r>
      <w:r>
        <w:rPr>
          <w:rFonts w:ascii="Times New Roman;Times;serif" w:hAnsi="Times New Roman;Times;serif"/>
          <w:color w:val="000000"/>
          <w:sz w:val="20"/>
        </w:rPr>
        <w:t>, </w:t>
      </w:r>
      <w:r>
        <w:rPr>
          <w:rFonts w:ascii="Times New Roman;Times;serif" w:hAnsi="Times New Roman;Times;serif"/>
          <w:sz w:val="20"/>
        </w:rPr>
        <w:t>above, the Company has investments in a rabbi trust which are intended to fund the obligations of the SERP.</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SERP expense are as follows:</w:t>
      </w:r>
    </w:p>
    <w:p>
      <w:pPr>
        <w:pStyle w:val="TextBody"/>
        <w:bidi w:val="0"/>
        <w:spacing w:before="0" w:after="0"/>
        <w:ind w:left="0" w:right="0" w:hanging="0"/>
        <w:jc w:val="both"/>
        <w:rPr/>
      </w:pPr>
      <w:r>
        <w:rPr/>
        <w:t> </w:t>
      </w:r>
    </w:p>
    <w:tbl>
      <w:tblPr>
        <w:tblW w:w="3869" w:type="dxa"/>
        <w:jc w:val="left"/>
        <w:tblInd w:w="0" w:type="dxa"/>
        <w:tblLayout w:type="fixed"/>
        <w:tblCellMar>
          <w:top w:w="0" w:type="dxa"/>
          <w:left w:w="0" w:type="dxa"/>
          <w:bottom w:w="0" w:type="dxa"/>
          <w:right w:w="0" w:type="dxa"/>
        </w:tblCellMar>
      </w:tblPr>
      <w:tblGrid>
        <w:gridCol w:w="2015"/>
        <w:gridCol w:w="60"/>
        <w:gridCol w:w="202"/>
        <w:gridCol w:w="542"/>
        <w:gridCol w:w="129"/>
        <w:gridCol w:w="97"/>
        <w:gridCol w:w="202"/>
        <w:gridCol w:w="542"/>
        <w:gridCol w:w="80"/>
      </w:tblGrid>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amortization</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benefit cost</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service cost component of net benefit cost is presented within cost of sales, research and development costs or selling, general and administrative expense on the accompanying condensed consolidated statements of operations, in accordance with where compensation cost for the related associate is reported. All other components of net benefit cost, including interest cost and net amortization noted above, are presented within other income (expense), net in the accompanying condensed consolidated statements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amounts are recognized net of tax in accumulated other comprehensive loss:</w:t>
      </w:r>
    </w:p>
    <w:p>
      <w:pPr>
        <w:pStyle w:val="TextBody"/>
        <w:bidi w:val="0"/>
        <w:spacing w:before="0" w:after="0"/>
        <w:ind w:left="0" w:right="0" w:hanging="0"/>
        <w:jc w:val="left"/>
        <w:rPr/>
      </w:pPr>
      <w:r>
        <w:rPr/>
        <w:t> </w:t>
      </w:r>
    </w:p>
    <w:tbl>
      <w:tblPr>
        <w:tblW w:w="3668" w:type="dxa"/>
        <w:jc w:val="left"/>
        <w:tblInd w:w="0" w:type="dxa"/>
        <w:tblLayout w:type="fixed"/>
        <w:tblCellMar>
          <w:top w:w="0" w:type="dxa"/>
          <w:left w:w="0" w:type="dxa"/>
          <w:bottom w:w="0" w:type="dxa"/>
          <w:right w:w="0" w:type="dxa"/>
        </w:tblCellMar>
      </w:tblPr>
      <w:tblGrid>
        <w:gridCol w:w="1400"/>
        <w:gridCol w:w="60"/>
        <w:gridCol w:w="160"/>
        <w:gridCol w:w="699"/>
        <w:gridCol w:w="80"/>
        <w:gridCol w:w="60"/>
        <w:gridCol w:w="209"/>
        <w:gridCol w:w="920"/>
        <w:gridCol w:w="80"/>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service cost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930" w:type="dxa"/>
        <w:jc w:val="left"/>
        <w:tblInd w:w="0" w:type="dxa"/>
        <w:tblLayout w:type="fixed"/>
        <w:tblCellMar>
          <w:top w:w="0" w:type="dxa"/>
          <w:left w:w="0" w:type="dxa"/>
          <w:bottom w:w="0" w:type="dxa"/>
          <w:right w:w="0" w:type="dxa"/>
        </w:tblCellMar>
      </w:tblPr>
      <w:tblGrid>
        <w:gridCol w:w="320"/>
        <w:gridCol w:w="461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w:t>
            </w:r>
          </w:p>
        </w:tc>
        <w:tc>
          <w:tcPr>
            <w:tcW w:w="46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LOSS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components of accumulated other comprehensive loss at </w:t>
      </w:r>
      <w:r>
        <w:rPr>
          <w:rStyle w:val="Emphasis"/>
          <w:rFonts w:ascii="Times New Roman;Times;serif" w:hAnsi="Times New Roman;Times;serif"/>
          <w:sz w:val="20"/>
        </w:rPr>
        <w:t xml:space="preserve"> March 31,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are summarized below:</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8018"/>
        <w:gridCol w:w="60"/>
        <w:gridCol w:w="135"/>
        <w:gridCol w:w="705"/>
        <w:gridCol w:w="80"/>
        <w:gridCol w:w="60"/>
        <w:gridCol w:w="170"/>
        <w:gridCol w:w="894"/>
        <w:gridCol w:w="83"/>
      </w:tblGrid>
      <w:tr>
        <w:trPr/>
        <w:tc>
          <w:tcPr>
            <w:tcW w:w="80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83" w:type="dxa"/>
            <w:tcBorders/>
            <w:shd w:fill="FFFF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83" w:type="dxa"/>
            <w:tcBorders/>
            <w:shd w:fill="FFFF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taxes of ($312) at March 31, 2026 and ($312)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(19,490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on interest rate swap cash flow hedge, net of taxes of $0 at March 31, 2026 and $0 at December 31, 2025</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83"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holding gains on marketable securities, net of taxes of ($7) at March 31, 2026 and ($7) at December 31, 2025</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3"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Unfunded SERP liability, net of taxes of $1,000 at March 31, 2026 and $1,003 at December 31, 2025</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w:t>
            </w:r>
          </w:p>
        </w:tc>
        <w:tc>
          <w:tcPr>
            <w:tcW w:w="83" w:type="dxa"/>
            <w:tcBorders/>
            <w:shd w:fill="FFFFFF" w:val="clear"/>
            <w:vAlign w:val="center"/>
          </w:tcPr>
          <w:p>
            <w:pPr>
              <w:pStyle w:val="TableContents"/>
              <w:bidi w:val="0"/>
              <w:spacing w:before="0" w:after="283"/>
              <w:jc w:val="left"/>
              <w:rPr/>
            </w:pPr>
            <w:r>
              <w:rPr/>
              <w:t> </w:t>
            </w:r>
          </w:p>
        </w:tc>
      </w:tr>
      <w:tr>
        <w:trPr/>
        <w:tc>
          <w:tcPr>
            <w:tcW w:w="80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801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Changes in accumulated other comprehensive loss by component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2026</w:t>
      </w:r>
      <w:r>
        <w:rPr>
          <w:rFonts w:ascii="Times New Roman;Times;serif" w:hAnsi="Times New Roman;Times;serif"/>
          <w:sz w:val="20"/>
        </w:rPr>
        <w:t xml:space="preserve"> are as set forth below. All amounts are net of tax:</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130"/>
        <w:gridCol w:w="60"/>
        <w:gridCol w:w="157"/>
        <w:gridCol w:w="823"/>
        <w:gridCol w:w="80"/>
        <w:gridCol w:w="60"/>
        <w:gridCol w:w="310"/>
        <w:gridCol w:w="982"/>
        <w:gridCol w:w="80"/>
        <w:gridCol w:w="60"/>
        <w:gridCol w:w="338"/>
        <w:gridCol w:w="627"/>
        <w:gridCol w:w="80"/>
        <w:gridCol w:w="60"/>
        <w:gridCol w:w="228"/>
        <w:gridCol w:w="889"/>
        <w:gridCol w:w="80"/>
        <w:gridCol w:w="227"/>
        <w:gridCol w:w="60"/>
        <w:gridCol w:w="125"/>
        <w:gridCol w:w="650"/>
        <w:gridCol w:w="99"/>
      </w:tblGrid>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2"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99"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Foreign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2"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Unrealized 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Holding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99"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Currency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on Interest 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99"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Translation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Swap Cash</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Marketable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Unfunded</w:t>
            </w:r>
          </w:p>
        </w:tc>
        <w:tc>
          <w:tcPr>
            <w:tcW w:w="8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99"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Adjustment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Flow Hedge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Securities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SERP Liability</w:t>
            </w:r>
          </w:p>
        </w:tc>
        <w:tc>
          <w:tcPr>
            <w:tcW w:w="8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99"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w:t>
            </w:r>
          </w:p>
        </w:tc>
        <w:tc>
          <w:tcPr>
            <w:tcW w:w="8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(17,174</w:t>
            </w:r>
          </w:p>
        </w:tc>
        <w:tc>
          <w:tcPr>
            <w:tcW w:w="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 before reclassifications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1,343</w:t>
            </w:r>
          </w:p>
        </w:tc>
        <w:tc>
          <w:tcPr>
            <w:tcW w:w="99" w:type="dxa"/>
            <w:tcBorders/>
            <w:shd w:fill="FFFFFF" w:val="clear"/>
            <w:vAlign w:val="center"/>
          </w:tcPr>
          <w:p>
            <w:pPr>
              <w:pStyle w:val="TableContents"/>
              <w:bidi w:val="0"/>
              <w:spacing w:before="0" w:after="283"/>
              <w:ind w:left="0" w:right="0" w:hanging="0"/>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 reclassified from 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7"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w:t>
            </w:r>
          </w:p>
        </w:tc>
        <w:tc>
          <w:tcPr>
            <w:tcW w:w="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other comprehensive (loss) income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w:t>
            </w:r>
          </w:p>
        </w:tc>
        <w:tc>
          <w:tcPr>
            <w:tcW w:w="99"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w:t>
            </w:r>
          </w:p>
        </w:tc>
        <w:tc>
          <w:tcPr>
            <w:tcW w:w="8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(16,338</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This reclassification relates to the amortization of prior service costs and gains/losses associated with the Company's SERP. This expense is reflected in other income (expense), net on the accompanying condensed consolidated statements of operations.</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14.</w:t>
            </w:r>
          </w:p>
        </w:tc>
        <w:tc>
          <w:tcPr>
            <w:tcW w:w="36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party to a number of legal actions and claims,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which individually or in the aggregate, in the opinion of management, are expected to have a material adverse effect on the Company's consolidated results of operations or consolidated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23, 2021, </w:t>
      </w:r>
      <w:r>
        <w:rPr>
          <w:rFonts w:ascii="Times New Roman" w:hAnsi="Times New Roman"/>
          <w:caps w:val="false"/>
          <w:smallCaps w:val="false"/>
          <w:sz w:val="20"/>
        </w:rPr>
        <w:t xml:space="preserve">a patent infringement lawsuit styled </w:t>
      </w:r>
      <w:r>
        <w:rPr>
          <w:rFonts w:ascii="Times New Roman" w:hAnsi="Times New Roman"/>
          <w:i/>
          <w:caps w:val="false"/>
          <w:smallCaps w:val="false"/>
          <w:sz w:val="20"/>
        </w:rPr>
        <w:t>Bel Power Solutions, Inc. v. Monolithic Power Systems, Inc.,</w:t>
      </w:r>
      <w:r>
        <w:rPr>
          <w:rFonts w:ascii="Times New Roman" w:hAnsi="Times New Roman"/>
          <w:caps w:val="false"/>
          <w:smallCaps w:val="false"/>
          <w:sz w:val="20"/>
        </w:rPr>
        <w:t xml:space="preserve"> Case Number </w:t>
      </w:r>
      <w:r>
        <w:rPr>
          <w:rStyle w:val="Emphasis"/>
          <w:rFonts w:ascii="Times New Roman" w:hAnsi="Times New Roman"/>
          <w:caps w:val="false"/>
          <w:smallCaps w:val="false"/>
          <w:sz w:val="20"/>
        </w:rPr>
        <w:t>6:21cv00655,</w:t>
      </w:r>
      <w:r>
        <w:rPr>
          <w:rFonts w:ascii="Times New Roman" w:hAnsi="Times New Roman"/>
          <w:caps w:val="false"/>
          <w:smallCaps w:val="false"/>
          <w:sz w:val="20"/>
        </w:rPr>
        <w:t xml:space="preserve"> was filed in the United States District Court for the Western District of Texas (Waco Division) by Bel Power Solutions, Inc. against Monolithic Power Systems, Inc. ("MPS") for infringement of various patents directed towards systems, methods and articles of manufacture that provide a substantial improvement in power control for circuits, including novel and unique point-of-load regulators. On </w:t>
      </w:r>
      <w:r>
        <w:rPr>
          <w:rStyle w:val="Emphasis"/>
          <w:rFonts w:ascii="Times New Roman" w:hAnsi="Times New Roman"/>
          <w:caps w:val="false"/>
          <w:smallCaps w:val="false"/>
          <w:sz w:val="20"/>
        </w:rPr>
        <w:t xml:space="preserve">July 27, 2023, </w:t>
      </w:r>
      <w:r>
        <w:rPr>
          <w:rFonts w:ascii="Times New Roman" w:hAnsi="Times New Roman"/>
          <w:caps w:val="false"/>
          <w:smallCaps w:val="false"/>
          <w:sz w:val="20"/>
        </w:rPr>
        <w:t>the Western District of Texas court filed an Order granting MPS’s motion for summary judgment of non-infringement.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entered into a settlement agreement related to the matter described above and expects to make an immaterial cash payment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acquisition of the Power-One Power Solutions business ("Power Solutions") of ABB Ltd ("ABB"), there is an ongoing claim by the Arezzo Revenue Agency in Italy concerning certain tax matters related to what was then Power-One Asia Pacific Electronics Shenzhen Co. Ltd. (now Bel Power Solutions Asia Pacific Electronics Shenzhen Co. Ltd, or “BPS China”) for the years </w:t>
      </w:r>
      <w:r>
        <w:rPr>
          <w:rStyle w:val="Emphasis"/>
          <w:rFonts w:ascii="Times New Roman" w:hAnsi="Times New Roman"/>
          <w:caps w:val="false"/>
          <w:smallCaps w:val="false"/>
          <w:sz w:val="20"/>
        </w:rPr>
        <w:t>2004</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2006.</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September 2012, </w:t>
      </w:r>
      <w:r>
        <w:rPr>
          <w:rFonts w:ascii="Times New Roman" w:hAnsi="Times New Roman"/>
          <w:caps w:val="false"/>
          <w:smallCaps w:val="false"/>
          <w:sz w:val="20"/>
        </w:rPr>
        <w:t xml:space="preserve">the Tax Court of Arezzo ruled in favor of BPS China and cancelled the claim. In </w:t>
      </w:r>
      <w:r>
        <w:rPr>
          <w:rStyle w:val="Emphasis"/>
          <w:rFonts w:ascii="Times New Roman" w:hAnsi="Times New Roman"/>
          <w:caps w:val="false"/>
          <w:smallCaps w:val="false"/>
          <w:sz w:val="20"/>
        </w:rPr>
        <w:t xml:space="preserve">February 2013, </w:t>
      </w:r>
      <w:r>
        <w:rPr>
          <w:rFonts w:ascii="Times New Roman" w:hAnsi="Times New Roman"/>
          <w:caps w:val="false"/>
          <w:smallCaps w:val="false"/>
          <w:sz w:val="20"/>
        </w:rPr>
        <w:t xml:space="preserve">the Arezzo Revenue Agency filed an appeal of the Tax Court’s ruling. The hearing of the appeal was held on </w:t>
      </w:r>
      <w:r>
        <w:rPr>
          <w:rStyle w:val="Emphasis"/>
          <w:rFonts w:ascii="Times New Roman" w:hAnsi="Times New Roman"/>
          <w:caps w:val="false"/>
          <w:smallCaps w:val="false"/>
          <w:sz w:val="20"/>
        </w:rPr>
        <w:t>October 2,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13, 2014, </w:t>
      </w:r>
      <w:r>
        <w:rPr>
          <w:rFonts w:ascii="Times New Roman" w:hAnsi="Times New Roman"/>
          <w:caps w:val="false"/>
          <w:smallCaps w:val="false"/>
          <w:sz w:val="20"/>
        </w:rPr>
        <w:t xml:space="preserve">BPS China was informed of the Regional Tax Commission of Florence ruling which was in favor of the Arezzo Revenue Agency and against BPS China. An appeal was filed on </w:t>
      </w:r>
      <w:r>
        <w:rPr>
          <w:rStyle w:val="Emphasis"/>
          <w:rFonts w:ascii="Times New Roman" w:hAnsi="Times New Roman"/>
          <w:caps w:val="false"/>
          <w:smallCaps w:val="false"/>
          <w:sz w:val="20"/>
        </w:rPr>
        <w:t xml:space="preserve">July 18, 2015 </w:t>
      </w:r>
      <w:r>
        <w:rPr>
          <w:rFonts w:ascii="Times New Roman" w:hAnsi="Times New Roman"/>
          <w:caps w:val="false"/>
          <w:smallCaps w:val="false"/>
          <w:sz w:val="20"/>
        </w:rPr>
        <w:t xml:space="preserve">before the Regional Tax Commission of Florence and rejected. On </w:t>
      </w:r>
      <w:r>
        <w:rPr>
          <w:rStyle w:val="Emphasis"/>
          <w:rFonts w:ascii="Times New Roman" w:hAnsi="Times New Roman"/>
          <w:caps w:val="false"/>
          <w:smallCaps w:val="false"/>
          <w:sz w:val="20"/>
        </w:rPr>
        <w:t xml:space="preserve">December 5, 2016, </w:t>
      </w:r>
      <w:r>
        <w:rPr>
          <w:rFonts w:ascii="Times New Roman" w:hAnsi="Times New Roman"/>
          <w:caps w:val="false"/>
          <w:smallCaps w:val="false"/>
          <w:sz w:val="20"/>
        </w:rPr>
        <w:t xml:space="preserve">the Arezzo Revenue Agency filed an appeal with the Supreme Court and BPS China filed a counter-appeal on </w:t>
      </w:r>
      <w:r>
        <w:rPr>
          <w:rStyle w:val="Emphasis"/>
          <w:rFonts w:ascii="Times New Roman" w:hAnsi="Times New Roman"/>
          <w:caps w:val="false"/>
          <w:smallCaps w:val="false"/>
          <w:sz w:val="20"/>
        </w:rPr>
        <w:t xml:space="preserve">January 4, 2017. </w:t>
      </w:r>
      <w:r>
        <w:rPr>
          <w:rFonts w:ascii="Times New Roman" w:hAnsi="Times New Roman"/>
          <w:caps w:val="false"/>
          <w:smallCaps w:val="false"/>
          <w:sz w:val="20"/>
        </w:rPr>
        <w:t xml:space="preserve">The Supreme Court rendered a judgment against BPS China in </w:t>
      </w:r>
      <w:r>
        <w:rPr>
          <w:rStyle w:val="Emphasis"/>
          <w:rFonts w:ascii="Times New Roman" w:hAnsi="Times New Roman"/>
          <w:caps w:val="false"/>
          <w:smallCaps w:val="false"/>
          <w:sz w:val="20"/>
        </w:rPr>
        <w:t>March 2024. </w:t>
      </w:r>
      <w:r>
        <w:rPr>
          <w:rFonts w:ascii="Times New Roman" w:hAnsi="Times New Roman"/>
          <w:caps w:val="false"/>
          <w:smallCaps w:val="false"/>
          <w:sz w:val="20"/>
        </w:rPr>
        <w:t xml:space="preserve">BPS China filed an appeal in </w:t>
      </w:r>
      <w:r>
        <w:rPr>
          <w:rStyle w:val="Emphasis"/>
          <w:rFonts w:ascii="Times New Roman" w:hAnsi="Times New Roman"/>
          <w:caps w:val="false"/>
          <w:smallCaps w:val="false"/>
          <w:sz w:val="20"/>
        </w:rPr>
        <w:t>July 2024. </w:t>
      </w:r>
      <w:r>
        <w:rPr>
          <w:rFonts w:ascii="Times New Roman" w:hAnsi="Times New Roman"/>
          <w:caps w:val="false"/>
          <w:smallCaps w:val="false"/>
          <w:sz w:val="20"/>
        </w:rPr>
        <w:t>The estimated liability related to this matter is approximately $12.0 million and has been included as a liability for uncertain tax positions on the accompanying condensed consolidated balance sheets at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Bel is entitled to be fully indemnified in this matter per the terms of the stock purchase agreement with ABB, a corresponding other asset for indemnification is also included in other assets on the accompanying condensed consolidated balance sheets at </w:t>
      </w:r>
      <w:r>
        <w:rPr>
          <w:rStyle w:val="Emphasis"/>
          <w:rFonts w:ascii="Times New Roman" w:hAnsi="Times New Roman"/>
          <w:caps w:val="false"/>
          <w:smallCaps w:val="false"/>
          <w:sz w:val="20"/>
        </w:rPr>
        <w:t>March 31,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Company's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acquisition of EOS Power ("EOS"), there is an ongoing claim asserted with respect to EOS by the Principal Commissioner of Customs (Preventive), Mumbai related to customs duties and imposed fines and penalties dating back to </w:t>
      </w:r>
      <w:r>
        <w:rPr>
          <w:rStyle w:val="Emphasis"/>
          <w:rFonts w:ascii="Times New Roman" w:hAnsi="Times New Roman"/>
          <w:caps w:val="false"/>
          <w:smallCaps w:val="false"/>
          <w:sz w:val="20"/>
        </w:rPr>
        <w:t>1994.</w:t>
      </w:r>
      <w:r>
        <w:rPr>
          <w:rFonts w:ascii="Times New Roman" w:hAnsi="Times New Roman"/>
          <w:caps w:val="false"/>
          <w:smallCaps w:val="false"/>
          <w:sz w:val="20"/>
        </w:rPr>
        <w:t xml:space="preserve"> The original demand was in the amount of approximately $1.4 million, of which EOS has paid $0.5 million. EOS filed an Appeal in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which is pending with the Customs, Excise and Service Tax Appellate Tribunal in Mumbai related to the $0.9 million balance of the original demand net of EOS' payment. As part of the EOS acquisition agreement entered into in </w:t>
      </w:r>
      <w:r>
        <w:rPr>
          <w:rStyle w:val="Emphasis"/>
          <w:rFonts w:ascii="Times New Roman" w:hAnsi="Times New Roman"/>
          <w:caps w:val="false"/>
          <w:smallCaps w:val="false"/>
          <w:sz w:val="20"/>
        </w:rPr>
        <w:t xml:space="preserve">March 2021, </w:t>
      </w:r>
      <w:r>
        <w:rPr>
          <w:rFonts w:ascii="Times New Roman" w:hAnsi="Times New Roman"/>
          <w:caps w:val="false"/>
          <w:smallCaps w:val="false"/>
          <w:sz w:val="20"/>
        </w:rPr>
        <w:t xml:space="preserve">the Company is entitled to be indemnified for this matter for a period of 7 years from the acquisition date. The Company is unable to estimate at this time what amount, if 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ultimately be due in connection with this claim. As such,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estimate was accrued as of </w:t>
      </w:r>
      <w:r>
        <w:rPr>
          <w:rStyle w:val="Emphasis"/>
          <w:rFonts w:ascii="Times New Roman" w:hAnsi="Times New Roman"/>
          <w:caps w:val="false"/>
          <w:smallCaps w:val="false"/>
          <w:sz w:val="20"/>
        </w:rPr>
        <w:t xml:space="preserve"> March 31,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375" w:type="dxa"/>
        <w:jc w:val="left"/>
        <w:tblInd w:w="0" w:type="dxa"/>
        <w:tblLayout w:type="fixed"/>
        <w:tblCellMar>
          <w:top w:w="0" w:type="dxa"/>
          <w:left w:w="0" w:type="dxa"/>
          <w:bottom w:w="0" w:type="dxa"/>
          <w:right w:w="0" w:type="dxa"/>
        </w:tblCellMar>
      </w:tblPr>
      <w:tblGrid>
        <w:gridCol w:w="275"/>
        <w:gridCol w:w="110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15.</w:t>
            </w:r>
          </w:p>
        </w:tc>
        <w:tc>
          <w:tcPr>
            <w:tcW w:w="11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SEGMENTS</w:t>
            </w:r>
            <w:bookmarkStart w:id="10" w:name="notesend"/>
            <w:bookmarkEnd w:id="10"/>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first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implemented a change in its internal organizational and reporting structure to better align management reporting with customer end markets. As a result, effective </w:t>
      </w:r>
      <w:r>
        <w:rPr>
          <w:rStyle w:val="Emphasis"/>
          <w:rFonts w:ascii="Times New Roman" w:hAnsi="Times New Roman"/>
          <w:caps w:val="false"/>
          <w:smallCaps w:val="false"/>
          <w:sz w:val="20"/>
        </w:rPr>
        <w:t xml:space="preserve"> March 31, 2026, </w:t>
      </w:r>
      <w:r>
        <w:rPr>
          <w:rFonts w:ascii="Times New Roman" w:hAnsi="Times New Roman"/>
          <w:caps w:val="false"/>
          <w:smallCaps w:val="false"/>
          <w:sz w:val="20"/>
        </w:rPr>
        <w:t>the Company updated the reportable segment view used by the Company’s Chief Operating Decision Maker (“CODM”) to assess performance and allocate resources. The CODM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this change, the Company has two reportable segments: (i) Aerospace, Defense &amp; Rugged Solutions and (ii) Industrial Technology &amp; Data Solutions. Prior</w:t>
        <w:noBreakHyphen/>
        <w:t>period segment information has been recast to conform to the current period presentation. Accordingly, prior-year segment amounts have been recast for comparability to conform to the current period presentation. The Aerospace, Defense &amp; Rugged Solutions segment primarily includes the Company’s legacy Connectivity Solutions business and Enercon operations. The Industrial Technology &amp; Data Solutions segment primarily includes the Company’s legacy Power Solutions and Protection and Magnetic Solutions operations. These segment descriptions reflect how results are reviewed by the CODM.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intercompany sales between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a quarterly basis, the Company’s CODM evaluates segment performance using gross profit (a U.S. GAAP measure), which the Company has determined to be its measure of segment profit or loss under ASC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as amended by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The CODM uses segment gross profit to make commercial and operational decisions and to evaluate capital deployment opportunities. The CODM’s quarterly reporting package also includes segment revenues and cost of sales to arrive at gross profit; cost of sales is a significant segment expense and is therefore included in the segment financial data tables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7"/>
        <w:gridCol w:w="60"/>
        <w:gridCol w:w="478"/>
        <w:gridCol w:w="2259"/>
        <w:gridCol w:w="201"/>
        <w:gridCol w:w="65"/>
        <w:gridCol w:w="476"/>
        <w:gridCol w:w="2262"/>
        <w:gridCol w:w="201"/>
        <w:gridCol w:w="65"/>
        <w:gridCol w:w="135"/>
        <w:gridCol w:w="757"/>
        <w:gridCol w:w="189"/>
      </w:tblGrid>
      <w:tr>
        <w:trPr/>
        <w:tc>
          <w:tcPr>
            <w:tcW w:w="3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9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March 31, 2026</w:t>
            </w:r>
          </w:p>
        </w:tc>
        <w:tc>
          <w:tcPr>
            <w:tcW w:w="189" w:type="dxa"/>
            <w:tcBorders/>
            <w:vAlign w:val="center"/>
          </w:tcPr>
          <w:p>
            <w:pPr>
              <w:pStyle w:val="TableContents"/>
              <w:bidi w:val="0"/>
              <w:spacing w:before="0" w:after="283"/>
              <w:jc w:val="left"/>
              <w:rPr/>
            </w:pPr>
            <w:r>
              <w:rPr/>
              <w:t> </w:t>
            </w:r>
          </w:p>
        </w:tc>
      </w:tr>
      <w:tr>
        <w:trPr/>
        <w:tc>
          <w:tcPr>
            <w:tcW w:w="3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Aerospace, Defense &amp; Rugged Solutions</w:t>
            </w:r>
          </w:p>
        </w:tc>
        <w:tc>
          <w:tcPr>
            <w:tcW w:w="20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27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 Technology &amp; Data Solutions</w:t>
            </w:r>
          </w:p>
        </w:tc>
        <w:tc>
          <w:tcPr>
            <w:tcW w:w="20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89" w:type="dxa"/>
            <w:tcBorders/>
            <w:vAlign w:val="center"/>
          </w:tcPr>
          <w:p>
            <w:pPr>
              <w:pStyle w:val="TableContents"/>
              <w:bidi w:val="0"/>
              <w:spacing w:before="0" w:after="283"/>
              <w:jc w:val="left"/>
              <w:rPr/>
            </w:pPr>
            <w:r>
              <w:rPr/>
              <w:t> </w:t>
            </w:r>
          </w:p>
        </w:tc>
      </w:tr>
      <w:tr>
        <w:trPr/>
        <w:tc>
          <w:tcPr>
            <w:tcW w:w="3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225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2262"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99,821</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78,670</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178,491</w:t>
            </w:r>
          </w:p>
        </w:tc>
        <w:tc>
          <w:tcPr>
            <w:tcW w:w="189" w:type="dxa"/>
            <w:tcBorders/>
            <w:shd w:fill="CCEEFF" w:val="clear"/>
            <w:vAlign w:val="center"/>
          </w:tcPr>
          <w:p>
            <w:pPr>
              <w:pStyle w:val="TableContents"/>
              <w:bidi w:val="0"/>
              <w:spacing w:before="0" w:after="283"/>
              <w:jc w:val="left"/>
              <w:rPr/>
            </w:pPr>
            <w:r>
              <w:rPr/>
              <w:t> </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58,443</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49,903</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108,346</w:t>
            </w:r>
          </w:p>
        </w:tc>
        <w:tc>
          <w:tcPr>
            <w:tcW w:w="189" w:type="dxa"/>
            <w:tcBorders/>
            <w:shd w:fill="FFFFFF" w:val="clear"/>
            <w:vAlign w:val="center"/>
          </w:tcPr>
          <w:p>
            <w:pPr>
              <w:pStyle w:val="TableContents"/>
              <w:bidi w:val="0"/>
              <w:spacing w:before="0" w:after="283"/>
              <w:jc w:val="left"/>
              <w:rPr/>
            </w:pPr>
            <w:r>
              <w:rPr/>
              <w:t> </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ind w:left="0" w:right="0" w:hanging="0"/>
              <w:jc w:val="left"/>
              <w:rPr/>
            </w:pPr>
            <w:r>
              <w:rPr/>
              <w:t> </w:t>
            </w:r>
          </w:p>
        </w:tc>
        <w:tc>
          <w:tcPr>
            <w:tcW w:w="22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41,378</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0"/>
              <w:jc w:val="left"/>
              <w:rPr/>
            </w:pPr>
            <w:r>
              <w:rPr/>
              <w:t> </w:t>
            </w:r>
          </w:p>
        </w:tc>
        <w:tc>
          <w:tcPr>
            <w:tcW w:w="22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28,767</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70,145</w:t>
            </w:r>
          </w:p>
        </w:tc>
        <w:tc>
          <w:tcPr>
            <w:tcW w:w="189" w:type="dxa"/>
            <w:tcBorders/>
            <w:shd w:fill="CCEEFF" w:val="clear"/>
            <w:vAlign w:val="center"/>
          </w:tcPr>
          <w:p>
            <w:pPr>
              <w:pStyle w:val="TableContents"/>
              <w:bidi w:val="0"/>
              <w:spacing w:before="0" w:after="283"/>
              <w:jc w:val="left"/>
              <w:rPr/>
            </w:pPr>
            <w:r>
              <w:rPr/>
              <w:t> </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 %</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2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2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262"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gross profit</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262"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69,598</w:t>
            </w:r>
          </w:p>
        </w:tc>
        <w:tc>
          <w:tcPr>
            <w:tcW w:w="189" w:type="dxa"/>
            <w:tcBorders/>
            <w:shd w:fill="FFFFFF" w:val="clear"/>
            <w:vAlign w:val="center"/>
          </w:tcPr>
          <w:p>
            <w:pPr>
              <w:pStyle w:val="TableContents"/>
              <w:bidi w:val="0"/>
              <w:spacing w:before="0" w:after="283"/>
              <w:jc w:val="left"/>
              <w:rPr/>
            </w:pPr>
            <w:r>
              <w:rPr/>
              <w:t> </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262"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262"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8,507</w:t>
            </w:r>
          </w:p>
        </w:tc>
        <w:tc>
          <w:tcPr>
            <w:tcW w:w="189" w:type="dxa"/>
            <w:tcBorders/>
            <w:shd w:fill="FFFFFF" w:val="clear"/>
            <w:vAlign w:val="center"/>
          </w:tcPr>
          <w:p>
            <w:pPr>
              <w:pStyle w:val="TableContents"/>
              <w:bidi w:val="0"/>
              <w:spacing w:before="0" w:after="283"/>
              <w:jc w:val="left"/>
              <w:rPr/>
            </w:pPr>
            <w:r>
              <w:rPr/>
              <w:t> </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262"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36,730</w:t>
            </w:r>
          </w:p>
        </w:tc>
        <w:tc>
          <w:tcPr>
            <w:tcW w:w="189" w:type="dxa"/>
            <w:tcBorders/>
            <w:shd w:fill="CCEEFF" w:val="clear"/>
            <w:vAlign w:val="center"/>
          </w:tcPr>
          <w:p>
            <w:pPr>
              <w:pStyle w:val="TableContents"/>
              <w:bidi w:val="0"/>
              <w:spacing w:before="0" w:after="283"/>
              <w:jc w:val="left"/>
              <w:rPr/>
            </w:pPr>
            <w:r>
              <w:rPr/>
              <w:t> </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262"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189" w:type="dxa"/>
            <w:tcBorders/>
            <w:shd w:fill="FFFFFF" w:val="clear"/>
            <w:vAlign w:val="center"/>
          </w:tcPr>
          <w:p>
            <w:pPr>
              <w:pStyle w:val="TableContents"/>
              <w:bidi w:val="0"/>
              <w:spacing w:before="0" w:after="283"/>
              <w:jc w:val="left"/>
              <w:rPr/>
            </w:pPr>
            <w:r>
              <w:rPr/>
              <w:t> </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liability adjustment</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262"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189" w:type="dxa"/>
            <w:tcBorders/>
            <w:shd w:fill="CCEEFF" w:val="clear"/>
            <w:vAlign w:val="center"/>
          </w:tcPr>
          <w:p>
            <w:pPr>
              <w:pStyle w:val="TableContents"/>
              <w:bidi w:val="0"/>
              <w:spacing w:before="0" w:after="283"/>
              <w:jc w:val="left"/>
              <w:rPr/>
            </w:pPr>
            <w:r>
              <w:rPr/>
              <w:t> </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262"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2,530</w:t>
            </w:r>
          </w:p>
        </w:tc>
        <w:tc>
          <w:tcPr>
            <w:tcW w:w="189" w:type="dxa"/>
            <w:tcBorders/>
            <w:shd w:fill="FFFFFF" w:val="clear"/>
            <w:vAlign w:val="center"/>
          </w:tcPr>
          <w:p>
            <w:pPr>
              <w:pStyle w:val="TableContents"/>
              <w:bidi w:val="0"/>
              <w:spacing w:before="0" w:after="283"/>
              <w:jc w:val="left"/>
              <w:rPr/>
            </w:pPr>
            <w:r>
              <w:rPr/>
              <w:t> </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262"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262"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w:t>
            </w:r>
          </w:p>
        </w:tc>
        <w:tc>
          <w:tcPr>
            <w:tcW w:w="189" w:type="dxa"/>
            <w:tcBorders/>
            <w:shd w:fill="FFFFFF" w:val="clear"/>
            <w:vAlign w:val="center"/>
          </w:tcPr>
          <w:p>
            <w:pPr>
              <w:pStyle w:val="TableContents"/>
              <w:bidi w:val="0"/>
              <w:spacing w:before="0" w:after="283"/>
              <w:jc w:val="left"/>
              <w:rPr/>
            </w:pPr>
            <w:r>
              <w:rPr/>
              <w:t> </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provision for income taxes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262"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17,792</w:t>
            </w:r>
          </w:p>
        </w:tc>
        <w:tc>
          <w:tcPr>
            <w:tcW w:w="1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22"/>
        <w:gridCol w:w="60"/>
        <w:gridCol w:w="290"/>
        <w:gridCol w:w="1631"/>
        <w:gridCol w:w="60"/>
        <w:gridCol w:w="60"/>
        <w:gridCol w:w="298"/>
        <w:gridCol w:w="1671"/>
        <w:gridCol w:w="60"/>
        <w:gridCol w:w="60"/>
        <w:gridCol w:w="213"/>
        <w:gridCol w:w="1189"/>
        <w:gridCol w:w="60"/>
        <w:gridCol w:w="60"/>
        <w:gridCol w:w="204"/>
        <w:gridCol w:w="968"/>
        <w:gridCol w:w="60"/>
        <w:gridCol w:w="60"/>
        <w:gridCol w:w="169"/>
        <w:gridCol w:w="946"/>
        <w:gridCol w:w="64"/>
      </w:tblGrid>
      <w:tr>
        <w:trPr/>
        <w:tc>
          <w:tcPr>
            <w:tcW w:w="2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59"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March 31, 2026</w:t>
            </w:r>
          </w:p>
        </w:tc>
        <w:tc>
          <w:tcPr>
            <w:tcW w:w="64" w:type="dxa"/>
            <w:tcBorders/>
            <w:vAlign w:val="center"/>
          </w:tcPr>
          <w:p>
            <w:pPr>
              <w:pStyle w:val="TableContents"/>
              <w:bidi w:val="0"/>
              <w:spacing w:before="0" w:after="283"/>
              <w:jc w:val="left"/>
              <w:rPr/>
            </w:pPr>
            <w:r>
              <w:rPr/>
              <w:t> </w:t>
            </w:r>
          </w:p>
        </w:tc>
      </w:tr>
      <w:tr>
        <w:trPr/>
        <w:tc>
          <w:tcPr>
            <w:tcW w:w="2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Aerospace, Defense &amp; Rugged Solutions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 Technology &amp; Data Solutions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02" w:type="dxa"/>
            <w:gridSpan w:val="2"/>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Reportable segment 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4" w:type="dxa"/>
            <w:tcBorders/>
            <w:vAlign w:val="center"/>
          </w:tcPr>
          <w:p>
            <w:pPr>
              <w:pStyle w:val="TableContents"/>
              <w:bidi w:val="0"/>
              <w:spacing w:before="0" w:after="283"/>
              <w:jc w:val="left"/>
              <w:rPr/>
            </w:pPr>
            <w:r>
              <w:rPr/>
              <w:t> </w:t>
            </w:r>
          </w:p>
        </w:tc>
      </w:tr>
      <w:tr>
        <w:trPr/>
        <w:tc>
          <w:tcPr>
            <w:tcW w:w="2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left w:val="single" w:sz="2" w:space="0" w:color="000000"/>
            </w:tcBorders>
            <w:tcMar>
              <w:left w:w="28" w:type="dxa"/>
            </w:tcMar>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left w:val="single" w:sz="2" w:space="0" w:color="000000"/>
            </w:tcBorders>
            <w:shd w:fill="CCEEFF" w:val="clear"/>
            <w:tcMar>
              <w:left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951,920</w:t>
            </w:r>
          </w:p>
        </w:tc>
        <w:tc>
          <w:tcPr>
            <w:tcW w:w="64" w:type="dxa"/>
            <w:tcBorders/>
            <w:shd w:fill="CCEEFF" w:val="clear"/>
            <w:vAlign w:val="center"/>
          </w:tcPr>
          <w:p>
            <w:pPr>
              <w:pStyle w:val="TableContents"/>
              <w:bidi w:val="0"/>
              <w:spacing w:before="0" w:after="283"/>
              <w:jc w:val="left"/>
              <w:rPr/>
            </w:pPr>
            <w:r>
              <w:rPr/>
              <w:t> </w:t>
            </w:r>
          </w:p>
        </w:tc>
      </w:tr>
      <w:tr>
        <w:trPr/>
        <w:tc>
          <w:tcPr>
            <w:tcW w:w="20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ind w:left="0" w:right="0" w:hanging="0"/>
              <w:jc w:val="left"/>
              <w:rPr/>
            </w:pPr>
            <w:r>
              <w:rPr/>
              <w:t> </w:t>
            </w:r>
          </w:p>
        </w:tc>
        <w:tc>
          <w:tcPr>
            <w:tcW w:w="16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1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2,643</w:t>
            </w:r>
          </w:p>
        </w:tc>
        <w:tc>
          <w:tcPr>
            <w:tcW w:w="64" w:type="dxa"/>
            <w:tcBorders/>
            <w:shd w:fill="FFFFFF" w:val="clear"/>
            <w:vAlign w:val="center"/>
          </w:tcPr>
          <w:p>
            <w:pPr>
              <w:pStyle w:val="TableContents"/>
              <w:bidi w:val="0"/>
              <w:spacing w:before="0" w:after="283"/>
              <w:jc w:val="left"/>
              <w:rPr/>
            </w:pPr>
            <w:r>
              <w:rPr/>
              <w:t> </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ind w:left="0" w:right="0" w:hanging="0"/>
              <w:jc w:val="left"/>
              <w:rPr/>
            </w:pPr>
            <w:r>
              <w:rPr/>
              <w:t> </w:t>
            </w:r>
          </w:p>
        </w:tc>
        <w:tc>
          <w:tcPr>
            <w:tcW w:w="16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ind w:left="0" w:right="0" w:hanging="0"/>
              <w:jc w:val="left"/>
              <w:rPr/>
            </w:pPr>
            <w:r>
              <w:rPr/>
              <w:t> </w:t>
            </w:r>
          </w:p>
        </w:tc>
        <w:tc>
          <w:tcPr>
            <w:tcW w:w="1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left w:val="single" w:sz="2" w:space="0" w:color="000000"/>
            </w:tcBorders>
            <w:shd w:fill="CCEEFF" w:val="clear"/>
            <w:tcMar>
              <w:left w:w="28" w:type="dxa"/>
            </w:tcMar>
            <w:vAlign w:val="center"/>
          </w:tcPr>
          <w:p>
            <w:pPr>
              <w:pStyle w:val="TableContents"/>
              <w:bidi w:val="0"/>
              <w:spacing w:before="0" w:after="283"/>
              <w:ind w:left="0" w:right="0" w:hanging="0"/>
              <w:jc w:val="left"/>
              <w:rPr/>
            </w:pPr>
            <w:r>
              <w:rPr/>
              <w:t> </w:t>
            </w:r>
          </w:p>
        </w:tc>
        <w:tc>
          <w:tcPr>
            <w:tcW w:w="1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6,624</w:t>
            </w:r>
          </w:p>
        </w:tc>
        <w:tc>
          <w:tcPr>
            <w:tcW w:w="64" w:type="dxa"/>
            <w:tcBorders/>
            <w:shd w:fill="CCEEFF" w:val="clear"/>
            <w:vAlign w:val="center"/>
          </w:tcPr>
          <w:p>
            <w:pPr>
              <w:pStyle w:val="TableContents"/>
              <w:bidi w:val="0"/>
              <w:spacing w:before="0" w:after="283"/>
              <w:jc w:val="left"/>
              <w:rPr/>
            </w:pPr>
            <w:r>
              <w:rPr/>
              <w:t> </w:t>
            </w:r>
          </w:p>
        </w:tc>
      </w:tr>
      <w:tr>
        <w:trPr/>
        <w:tc>
          <w:tcPr>
            <w:tcW w:w="20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ind w:left="0" w:right="0" w:hanging="0"/>
              <w:jc w:val="left"/>
              <w:rPr/>
            </w:pPr>
            <w:r>
              <w:rPr/>
              <w:t> </w:t>
            </w:r>
          </w:p>
        </w:tc>
        <w:tc>
          <w:tcPr>
            <w:tcW w:w="16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1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2,530</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057"/>
        <w:gridCol w:w="60"/>
        <w:gridCol w:w="478"/>
        <w:gridCol w:w="2259"/>
        <w:gridCol w:w="201"/>
        <w:gridCol w:w="65"/>
        <w:gridCol w:w="476"/>
        <w:gridCol w:w="2262"/>
        <w:gridCol w:w="201"/>
        <w:gridCol w:w="65"/>
        <w:gridCol w:w="135"/>
        <w:gridCol w:w="757"/>
        <w:gridCol w:w="189"/>
      </w:tblGrid>
      <w:tr>
        <w:trPr/>
        <w:tc>
          <w:tcPr>
            <w:tcW w:w="3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9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March 31, 2025</w:t>
            </w:r>
          </w:p>
        </w:tc>
        <w:tc>
          <w:tcPr>
            <w:tcW w:w="189" w:type="dxa"/>
            <w:tcBorders/>
            <w:vAlign w:val="center"/>
          </w:tcPr>
          <w:p>
            <w:pPr>
              <w:pStyle w:val="TableContents"/>
              <w:bidi w:val="0"/>
              <w:spacing w:before="0" w:after="283"/>
              <w:jc w:val="left"/>
              <w:rPr/>
            </w:pPr>
            <w:r>
              <w:rPr/>
              <w:t> </w:t>
            </w:r>
          </w:p>
        </w:tc>
      </w:tr>
      <w:tr>
        <w:trPr/>
        <w:tc>
          <w:tcPr>
            <w:tcW w:w="3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Aerospace, Defense &amp; Rugged Solutions</w:t>
            </w:r>
          </w:p>
        </w:tc>
        <w:tc>
          <w:tcPr>
            <w:tcW w:w="20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27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 Technology &amp; Data Solutions</w:t>
            </w:r>
          </w:p>
        </w:tc>
        <w:tc>
          <w:tcPr>
            <w:tcW w:w="20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89" w:type="dxa"/>
            <w:tcBorders/>
            <w:vAlign w:val="center"/>
          </w:tcPr>
          <w:p>
            <w:pPr>
              <w:pStyle w:val="TableContents"/>
              <w:bidi w:val="0"/>
              <w:spacing w:before="0" w:after="283"/>
              <w:jc w:val="left"/>
              <w:rPr/>
            </w:pPr>
            <w:r>
              <w:rPr/>
              <w:t> </w:t>
            </w:r>
          </w:p>
        </w:tc>
      </w:tr>
      <w:tr>
        <w:trPr/>
        <w:tc>
          <w:tcPr>
            <w:tcW w:w="30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225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left"/>
              <w:rPr/>
            </w:pPr>
            <w:r>
              <w:rPr/>
              <w:t> </w:t>
            </w:r>
          </w:p>
        </w:tc>
        <w:tc>
          <w:tcPr>
            <w:tcW w:w="2262"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83,122</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69,116</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152,238</w:t>
            </w:r>
          </w:p>
        </w:tc>
        <w:tc>
          <w:tcPr>
            <w:tcW w:w="189" w:type="dxa"/>
            <w:tcBorders/>
            <w:shd w:fill="CCEEFF" w:val="clear"/>
            <w:vAlign w:val="center"/>
          </w:tcPr>
          <w:p>
            <w:pPr>
              <w:pStyle w:val="TableContents"/>
              <w:bidi w:val="0"/>
              <w:spacing w:before="0" w:after="283"/>
              <w:jc w:val="left"/>
              <w:rPr/>
            </w:pPr>
            <w:r>
              <w:rPr/>
              <w:t> </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49,794</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43,336</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93,130</w:t>
            </w:r>
          </w:p>
        </w:tc>
        <w:tc>
          <w:tcPr>
            <w:tcW w:w="189" w:type="dxa"/>
            <w:tcBorders/>
            <w:shd w:fill="FFFFFF" w:val="clear"/>
            <w:vAlign w:val="center"/>
          </w:tcPr>
          <w:p>
            <w:pPr>
              <w:pStyle w:val="TableContents"/>
              <w:bidi w:val="0"/>
              <w:spacing w:before="0" w:after="283"/>
              <w:jc w:val="left"/>
              <w:rPr/>
            </w:pPr>
            <w:r>
              <w:rPr/>
              <w:t> </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ind w:left="0" w:right="0" w:hanging="0"/>
              <w:jc w:val="left"/>
              <w:rPr/>
            </w:pPr>
            <w:r>
              <w:rPr/>
              <w:t> </w:t>
            </w:r>
          </w:p>
        </w:tc>
        <w:tc>
          <w:tcPr>
            <w:tcW w:w="22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33,328</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0"/>
              <w:jc w:val="left"/>
              <w:rPr/>
            </w:pPr>
            <w:r>
              <w:rPr/>
              <w:t> </w:t>
            </w:r>
          </w:p>
        </w:tc>
        <w:tc>
          <w:tcPr>
            <w:tcW w:w="22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25,780</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59,108</w:t>
            </w:r>
          </w:p>
        </w:tc>
        <w:tc>
          <w:tcPr>
            <w:tcW w:w="189" w:type="dxa"/>
            <w:tcBorders/>
            <w:shd w:fill="CCEEFF" w:val="clear"/>
            <w:vAlign w:val="center"/>
          </w:tcPr>
          <w:p>
            <w:pPr>
              <w:pStyle w:val="TableContents"/>
              <w:bidi w:val="0"/>
              <w:spacing w:before="0" w:after="283"/>
              <w:jc w:val="left"/>
              <w:rPr/>
            </w:pPr>
            <w:r>
              <w:rPr/>
              <w:t> </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 %</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2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2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262"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gross profit</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262"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58,819</w:t>
            </w:r>
          </w:p>
        </w:tc>
        <w:tc>
          <w:tcPr>
            <w:tcW w:w="189" w:type="dxa"/>
            <w:tcBorders/>
            <w:shd w:fill="FFFFFF" w:val="clear"/>
            <w:vAlign w:val="center"/>
          </w:tcPr>
          <w:p>
            <w:pPr>
              <w:pStyle w:val="TableContents"/>
              <w:bidi w:val="0"/>
              <w:spacing w:before="0" w:after="283"/>
              <w:jc w:val="left"/>
              <w:rPr/>
            </w:pPr>
            <w:r>
              <w:rPr/>
              <w:t> </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262"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262"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7,222</w:t>
            </w:r>
          </w:p>
        </w:tc>
        <w:tc>
          <w:tcPr>
            <w:tcW w:w="189" w:type="dxa"/>
            <w:tcBorders/>
            <w:shd w:fill="FFFFFF" w:val="clear"/>
            <w:vAlign w:val="center"/>
          </w:tcPr>
          <w:p>
            <w:pPr>
              <w:pStyle w:val="TableContents"/>
              <w:bidi w:val="0"/>
              <w:spacing w:before="0" w:after="283"/>
              <w:jc w:val="left"/>
              <w:rPr/>
            </w:pPr>
            <w:r>
              <w:rPr/>
              <w:t> </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262"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29,507</w:t>
            </w:r>
          </w:p>
        </w:tc>
        <w:tc>
          <w:tcPr>
            <w:tcW w:w="189" w:type="dxa"/>
            <w:tcBorders/>
            <w:shd w:fill="CCEEFF" w:val="clear"/>
            <w:vAlign w:val="center"/>
          </w:tcPr>
          <w:p>
            <w:pPr>
              <w:pStyle w:val="TableContents"/>
              <w:bidi w:val="0"/>
              <w:spacing w:before="0" w:after="283"/>
              <w:jc w:val="left"/>
              <w:rPr/>
            </w:pPr>
            <w:r>
              <w:rPr/>
              <w:t> </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262"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262"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4,152</w:t>
            </w:r>
          </w:p>
        </w:tc>
        <w:tc>
          <w:tcPr>
            <w:tcW w:w="189" w:type="dxa"/>
            <w:tcBorders/>
            <w:shd w:fill="CCEEFF" w:val="clear"/>
            <w:vAlign w:val="center"/>
          </w:tcPr>
          <w:p>
            <w:pPr>
              <w:pStyle w:val="TableContents"/>
              <w:bidi w:val="0"/>
              <w:spacing w:before="0" w:after="283"/>
              <w:jc w:val="left"/>
              <w:rPr/>
            </w:pPr>
            <w:r>
              <w:rPr/>
              <w:t> </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262"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259"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2262" w:type="dxa"/>
            <w:tcBorders/>
            <w:shd w:fill="CCEEFF" w:val="clear"/>
            <w:vAlign w:val="center"/>
          </w:tcPr>
          <w:p>
            <w:pPr>
              <w:pStyle w:val="TableContents"/>
              <w:bidi w:val="0"/>
              <w:spacing w:before="0" w:after="283"/>
              <w:jc w:val="right"/>
              <w:rPr/>
            </w:pPr>
            <w:r>
              <w:rPr>
                <w:rStyle w:val="Emphasis"/>
              </w:rPr>
              <w:t> </w:t>
            </w:r>
          </w:p>
        </w:tc>
        <w:tc>
          <w:tcPr>
            <w:tcW w:w="20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(2,639</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provision for income taxes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259"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2262" w:type="dxa"/>
            <w:tcBorders/>
            <w:shd w:fill="FFFFFF" w:val="clear"/>
            <w:vAlign w:val="center"/>
          </w:tcPr>
          <w:p>
            <w:pPr>
              <w:pStyle w:val="TableContents"/>
              <w:bidi w:val="0"/>
              <w:spacing w:before="0" w:after="283"/>
              <w:jc w:val="right"/>
              <w:rPr/>
            </w:pPr>
            <w:r>
              <w:rPr>
                <w:rStyle w:val="Emphasis"/>
              </w:rPr>
              <w:t> </w:t>
            </w:r>
          </w:p>
        </w:tc>
        <w:tc>
          <w:tcPr>
            <w:tcW w:w="20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23,785</w:t>
            </w:r>
          </w:p>
        </w:tc>
        <w:tc>
          <w:tcPr>
            <w:tcW w:w="1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xml:space="preserve">        </w:t>
      </w:r>
      <w:r>
        <w:rPr>
          <w:rFonts w:ascii="Times New Roman;Times;serif" w:hAnsi="Times New Roman;Times;serif"/>
          <w:sz w:val="20"/>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54"/>
        <w:gridCol w:w="60"/>
        <w:gridCol w:w="279"/>
        <w:gridCol w:w="1567"/>
        <w:gridCol w:w="60"/>
        <w:gridCol w:w="60"/>
        <w:gridCol w:w="287"/>
        <w:gridCol w:w="1611"/>
        <w:gridCol w:w="60"/>
        <w:gridCol w:w="60"/>
        <w:gridCol w:w="213"/>
        <w:gridCol w:w="1189"/>
        <w:gridCol w:w="60"/>
        <w:gridCol w:w="60"/>
        <w:gridCol w:w="167"/>
        <w:gridCol w:w="1011"/>
        <w:gridCol w:w="80"/>
        <w:gridCol w:w="60"/>
        <w:gridCol w:w="197"/>
        <w:gridCol w:w="1105"/>
        <w:gridCol w:w="65"/>
      </w:tblGrid>
      <w:tr>
        <w:trPr/>
        <w:tc>
          <w:tcPr>
            <w:tcW w:w="19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26"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March 31, 2025</w:t>
            </w:r>
          </w:p>
        </w:tc>
        <w:tc>
          <w:tcPr>
            <w:tcW w:w="65" w:type="dxa"/>
            <w:tcBorders/>
            <w:vAlign w:val="center"/>
          </w:tcPr>
          <w:p>
            <w:pPr>
              <w:pStyle w:val="TableContents"/>
              <w:bidi w:val="0"/>
              <w:spacing w:before="0" w:after="283"/>
              <w:jc w:val="left"/>
              <w:rPr/>
            </w:pPr>
            <w:r>
              <w:rPr/>
              <w:t> </w:t>
            </w:r>
          </w:p>
        </w:tc>
      </w:tr>
      <w:tr>
        <w:trPr/>
        <w:tc>
          <w:tcPr>
            <w:tcW w:w="19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Aerospace, Defense &amp; Rugged Solutions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 Technology &amp; Data Solutions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02" w:type="dxa"/>
            <w:gridSpan w:val="2"/>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Reportable Segment 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w:t>
            </w:r>
          </w:p>
        </w:tc>
        <w:tc>
          <w:tcPr>
            <w:tcW w:w="65" w:type="dxa"/>
            <w:tcBorders/>
            <w:vAlign w:val="center"/>
          </w:tcPr>
          <w:p>
            <w:pPr>
              <w:pStyle w:val="TableContents"/>
              <w:bidi w:val="0"/>
              <w:spacing w:before="0" w:after="283"/>
              <w:jc w:val="left"/>
              <w:rPr/>
            </w:pPr>
            <w:r>
              <w:rPr/>
              <w:t> </w:t>
            </w:r>
          </w:p>
        </w:tc>
      </w:tr>
      <w:tr>
        <w:trPr/>
        <w:tc>
          <w:tcPr>
            <w:tcW w:w="19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left w:val="single" w:sz="2" w:space="0" w:color="000000"/>
            </w:tcBorders>
            <w:tcMar>
              <w:left w:w="28" w:type="dxa"/>
            </w:tcMar>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r>
      <w:tr>
        <w:trPr/>
        <w:tc>
          <w:tcPr>
            <w:tcW w:w="19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left w:val="single" w:sz="2" w:space="0" w:color="000000"/>
            </w:tcBorders>
            <w:shd w:fill="CCEEFF" w:val="clear"/>
            <w:tcMar>
              <w:left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(293,165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584,417</w:t>
            </w:r>
          </w:p>
        </w:tc>
        <w:tc>
          <w:tcPr>
            <w:tcW w:w="65" w:type="dxa"/>
            <w:tcBorders/>
            <w:shd w:fill="CCEEFF" w:val="clear"/>
            <w:vAlign w:val="center"/>
          </w:tcPr>
          <w:p>
            <w:pPr>
              <w:pStyle w:val="TableContents"/>
              <w:bidi w:val="0"/>
              <w:spacing w:before="0" w:after="283"/>
              <w:jc w:val="left"/>
              <w:rPr/>
            </w:pPr>
            <w:r>
              <w:rPr/>
              <w:t> </w:t>
            </w:r>
          </w:p>
        </w:tc>
      </w:tr>
      <w:tr>
        <w:trPr/>
        <w:tc>
          <w:tcPr>
            <w:tcW w:w="19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5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ind w:left="0" w:right="0" w:hanging="0"/>
              <w:jc w:val="left"/>
              <w:rPr/>
            </w:pPr>
            <w:r>
              <w:rPr/>
              <w:t> </w:t>
            </w:r>
          </w:p>
        </w:tc>
        <w:tc>
          <w:tcPr>
            <w:tcW w:w="1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1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2,790</w:t>
            </w:r>
          </w:p>
        </w:tc>
        <w:tc>
          <w:tcPr>
            <w:tcW w:w="65" w:type="dxa"/>
            <w:tcBorders/>
            <w:shd w:fill="FFFFFF" w:val="clear"/>
            <w:vAlign w:val="center"/>
          </w:tcPr>
          <w:p>
            <w:pPr>
              <w:pStyle w:val="TableContents"/>
              <w:bidi w:val="0"/>
              <w:spacing w:before="0" w:after="283"/>
              <w:jc w:val="left"/>
              <w:rPr/>
            </w:pPr>
            <w:r>
              <w:rPr/>
              <w:t> </w:t>
            </w:r>
          </w:p>
        </w:tc>
      </w:tr>
      <w:tr>
        <w:trPr/>
        <w:tc>
          <w:tcPr>
            <w:tcW w:w="19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5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ind w:left="0" w:right="0" w:hanging="0"/>
              <w:jc w:val="left"/>
              <w:rPr/>
            </w:pPr>
            <w:r>
              <w:rPr/>
              <w:t> </w:t>
            </w:r>
          </w:p>
        </w:tc>
        <w:tc>
          <w:tcPr>
            <w:tcW w:w="1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left w:val="single" w:sz="2" w:space="0" w:color="000000"/>
            </w:tcBorders>
            <w:shd w:fill="CCEEFF" w:val="clear"/>
            <w:tcMar>
              <w:left w:w="28" w:type="dxa"/>
            </w:tcMar>
            <w:vAlign w:val="center"/>
          </w:tcPr>
          <w:p>
            <w:pPr>
              <w:pStyle w:val="TableContents"/>
              <w:bidi w:val="0"/>
              <w:spacing w:before="0" w:after="283"/>
              <w:ind w:left="0" w:right="0" w:hanging="0"/>
              <w:jc w:val="left"/>
              <w:rPr/>
            </w:pPr>
            <w:r>
              <w:rPr/>
              <w:t> </w:t>
            </w:r>
          </w:p>
        </w:tc>
        <w:tc>
          <w:tcPr>
            <w:tcW w:w="1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6,684</w:t>
            </w:r>
          </w:p>
        </w:tc>
        <w:tc>
          <w:tcPr>
            <w:tcW w:w="65" w:type="dxa"/>
            <w:tcBorders/>
            <w:shd w:fill="CCEEFF" w:val="clear"/>
            <w:vAlign w:val="center"/>
          </w:tcPr>
          <w:p>
            <w:pPr>
              <w:pStyle w:val="TableContents"/>
              <w:bidi w:val="0"/>
              <w:spacing w:before="0" w:after="283"/>
              <w:jc w:val="left"/>
              <w:rPr/>
            </w:pPr>
            <w:r>
              <w:rPr/>
              <w:t> </w:t>
            </w:r>
          </w:p>
        </w:tc>
      </w:tr>
      <w:tr>
        <w:trPr/>
        <w:tc>
          <w:tcPr>
            <w:tcW w:w="19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5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ind w:left="0" w:right="0" w:hanging="0"/>
              <w:jc w:val="left"/>
              <w:rPr/>
            </w:pPr>
            <w:r>
              <w:rPr/>
              <w:t> </w:t>
            </w:r>
          </w:p>
        </w:tc>
        <w:tc>
          <w:tcPr>
            <w:tcW w:w="1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1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4,152</w:t>
            </w:r>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bidi w:val="0"/>
        <w:spacing w:lineRule="auto" w:line="240"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in this Management’s Discussion and Analysis of Financial Condition and Results of Operations (“MD&amp;A”) should be read in conjunction with the Company’s condensed consolidated financial statements and the related notes set forth in Item 1 of Part I of this Quarterly Report on Form 10-Q, our MD&amp;A set forth in Item 7 of Part II of our 2025 Annual Report on Form 10-K and our consolidated financial statements and related notes set forth in Item 8 of Part II of our 2025 Annual Report on Form 10-K. See Part II, Item 1A, “</w:t>
      </w:r>
      <w:r>
        <w:rPr>
          <w:rFonts w:ascii="Times New Roman;Times;serif" w:hAnsi="Times New Roman;Times;serif"/>
          <w:i/>
          <w:sz w:val="20"/>
        </w:rPr>
        <w:t>Risk Factors,”</w:t>
      </w:r>
      <w:r>
        <w:rPr>
          <w:rFonts w:ascii="Times New Roman;Times;serif" w:hAnsi="Times New Roman;Times;serif"/>
          <w:sz w:val="20"/>
        </w:rPr>
        <w:t xml:space="preserve"> below and “</w:t>
      </w:r>
      <w:r>
        <w:rPr>
          <w:rFonts w:ascii="Times New Roman;Times;serif" w:hAnsi="Times New Roman;Times;serif"/>
          <w:i/>
          <w:sz w:val="20"/>
        </w:rPr>
        <w:t>Cautionary Notice Regarding Forward-Looking Information,”</w:t>
      </w:r>
      <w:r>
        <w:rPr>
          <w:rFonts w:ascii="Times New Roman;Times;serif" w:hAnsi="Times New Roman;Times;serif"/>
          <w:sz w:val="20"/>
        </w:rPr>
        <w:t xml:space="preserve"> above, and the information referenced therein, for a description of risks that we face and important factors that we believe could cause actual results to differ materially from those in our Forward-Looking Statements. All amounts and percentages are approximate due to rounding and all dollars in the text are in millions, except per share amounts or where otherwise noted. When we cross-reference to a “</w:t>
      </w:r>
      <w:r>
        <w:rPr>
          <w:rFonts w:ascii="Times New Roman;Times;serif" w:hAnsi="Times New Roman;Times;serif"/>
          <w:i/>
          <w:sz w:val="20"/>
        </w:rPr>
        <w:t>Note,”</w:t>
      </w:r>
      <w:r>
        <w:rPr>
          <w:rFonts w:ascii="Times New Roman;Times;serif" w:hAnsi="Times New Roman;Times;serif"/>
          <w:sz w:val="20"/>
        </w:rPr>
        <w:t xml:space="preserve"> we are referring to our “</w:t>
      </w:r>
      <w:r>
        <w:rPr>
          <w:rFonts w:ascii="Times New Roman;Times;serif" w:hAnsi="Times New Roman;Times;serif"/>
          <w:i/>
          <w:sz w:val="20"/>
        </w:rPr>
        <w:t>Notes to Condensed Consolidated Financial Statements”</w:t>
      </w:r>
      <w:r>
        <w:rPr>
          <w:rFonts w:ascii="Times New Roman;Times;serif" w:hAnsi="Times New Roman;Times;serif"/>
          <w:sz w:val="20"/>
        </w:rPr>
        <w:t xml:space="preserve"> included in Part I, Item 1, of this Quarterly Report on Form 10-Q, unless the context indicates otherwise.  All amounts noted within the tables are in thousands and amounts and percentages are approximate due to rounding.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Company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design, manufacture, and market critical electronic components, systems and solutions for customers in aerospace, defense, industrial, and data-driven markets. Understanding that our customers face increasingly complex technical challenges, Bel delivers a comprehensive portfolio of solutions including power systems, high-reliability connectors and cable assemblies, circuit protection, and networking products that enable Original Equipment Manufacturers (OEMs) to bring their innovations to market. Bel partners closely with customers to deliver both customized and standard solutions tailored to their specific applications and performance requirements. With manufacturing facilities and technical support teams worldwide, Bel serves as a strategic partner to customers who require proven reliability in demanding end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March 31, 2026, we realigned our organizational and reporting structure and changed the reportable segment views used by the Chief Operating Decision Maker to evaluate operating performance and allocate resources. As a result, we now operate and report results through the following two reportable segments: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Aerospace, Defense &amp; Rugged Solutions, which serves customers in aerospace, defense, space, and other ruggedized applications;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bl>
    <w:tbl>
      <w:tblPr>
        <w:tblW w:w="10165" w:type="dxa"/>
        <w:jc w:val="left"/>
        <w:tblInd w:w="0" w:type="dxa"/>
        <w:tblLayout w:type="fixed"/>
        <w:tblCellMar>
          <w:top w:w="0" w:type="dxa"/>
          <w:left w:w="0" w:type="dxa"/>
          <w:bottom w:w="0" w:type="dxa"/>
          <w:right w:w="0" w:type="dxa"/>
        </w:tblCellMar>
      </w:tblPr>
      <w:tblGrid>
        <w:gridCol w:w="60"/>
        <w:gridCol w:w="170"/>
        <w:gridCol w:w="9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Industrial Technology &amp; Data Solutions, which serves customers in industrial, networking, and data infrastructure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product portfolio includes power solutions, connectors and cable assemblies, circuit protection devices, and networking products. We sell standard products and provide customized solutions to meet customer specifications. We maintain manufacturing operations and engineering support capabilities in multiple geographic regions and sell our products globally. We did not incur material restructuring charges as a result of this realignment.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comparability, prior</w:t>
        <w:noBreakHyphen/>
        <w:t>period segment information has been recast to conform to the current period presentation.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three months ended March 31, 2026, </w:t>
      </w:r>
      <w:r>
        <w:rPr>
          <w:rFonts w:ascii="Times New Roman;Times;serif" w:hAnsi="Times New Roman;Times;serif"/>
          <w:color w:val="000000"/>
          <w:sz w:val="20"/>
        </w:rPr>
        <w:t xml:space="preserve">56% of our revenues were derived from </w:t>
      </w:r>
      <w:r>
        <w:rPr>
          <w:rFonts w:ascii="Times New Roman;Times;serif" w:hAnsi="Times New Roman;Times;serif"/>
          <w:sz w:val="20"/>
        </w:rPr>
        <w:t>Aerospace, Defense &amp; Rugged Solutions and</w:t>
      </w:r>
      <w:r>
        <w:rPr>
          <w:rFonts w:ascii="Times New Roman;Times;serif" w:hAnsi="Times New Roman;Times;serif"/>
          <w:color w:val="000000"/>
          <w:sz w:val="20"/>
        </w:rPr>
        <w:t xml:space="preserve"> 44% from </w:t>
      </w:r>
      <w:r>
        <w:rPr>
          <w:rFonts w:ascii="Times New Roman;Times;serif" w:hAnsi="Times New Roman;Times;serif"/>
          <w:sz w:val="20"/>
        </w:rPr>
        <w:t>Industrial Technology &amp; Data Solutions.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operating expenses are driven principally by the cost of labor where the factories that we use are located, the cost of the materials that we use and our ability to effectively and efficiently manage overhead costs. As labor and material costs vary by product line and region, any significant shift in product mix can have an associated impact on our costs of sales. Costs are recorded as incurred for all products manufactured. Such amounts are determined based upon the estimated stage of production and include materials, labor cost and fringes and related allocations of factory overhead.</w:t>
      </w:r>
      <w:r>
        <w:rPr>
          <w:rFonts w:ascii="Times New Roman;Times;serif" w:hAnsi="Times New Roman;Times;serif"/>
          <w:color w:val="000000"/>
          <w:sz w:val="20"/>
          <w:shd w:fill="FFFFFF" w:val="clear"/>
        </w:rPr>
        <w:t xml:space="preserve"> Our products are manufactured at various facilities in the United States, Mexico, Dominican Republic, United Kingdom, Slovakia, Israel, India and the </w:t>
      </w:r>
      <w:r>
        <w:rPr>
          <w:rFonts w:ascii="Times New Roman;Times;serif" w:hAnsi="Times New Roman;Times;serif"/>
          <w:sz w:val="20"/>
        </w:rPr>
        <w:t>People’s Republic of China</w:t>
      </w:r>
      <w:r>
        <w:rPr>
          <w:rFonts w:ascii="Times New Roman;Times;serif" w:hAnsi="Times New Roman;Times;serif"/>
          <w:color w:val="000000"/>
          <w:sz w:val="20"/>
          <w:shd w:fill="FFFFFF" w:val="clear"/>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little visibility into the ordering habits of our customers and we can be subjected to large and unpredictable variations in demand for our products. Accordingly, we must continually recruit and train new workers to replace those lost to attrition and be able to address peaks in demand that may occur from time to time. These recruiting and training efforts and related inefficiencies, and overtime required in order to meet any increase in demand, can add volatility to the labor costs incurred by us.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Key Factors Affecting our Business</w:t>
      </w:r>
      <w:r>
        <w:rPr>
          <w:rFonts w:ascii="Times New Roman" w:hAnsi="Times New Roman"/>
          <w:caps w:val="false"/>
          <w:smallCaps w:val="false"/>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in addition to </w:t>
      </w:r>
      <w:r>
        <w:rPr>
          <w:rFonts w:ascii="Times New Roman;Times;serif" w:hAnsi="Times New Roman;Times;serif"/>
          <w:sz w:val="20"/>
          <w:shd w:fill="FFFFFF" w:val="clear"/>
        </w:rPr>
        <w:t>recent global tariffs and inflationary pressures on the costs of goods and services in general, as well as ongoing conflicts/political unrest including </w:t>
      </w:r>
      <w:r>
        <w:rPr>
          <w:rFonts w:ascii="Times New Roman;Times;serif" w:hAnsi="Times New Roman;Times;serif"/>
          <w:sz w:val="20"/>
        </w:rPr>
        <w:t>in or near th</w:t>
      </w:r>
      <w:r>
        <w:rPr>
          <w:rFonts w:ascii="Times New Roman;Times;serif" w:hAnsi="Times New Roman;Times;serif"/>
          <w:sz w:val="20"/>
          <w:shd w:fill="FFFFFF" w:val="clear"/>
        </w:rPr>
        <w:t>e countries in which Bel operates, the key factors affecting and/or potentially affecting our</w:t>
      </w:r>
      <w:r>
        <w:rPr>
          <w:rFonts w:ascii="Times New Roman;Times;serif" w:hAnsi="Times New Roman;Times;serif"/>
          <w:sz w:val="20"/>
        </w:rPr>
        <w:t xml:space="preserve"> results for the three months ended March 31, 2026 and/or future results include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Acquisition of dataMate </w:t>
            </w:r>
            <w:r>
              <w:rPr>
                <w:rFonts w:ascii="Times New Roman;Times;serif" w:hAnsi="Times New Roman;Times;serif"/>
                <w:sz w:val="20"/>
              </w:rPr>
              <w:t xml:space="preserve">– In March 2026, we acquired dataMate, as further disclosed in Note 2, </w:t>
            </w:r>
            <w:r>
              <w:rPr>
                <w:rFonts w:ascii="Times New Roman;Times;serif" w:hAnsi="Times New Roman;Times;serif"/>
                <w:i/>
                <w:sz w:val="20"/>
              </w:rPr>
              <w:t>"Acquisitions."</w:t>
            </w:r>
            <w:r>
              <w:rPr>
                <w:rFonts w:ascii="Times New Roman;Times;serif" w:hAnsi="Times New Roman;Times;serif"/>
                <w:sz w:val="20"/>
              </w:rPr>
              <w:t> As a result, our Industrial Technology &amp; Data Solutions segment will include dataMate’s net sales and results of operations from the date of acquisition. dataMate provides Ethernet and broadband connectivity solutions, and its results of operations may vary based on factors such as demand in industrial networking and data infrastructure markets, customer purchasing patterns, and general market conditions.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Backlog</w:t>
            </w:r>
            <w:r>
              <w:rPr>
                <w:rFonts w:ascii="Times New Roman;Times;serif" w:hAnsi="Times New Roman;Times;serif"/>
                <w:sz w:val="20"/>
              </w:rPr>
              <w:t> – Our backlog of orders amounted to $531.3 million at March 31, 2026, an increase of $92.2 million, or 21.0%, from December 31, 2025. From December 31, 2025 to March 31, 2026, we experienced a 17.0% increase in backlog within our Aerospace, Defense &amp; Rugged Solutions segment and a 27.3% increase within our Industrial Technology &amp; Data Solutions segment. Factors that could cause us to fail to ship all such orders include unanticipated supply difficulties, changes in customer demand, and new customer designs. Due to these factors, backlog may not be a reliable indicator of the timing or amount of future sales.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0"/>
              <w:ind w:left="0" w:right="0" w:hanging="0"/>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Product Mix</w:t>
            </w:r>
            <w:r>
              <w:rPr>
                <w:rFonts w:ascii="Times New Roman;Times;serif" w:hAnsi="Times New Roman;Times;serif"/>
                <w:sz w:val="20"/>
              </w:rPr>
              <w:t xml:space="preserve"> – Material and labor costs vary by product line, and any significant shift in product mix between higher- and lower-margin products will have a corresponding impact on our gross margin. In general, products within our Aerospace, Defense &amp; Rugged Solutions segment have historically generated higher contribution margins due to a product mix that serves harsh-environment and high-reliability applications and end markets, which may be partially offset by higher-cost bills of materials. Our Industrial Technology &amp; Data Solutions segment includes products that have historically generated strong contribution margins, as well as products that are more labor-intensive and therefore may be more sensitive to wage rate changes and foreign currency fluctuations, including movements between the U.S. dollar and the Chinese renminbi. Fluctuations in revenue volume and product mix between our reportable segments and product lines will have a corresponding impact on our profit margins. See </w:t>
            </w:r>
            <w:r>
              <w:rPr>
                <w:rFonts w:ascii="Times New Roman;Times;serif" w:hAnsi="Times New Roman;Times;serif"/>
                <w:i/>
                <w:sz w:val="20"/>
              </w:rPr>
              <w:t>"Results of Operations - Summary by Operating Segment - Revenue and Gross Margin."</w:t>
            </w:r>
            <w:r>
              <w:rPr>
                <w:rFonts w:ascii="Times New Roman;Times;serif" w:hAnsi="Times New Roman;Times;serif"/>
                <w:sz w:val="20"/>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shd w:fill="FFFFFF" w:val="clear"/>
              </w:rPr>
            </w:pPr>
            <w:r>
              <w:rPr>
                <w:shd w:fill="FFFFFF" w:val="clea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Pricing and Availability of Materials</w:t>
            </w:r>
            <w:r>
              <w:rPr>
                <w:rFonts w:ascii="Times New Roman;Times;serif" w:hAnsi="Times New Roman;Times;serif"/>
                <w:sz w:val="20"/>
              </w:rPr>
              <w:t> – Prices for commodities that are key inputs to our products, including gold (Au), silver (Ag) and copper (Cu), have increased as market prices for these metals have risen. In addition, lead times for certain integrated circuits (“ICs”) have increased, which we believe is driven in part by demand related to AI-enabled applications and the supporting infrastructure. Regulatory developments, including trade restrictions and other measures affecting suppliers in the PRC, have previously disrupted, and could in the future disrupt, our supply chain. These disruptions could result in limited access to certain components or suppliers, increased costs, extended lead times, shortages, or other adverse impacts on our business and results of operations. Additionally, tariffs or other duties imposed by the U.S. or foreign governments on imports or exports could increase our costs, reduce margins, or require price increases, which could in turn reduce customer demand. See "</w:t>
            </w:r>
            <w:r>
              <w:rPr>
                <w:rFonts w:ascii="Times New Roman;Times;serif" w:hAnsi="Times New Roman;Times;serif"/>
                <w:i/>
                <w:sz w:val="20"/>
              </w:rPr>
              <w:t>Global Tariffs</w:t>
            </w:r>
            <w:r>
              <w:rPr>
                <w:rFonts w:ascii="Times New Roman;Times;serif" w:hAnsi="Times New Roman;Times;serif"/>
                <w:sz w:val="20"/>
              </w:rPr>
              <w:t>" below.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shd w:fill="FFFFFF" w:val="clear"/>
              </w:rPr>
            </w:pPr>
            <w:r>
              <w:rPr>
                <w:shd w:fill="FFFFFF" w:val="clear"/>
              </w:rPr>
              <w:t>•</w:t>
            </w:r>
          </w:p>
          <w:p>
            <w:pPr>
              <w:pStyle w:val="TableContents"/>
              <w:bidi w:val="0"/>
              <w:spacing w:before="0" w:after="0"/>
              <w:ind w:left="0" w:right="0" w:hanging="0"/>
              <w:jc w:val="left"/>
              <w:rPr/>
            </w:pPr>
            <w:r>
              <w:rPr/>
              <w:t> </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Global Tariffs</w:t>
            </w:r>
            <w:r>
              <w:rPr>
                <w:rFonts w:ascii="Times New Roman;Times;serif" w:hAnsi="Times New Roman;Times;serif"/>
                <w:sz w:val="20"/>
              </w:rPr>
              <w:t xml:space="preserve"> – On April 5, 2025, the U.S. government announced the implementation of reciprocal tariffs on imports into the United States from certain countries in which our manufacturing facilities and/or suppliers are located. On February 20, 2026, the Supreme Court of the United States issued its decision in </w:t>
            </w:r>
            <w:r>
              <w:rPr>
                <w:rFonts w:ascii="Times New Roman;Times;serif" w:hAnsi="Times New Roman;Times;serif"/>
                <w:i/>
                <w:sz w:val="20"/>
              </w:rPr>
              <w:t>Learning Resources, Inc. v. Trump</w:t>
            </w:r>
            <w:r>
              <w:rPr>
                <w:rFonts w:ascii="Times New Roman;Times;serif" w:hAnsi="Times New Roman;Times;serif"/>
                <w:sz w:val="20"/>
              </w:rPr>
              <w:t>, holding that the International Emergency Economic Powers Act (“IEEPA”) does not authorize the imposition of tariffs. While this decision invalidated certain tariffs previously imposed under IEEPA, the broader implications of the ruling remain uncertain. We continue to monitor developments in U.S. trade policy, including potential legislative or executive actions that could result in the imposition of tariffs under alternative statutory authorities. Imports into the United States from Mexico are currently exempt from tariffs under the United States–Mexico–Canada Agreement (“USMCA”), as currently in force. During the three months ended March 31, 2026, tariffs did not have a material impact on our results of operations. We continue to monitor potential impacts from changes in trade policy and may implement mitigation actions, including supply chain adjustments and pricing actions, as appropriate. The imposition or reinstatement of tariffs on imports into the United States could increase costs, disrupt supply chains, and/or reduce demand for our products, which could adversely affect future results of operations, including net sales and gross margins.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u w:val="single"/>
              </w:rPr>
              <w:t>Labor Costs</w:t>
            </w:r>
            <w:r>
              <w:rPr>
                <w:rFonts w:ascii="Times New Roman;Times;serif" w:hAnsi="Times New Roman;Times;serif"/>
                <w:color w:val="000000"/>
                <w:sz w:val="20"/>
              </w:rPr>
              <w:t xml:space="preserve"> – </w:t>
            </w:r>
            <w:r>
              <w:rPr>
                <w:rFonts w:ascii="Times New Roman;Times;serif" w:hAnsi="Times New Roman;Times;serif"/>
                <w:sz w:val="20"/>
              </w:rPr>
              <w:t>Labor costs represented 7.9% of revenue during the first quarter of 2026, compared to 8.4% of revenue during the first quarter of 2025. The decrease primarily reflects operating leverage on higher sales volumes (net sales increased 17.2%), automation-driven productivity improvements, and the late-2025 transition of certain manufacturing activities from the Company’s Pingguo, PRC facility to an outside subcontractor, which shifted a portion of costs from direct labor to materials.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Inflationary Pressures</w:t>
            </w:r>
            <w:r>
              <w:rPr>
                <w:rFonts w:ascii="Times New Roman;Times;serif" w:hAnsi="Times New Roman;Times;serif"/>
                <w:sz w:val="20"/>
              </w:rPr>
              <w:t xml:space="preserve"> - Inflationary pressures could continue to result in higher input costs, including those related to our raw materials, labor, freight, utilities, healthcare and other expenses. Our future operating results will depend, in part, on our continued ability to manage these fluctuations through pricing actions, cost savings initiatives and sourcing decisions. The ongoing armed conflict involving Iran and the Gulf states was the primary driver of the increased energy prices and resulting inflation in our various regions of operations in the first quarter of 2026. The conflict has led, and may continue to lead, to, among other things, increased volatility and higher prices for commodities, such as energy products and freight on input material costs, increased inflation in various countries where we and/or our suppliers or customers operate, and disruptions to global trade and supply chains, including key energy transit routes. Actual or threatened disruptions to maritime shipping lanes and other escalating security tensions have also increased insurance, financing and transportation costs. While the impact on us has not been material, prolonged or expanded hostilities could have a material adverse effect in future periods.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Impact of Foreign Currency</w:t>
            </w:r>
            <w:r>
              <w:rPr>
                <w:rFonts w:ascii="Times New Roman;Times;serif" w:hAnsi="Times New Roman;Times;serif"/>
                <w:sz w:val="20"/>
              </w:rPr>
              <w:t> – During the three months ended March 31, 2026, labor and overhead costs increased by approximately $2.3 million compared to the same period in 2025, primarily due to unfavorable foreign exchange rates involving the Israeli shekel, the Chinese renminbi, the euro, and the Mexican peso. Specifically, the appreciation of the Israeli shekel, Chinese renminbi and euro against the U.S. dollar resulted in higher labor and overhead costs of $1.1 million, $0.9 million and $0.3 million, respectively. We recognized a foreign exchange transactional loss of $3.2 million during this period, mainly due to currency spot rate fluctuations when translating balance sheet accounts as of March 31, 2026, versus December 31, 2025. As a U.S.-domiciled company, our foreign currency-denominated financial results are translated into U.S. dollars, and exchange rate fluctuations can impact our consolidated statements of operations and cash flows. We continuously monitor foreign currency movements and may utilize forward contracts or implement pricing actions to mitigate the impact of currency fluctuations on our operating results. 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Effective Tax Rate</w:t>
            </w:r>
            <w:r>
              <w:rPr>
                <w:rFonts w:ascii="Times New Roman;Times;serif" w:hAnsi="Times New Roman;Times;serif"/>
                <w:sz w:val="20"/>
              </w:rPr>
              <w:t> – Our effective tax rate will fluctuate based on the geographic regions in which our pretax profits are earned. Of the geographic regions in which we operate, the U.S. and Europe’s tax rates are generally comparable while Asia has the lowest tax rates of our three geographical regions. See Note 11, “</w:t>
            </w:r>
            <w:r>
              <w:rPr>
                <w:rFonts w:ascii="Times New Roman;Times;serif" w:hAnsi="Times New Roman;Times;serif"/>
                <w:i/>
                <w:sz w:val="20"/>
              </w:rPr>
              <w:t>Income Taxes.</w:t>
            </w: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spacing w:lineRule="auto" w:line="24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Results of Operations - Summary by Operating Segment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Revenue and Gross Margin</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revenue and gross margin by operating segment for the three months ended March 31, 2026 and 2025 were as follows:</w:t>
      </w:r>
    </w:p>
    <w:p>
      <w:pPr>
        <w:pStyle w:val="TextBody"/>
        <w:bidi w:val="0"/>
        <w:spacing w:before="0" w:after="0"/>
        <w:ind w:left="0" w:right="0" w:hanging="0"/>
        <w:jc w:val="left"/>
        <w:rPr/>
      </w:pPr>
      <w:r>
        <w:rPr/>
        <w:t> </w:t>
      </w:r>
    </w:p>
    <w:tbl>
      <w:tblPr>
        <w:tblW w:w="6555" w:type="dxa"/>
        <w:jc w:val="left"/>
        <w:tblInd w:w="0" w:type="dxa"/>
        <w:tblLayout w:type="fixed"/>
        <w:tblCellMar>
          <w:top w:w="0" w:type="dxa"/>
          <w:left w:w="0" w:type="dxa"/>
          <w:bottom w:w="0" w:type="dxa"/>
          <w:right w:w="0" w:type="dxa"/>
        </w:tblCellMar>
      </w:tblPr>
      <w:tblGrid>
        <w:gridCol w:w="3305"/>
        <w:gridCol w:w="60"/>
        <w:gridCol w:w="125"/>
        <w:gridCol w:w="695"/>
        <w:gridCol w:w="60"/>
        <w:gridCol w:w="60"/>
        <w:gridCol w:w="125"/>
        <w:gridCol w:w="695"/>
        <w:gridCol w:w="60"/>
        <w:gridCol w:w="60"/>
        <w:gridCol w:w="60"/>
        <w:gridCol w:w="380"/>
        <w:gridCol w:w="185"/>
        <w:gridCol w:w="60"/>
        <w:gridCol w:w="60"/>
        <w:gridCol w:w="380"/>
        <w:gridCol w:w="185"/>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5"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185"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Aerospace, Defense &amp; Rugged Solutions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 Technology &amp; Data Solutions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Aerospace, Defense &amp; Rugged Solutions</w:t>
      </w:r>
      <w:r>
        <w:rPr>
          <w:rFonts w:ascii="Times New Roman;Times;serif" w:hAnsi="Times New Roman;Times;serif"/>
          <w:i/>
          <w:color w:val="000000"/>
          <w:sz w:val="20"/>
        </w:rPr>
        <w:t>:</w:t>
      </w:r>
      <w:r>
        <w:rPr>
          <w:rFonts w:ascii="Times New Roman;Times;serif" w:hAnsi="Times New Roman;Times;serif"/>
          <w:i/>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increased by $16.7 million, or 20.1%, for the three months ended March 31, 2026, compared to the three months ended March 31, 2025. The increase was primarily driven by higher sales volumes in defense applications, which rose by $9.4 million (18.7%), and in commercial aerospace applications, which rose by $4.2 million (21.4%). Sales into rugged industrial applications also increased by $3.1 million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 improved from the prior-year period, mainly due to a more favorable product mix and stronger operational efficiencies tied to facility consolidation initiatives. These benefits were partially offset by an unfavorable impact from foreign currency movements, primarily due to the weakening of the U.S. dollar against the Israeli shekel and Mexican peso.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Industrial Technology &amp; Data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increased by $9.6 million, or 13.8%, for the three months ended March 31, 2026, compared to the prior-year period. The increase was driven by growth in data solutions applications, which rose by $9.5 million (30.4%), and in industrial applications, which rose by $4.3 million (16.7%). This growth was partially offset by a decline in transportation applications, which decreased by $4.2 million (33.3%).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 decreased compared to the prior-year period, primarily due to an unfavorable product mix and the unfavorable impact of foreign currency exchange rate movements, principally related to the Chinese renminbi relative to the 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Cost of Sales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sales as a percentage of revenue for the three months ended March 31, 2026 and 2025 consisted of the following:</w:t>
      </w:r>
    </w:p>
    <w:p>
      <w:pPr>
        <w:pStyle w:val="TextBody"/>
        <w:bidi w:val="0"/>
        <w:spacing w:before="0" w:after="0"/>
        <w:ind w:left="0" w:right="0" w:hanging="0"/>
        <w:jc w:val="both"/>
        <w:rPr/>
      </w:pPr>
      <w:r>
        <w:rPr/>
        <w:t> </w:t>
      </w:r>
    </w:p>
    <w:tbl>
      <w:tblPr>
        <w:tblW w:w="3448" w:type="dxa"/>
        <w:jc w:val="left"/>
        <w:tblInd w:w="0" w:type="dxa"/>
        <w:tblLayout w:type="fixed"/>
        <w:tblCellMar>
          <w:top w:w="0" w:type="dxa"/>
          <w:left w:w="0" w:type="dxa"/>
          <w:bottom w:w="0" w:type="dxa"/>
          <w:right w:w="0" w:type="dxa"/>
        </w:tblCellMar>
      </w:tblPr>
      <w:tblGrid>
        <w:gridCol w:w="1475"/>
        <w:gridCol w:w="60"/>
        <w:gridCol w:w="92"/>
        <w:gridCol w:w="584"/>
        <w:gridCol w:w="284"/>
        <w:gridCol w:w="92"/>
        <w:gridCol w:w="92"/>
        <w:gridCol w:w="584"/>
        <w:gridCol w:w="185"/>
      </w:tblGrid>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284"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6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costs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2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 costs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2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2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60" w:type="dxa"/>
            <w:tcBorders/>
            <w:shd w:fill="FFFFFF" w:val="clear"/>
            <w:vAlign w:val="center"/>
          </w:tcPr>
          <w:p>
            <w:pPr>
              <w:pStyle w:val="TableContents"/>
              <w:bidi w:val="0"/>
              <w:spacing w:before="0" w:after="0"/>
              <w:ind w:left="0" w:right="0" w:hanging="0"/>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28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0"/>
              <w:ind w:left="0" w:right="0" w:hanging="0"/>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18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percentage of sales, material costs increased to 30.2% in 2026 from 29.4% in 2025. The increase in material cost as a percentage of sales was primarily due to a shift in product and production mix toward power products in the Aerospace, Defense &amp; Rugged Solutions segment and the Industrial Technology &amp; Data Solutions segment, which generally have higher material 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percentage of sales, labor costs decreased to 7.9% in 2026 from 8.4% in 2025, primarily reflecting higher sales volume and product mix with less labor-intensive products manufactured by outside manufacturers. This benefit was partially offset by unfavorable foreign currency movements, including the Israeli shekel and, Chinese renminbi which increased labor-related costs when translated into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For the three months ended March 31, 2026, overhead and other manufacturing costs were 22.9% of sales, compared to 23.6% of sales for the three months ended March 31, 2025. Although these costs increased in absolute dollars year over year, the improvement as a percentage of sales was primarily driven by higher sales volumes in 2026, which resulted in more favorable absorption of largely fixed manufacturing costs, including support labor and related benefits, depreciation and amortization, and facility-related costs (rent, utilities, and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Research and Development Expense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(“R&amp;D”) expenses totaled $8.5 million for the three months ended March 31, 2026, an increase of $1.3 million from $7.2 million for the three months ended March 31, 2025. The increase was primarily attributable to higher R&amp;D personnel costs, including approximately $0.5 million of higher labor and fringe benefits, and approximately $0.5 million of higher bonus expense related to the Company’s company-wide incentive program. The increase in R&amp;D expense was broad-based across both Aerospace, Defense &amp; Rugged Solutions and Industrial Technology &amp; Data Solutions.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Selling, General and Administrative Expense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(“SG&amp;A”) expenses totaled $36.7 million for the three months ended March 31, 2026, an increase of $7.2 million from $29.5 million for the three months ended March 31, 2025. The increase reflected non-recurring items, including $1.4 million of acquisition-related costs associated with the acquisition of dataMate and approximately $1.0 million of onboarding and overlapping salary and benefit costs related to the CEO and segment President positions, $0.7 in higher stock compensation expense. Other factors driving the year over year increase include higher commissions, an increase and overlap in audit fees, higher IT system costs and the annual salary increase which took effect on March 1, 2026. Additionally, bonus expense was $1.3 million higher during the first quarter of 2026 as there was a bonus reversal in the first quarter of 2025 which did not recur in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was $2.5 million for the three months ended March 31, 2026, compared to $4.2 million for the three months that ended March 31, 2025, representing a decrease of $1.7 million. The decrease was primarily due to lower average outstanding borrowings under the Company’s credit facilities during the 2026 period compared to the prior-year period. For further information on the Company's outstanding debt, see "</w:t>
      </w:r>
      <w:r>
        <w:rPr>
          <w:rFonts w:ascii="Times New Roman" w:hAnsi="Times New Roman"/>
          <w:i/>
          <w:caps w:val="false"/>
          <w:smallCaps w:val="false"/>
          <w:sz w:val="20"/>
        </w:rPr>
        <w:t>Liquidity and Capital Resources</w:t>
      </w:r>
      <w:r>
        <w:rPr>
          <w:rFonts w:ascii="Times New Roman" w:hAnsi="Times New Roman"/>
          <w:caps w:val="false"/>
          <w:smallCaps w:val="false"/>
          <w:sz w:val="20"/>
        </w:rPr>
        <w:t>" below and Note 10, "</w:t>
      </w:r>
      <w:r>
        <w:rPr>
          <w:rFonts w:ascii="Times New Roman" w:hAnsi="Times New Roman"/>
          <w:i/>
          <w:caps w:val="false"/>
          <w:smallCaps w:val="false"/>
          <w:sz w:val="20"/>
        </w:rPr>
        <w:t>Debt.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income for the three months ended March 31, 2026 was $0.2 million, down from $0.3 million for the same period in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Other (Expense) Income, Net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 net was $3.5 million for the three months ended March 31, 2026, compared to other income, net of $2.6 million for the three months ended March 31, 2025. The year-over-year change was primarily driven by unfavorable foreign exchange impacts, resulting in a foreign exchange loss of $3.2 million from fluctuations in spot exchange rates of certain currencies against the U.S. dollar when translating and remeasuring balance sheet accounts at period end compared to foreign exchange transactional gain of $4.3 million during the three-month periods ended March 31, 2025. SERP investments resulted in a loss of $0.4 million in the first quarter of 2026 versus a gain of $0.3 million in the first quarter of 2025. Additionally, the Company recorded income of $0.3 million associated with its investment in innolectric during the first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Provision for Income Taxes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effective tax rate will fluctuate based on the geographic regions in which the pretax profits are earned. Tax rates in the U.S. and Europe are generally comparable, while Asia generally has lower statutory. See Note 11, “</w:t>
      </w:r>
      <w:r>
        <w:rPr>
          <w:rFonts w:ascii="Times New Roman;Times;serif" w:hAnsi="Times New Roman;Times;serif"/>
          <w:i/>
          <w:sz w:val="20"/>
        </w:rPr>
        <w:t>Income Taxes</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2026, the provision for income taxes was $2.8 million, compared to $5.5 million for the same period in 2025. Earnings before income taxes for the three months ended March 31, 2026, decreased by $6.0 million compared to the same period in 2025, primarily due to lower income worldwide. The Company’s effective tax rate for the three months ended March 31, 2026, was 15.8%, compared to 23.0% for the same period in 2025. The decrease in the effective tax rate was primarily driven by a benefit from restricted stock vesting, partially offset by changes in the mix of jurisdictional earnings and foreign valuation allowances on net operating losses. See Note 11, “</w:t>
      </w:r>
      <w:r>
        <w:rPr>
          <w:rFonts w:ascii="Times New Roman" w:hAnsi="Times New Roman"/>
          <w:i/>
          <w:caps w:val="false"/>
          <w:smallCaps w:val="false"/>
          <w:sz w:val="20"/>
        </w:rPr>
        <w:t>Income Taxes.</w:t>
      </w:r>
      <w:r>
        <w:rPr>
          <w:rFonts w:ascii="Times New Roman" w:hAnsi="Times New Roman"/>
          <w:caps w:val="false"/>
          <w:smallCaps w:val="false"/>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Liquidity and Capital Resources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principal sources of liquidity include $59.4 million of cash and cash equivalents at March 31, 2026, cash provided by operating activities and borrowings available under our credit facility. We expect to use this liquidity for operating expenses, investments in working capital, capital expenditures, interest, taxes, lease and purchase obligations, pension benefit obligations, dividends, purchases of common stock under our Repurchase Program, and debt obligations and other long-term liabilities. Our liquidity may also be utilized to fund potential acquisitions in future periods, as well as potential future cash requirements related to the Enercon acquisition, including the potential 2026 Earnout Payment that may become due and the put-call options under the Enercon shareholders’ agreement, pursuant to which Bel has the current intention to purchase the remaining 20% interest by early 2027. See the discussion “</w:t>
      </w:r>
      <w:r>
        <w:rPr>
          <w:rFonts w:ascii="Times New Roman;Times;serif" w:hAnsi="Times New Roman;Times;serif"/>
          <w:i/>
          <w:sz w:val="20"/>
        </w:rPr>
        <w:t>Liquidity and Capital Resources</w:t>
      </w:r>
      <w:r>
        <w:rPr>
          <w:rFonts w:ascii="Times New Roman;Times;serif" w:hAnsi="Times New Roman;Times;serif"/>
          <w:sz w:val="20"/>
        </w:rPr>
        <w:t>” appearing in Item 7, and “</w:t>
      </w:r>
      <w:r>
        <w:rPr>
          <w:rFonts w:ascii="Times New Roman;Times;serif" w:hAnsi="Times New Roman;Times;serif"/>
          <w:i/>
          <w:sz w:val="20"/>
        </w:rPr>
        <w:t>Management</w:t>
      </w:r>
      <w:r>
        <w:rPr>
          <w:rFonts w:ascii="Times New Roman;Times;serif" w:hAnsi="Times New Roman;Times;serif"/>
          <w:sz w:val="20"/>
        </w:rPr>
        <w:t>’</w:t>
      </w:r>
      <w:r>
        <w:rPr>
          <w:rFonts w:ascii="Times New Roman;Times;serif" w:hAnsi="Times New Roman;Times;serif"/>
          <w:i/>
          <w:sz w:val="20"/>
        </w:rPr>
        <w:t>s Discussion and Analysis of Financial Condition and Results of Operations</w:t>
      </w:r>
      <w:r>
        <w:rPr>
          <w:rFonts w:ascii="Times New Roman;Times;serif" w:hAnsi="Times New Roman;Times;serif"/>
          <w:sz w:val="20"/>
        </w:rPr>
        <w:t>” in our Annual Report on Form 10-K for the fiscal year ended December 31, 2025. We believe that our current liquidity position and future cash flows from operations will enable us to fund our operations, both in the next twelve months and in the longer term.</w:t>
      </w:r>
    </w:p>
    <w:p>
      <w:pPr>
        <w:pStyle w:val="TextBody"/>
        <w:bidi w:val="0"/>
        <w:spacing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spacing w:lineRule="auto" w:line="24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Cash Flow Summary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2026, our cash and cash equivalents increased by $1.6 million. This increase was primarily due to the following:</w:t>
      </w:r>
    </w:p>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5360"/>
      </w:tblGrid>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operating activities of $13.8 million; </w:t>
            </w:r>
          </w:p>
        </w:tc>
      </w:tr>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borrowings of long-term debt of $7 million; partially offset by</w:t>
            </w:r>
          </w:p>
        </w:tc>
      </w:tr>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payment for the acquisition of dataMate of $15.2 million</w:t>
            </w:r>
          </w:p>
        </w:tc>
      </w:tr>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property, plant and equipment of $2.6 million; and</w:t>
            </w:r>
          </w:p>
        </w:tc>
      </w:tr>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payments of $0.8 million;</w:t>
            </w:r>
          </w:p>
        </w:tc>
      </w:tr>
    </w:tbl>
    <w:p>
      <w:pPr>
        <w:pStyle w:val="TextBody"/>
        <w:bidi w:val="0"/>
        <w:spacing w:lineRule="auto" w:line="240"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was favorably impacted by changes in working capital during the three months ending March 31, 2026, primarily due to an increase in accounts payable of $9.7 million and decreases in accounts receivable of $3.8 million and unbilled receivables of $1.0 million. Days sales outstanding (“DSO”) improved to 61 days on March 31, 2026 from 64 days on December 31, 2025, which is consistent with improved cash conversion and the Company’s ongoing focus on receivables management. These benefits were partially offset by an increase in inventories of $12.2 million, primarily due to higher levels of raw materials, work in process, and finished goods. The inventory increase was driven by strong customer demand and increased purchasing and production activity to support order requirements and manage lead times, as well as the impact of higher material costs that increased the dollar value of on-hand inventory. The working capital benefit was also partially offset by decreases in accrued expenses of $6.6 million, accrued restructuring costs of $0.3 million, and income taxes payable of $0.4 million, which primarily reflect cash payments and the timing of settlements of previously accrued obligations. Changes in other current assets and other assets also affected operating cash flows, with other current assets increasing by $0.5 million and other assets decreasing by $1.0 million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Inventory turns were 2.4 on March 31, 2026, compared to 2.5 on December 31, 2025. While demand remained strong, the modest decline in turns reflects the higher average inventory balance during the quarter, including additional inventory being held to support customer delivery schedules, lead-time requirements, and higher material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and accounts receivable comprised approximately 18.9% and 19.2% of our total assets as of March 31, 2026 and at December 31, 2025, respectively. Our current ratio (i.e., the ratio of current assets to current liabilities) was</w:t>
      </w:r>
      <w:r>
        <w:rPr>
          <w:rFonts w:ascii="Times New Roman;Times;serif" w:hAnsi="Times New Roman;Times;serif"/>
          <w:color w:val="000000"/>
          <w:sz w:val="20"/>
        </w:rPr>
        <w:t xml:space="preserve"> 3.2 </w:t>
      </w:r>
      <w:r>
        <w:rPr>
          <w:rFonts w:ascii="Times New Roman;Times;serif" w:hAnsi="Times New Roman;Times;serif"/>
          <w:sz w:val="20"/>
        </w:rPr>
        <w:t>to 1 as of March 31, 2026 and 3.0 to 1 as of December 31, 2025. At March 31, 2026 and December 31, 2025, $47.3 million and $43.4 million, respectively (or 79% and 75%, respectively), of our cash and cash equivalents was held by our foreign subsidiaries. We repatriated $3.0 million of funds from outside of the U.S. during the three months ended March 31, 2026. We continue to analyze our global working capital and cash requirements and the potential tax liabilities attributable to further repatriation, and we have yet to make any further determination regarding repatriation of funds from outside the U.S. to fund our U.S. operations in the future. In the event these funds were needed for our U.S. operations, we would be required to accrue and pay U.S. state taxes and any applicable foreign withholding taxes to repatriate these funds.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Future Cash Requirements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expect foreseeable liquidity and capital resource requirements in the ordinary course to be met through existing cash and cash equivalents and anticipated cash flows from operations, as well as borrowings available under our revolving credit facility, if needed. Our material cash requirements arising in the normal course of business are outlined in Item 7,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in our Annual Report on Form 10-K for the fiscal year ended December 31, 2025. There were no material changes to our future cash requirements during the three months ended March 31,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Credit Facility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$195.5 million of available borrowings under its revolving credit facility at March 31, 2026. See Note 10, "</w:t>
      </w:r>
      <w:r>
        <w:rPr>
          <w:rFonts w:ascii="Times New Roman" w:hAnsi="Times New Roman"/>
          <w:i/>
          <w:caps w:val="false"/>
          <w:smallCaps w:val="false"/>
          <w:sz w:val="20"/>
        </w:rPr>
        <w:t>Debt.</w:t>
      </w:r>
      <w:r>
        <w:rPr>
          <w:rFonts w:ascii="Times New Roman" w:hAnsi="Times New Roman"/>
          <w:caps w:val="false"/>
          <w:smallCaps w:val="false"/>
          <w:sz w:val="20"/>
        </w:rPr>
        <w:t>" There are no mandatory principal payments due on the credit facility borrowings during 2026. The current balance of $204.5 million is due upon expiration of the credit facility on September 1, 2028. Anticipated interest payments due amount to $25.9 million, of which $8.7 million is expected to be paid in 2026 based on our debt balance and interest rate in place as of March 31, 2026. As of March 31, 2026, we were in compliance with our debt covenants, including the most restrictive covenant, the Fixed Charge Coverage Ratio. The unused credit available under the credit facility as of March 31, 2026 was $195.5 million, all of which we had the ability to borrow without violating our Leverage Ratio covenant based on our existing consolidated EBITDA.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Critical Accounting Policies and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condensed consolidated financial statements include certain amounts that are based on management's best estimates and judgments. We base our estimates on historical experience and on various other assumptions, including in some cases future projections, that are believed to be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or conditions. Different assumptions and judgments could change the estimates used in the preparation of the condensed consolidated financial statements, which, in turn, could change the results from those reported. Management evaluates its estimates, assumptions and judgments on an ongoing basis.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 above, we have determined that our most critical accounting estimates are those related to business combinations, inventory valuation, goodwill and other indefinite-lived intangible assets, and those related to our pension benefit obligations. For a detailed discussion of our critical accounting estimates, refer to “</w:t>
      </w:r>
      <w:r>
        <w:rPr>
          <w:rFonts w:ascii="Times New Roman;Times;serif" w:hAnsi="Times New Roman;Times;serif"/>
          <w:i/>
          <w:sz w:val="20"/>
        </w:rPr>
        <w:t>Critical Accounting Estimates</w:t>
      </w:r>
      <w:r>
        <w:rPr>
          <w:rFonts w:ascii="Times New Roman;Times;serif" w:hAnsi="Times New Roman;Times;serif"/>
          <w:sz w:val="20"/>
        </w:rPr>
        <w:t>” in Item 7 of our Annual Report on Form 10-K for the fiscal year ended December 31, 2025. There have been no material changes in our critical accounting policies, judgments and estimates, including assumptions or estimation techniques utilized, as compared to those disclosed in our 2025 Annual Report on Form 10-K.</w:t>
      </w:r>
    </w:p>
    <w:p>
      <w:pPr>
        <w:pStyle w:val="TextBody"/>
        <w:bidi w:val="0"/>
        <w:spacing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spacing w:lineRule="auto" w:line="24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bookmarkStart w:id="12" w:name="mdaend"/>
      <w:bookmarkEnd w:id="12"/>
      <w:r>
        <w:rPr>
          <w:rFonts w:ascii="Times New Roman;Times;serif" w:hAnsi="Times New Roman;Times;serif"/>
          <w:sz w:val="20"/>
          <w:u w:val="single"/>
        </w:rPr>
        <w:t>Recent Accounting Pronouncements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discussion of new financial accounting standards applicable to our Company is incorporated herein by reference to Note 1, “</w:t>
      </w:r>
      <w:r>
        <w:rPr>
          <w:rFonts w:ascii="Times New Roman;Times;serif" w:hAnsi="Times New Roman;Times;serif"/>
          <w:i/>
          <w:sz w:val="20"/>
        </w:rPr>
        <w:t>Basis of Presentation and Accounting Policies</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13" w:name="item3"/>
      <w:bookmarkEnd w:id="13"/>
      <w:r>
        <w:rPr>
          <w:rFonts w:ascii="Times New Roman;Times;serif" w:hAnsi="Times New Roman;Times;serif"/>
          <w:sz w:val="20"/>
        </w:rPr>
        <w:t xml:space="preserve">Item 3.  </w:t>
      </w:r>
      <w:r>
        <w:rPr>
          <w:rFonts w:ascii="Times New Roman;Times;serif" w:hAnsi="Times New Roman;Times;serif"/>
          <w:sz w:val="20"/>
          <w:u w:val="single"/>
        </w:rPr>
        <w:t>Quantitative and Qualitative Disclosures About Market Risk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exposed to market risk primarily from changes in foreign currency exchange rates, changes in interest rates associated with its long-term debt and fluctuations in commodity prices. Under the Company’s risk management strategy, the Company periodically uses foreign currency forward contracts to manage its short-term exposures to fluctuations in operational cash flows resulting from changes in foreign currency exchange rates. To partially mitigate risks associated with the variable interest rates on revolver borrowings under the Company's credit agreement (see Note 10, “</w:t>
      </w:r>
      <w:r>
        <w:rPr>
          <w:rFonts w:ascii="Times New Roman;Times;serif" w:hAnsi="Times New Roman;Times;serif"/>
          <w:i/>
          <w:sz w:val="20"/>
        </w:rPr>
        <w:t>Debt</w:t>
      </w:r>
      <w:r>
        <w:rPr>
          <w:rFonts w:ascii="Times New Roman;Times;serif" w:hAnsi="Times New Roman;Times;serif"/>
          <w:sz w:val="20"/>
        </w:rPr>
        <w:t>”, to the condensed consolidated financial statements herein, and Note 11, “</w:t>
      </w:r>
      <w:r>
        <w:rPr>
          <w:rFonts w:ascii="Times New Roman;Times;serif" w:hAnsi="Times New Roman;Times;serif"/>
          <w:i/>
          <w:sz w:val="20"/>
        </w:rPr>
        <w:t>Debt</w:t>
      </w:r>
      <w:r>
        <w:rPr>
          <w:rFonts w:ascii="Times New Roman;Times;serif" w:hAnsi="Times New Roman;Times;serif"/>
          <w:sz w:val="20"/>
        </w:rPr>
        <w:t>”, to the consolidated financial statements in the Company’s Annual Report on Form 10-K for the fiscal year ended December 31, 2025), the Company maintains two pay-fixed, receive-variable interest rate swap agreements with two multinational financial institutions (see Note 9, “</w:t>
      </w:r>
      <w:r>
        <w:rPr>
          <w:rFonts w:ascii="Times New Roman;Times;serif" w:hAnsi="Times New Roman;Times;serif"/>
          <w:i/>
          <w:sz w:val="20"/>
        </w:rPr>
        <w:t>Derivative Instruments and Hedging Activities</w:t>
      </w:r>
      <w:r>
        <w:rPr>
          <w:rFonts w:ascii="Times New Roman;Times;serif" w:hAnsi="Times New Roman;Times;serif"/>
          <w:sz w:val="20"/>
        </w:rPr>
        <w:t>”, to the condensed consolidated financial statements herein, and Note 13, “</w:t>
      </w:r>
      <w:r>
        <w:rPr>
          <w:rFonts w:ascii="Times New Roman;Times;serif" w:hAnsi="Times New Roman;Times;serif"/>
          <w:i/>
          <w:sz w:val="20"/>
        </w:rPr>
        <w:t>Derivative Instruments and Hedging Activities</w:t>
      </w:r>
      <w:r>
        <w:rPr>
          <w:rFonts w:ascii="Times New Roman;Times;serif" w:hAnsi="Times New Roman;Times;serif"/>
          <w:sz w:val="20"/>
        </w:rPr>
        <w:t>”, to the consolidated financial statements in the Company’s Annual Report on Form 10-K for the fiscal year ended December 31, 2025). The Company’s primary objective for holding derivative financial instruments is to manage foreign currency exchange rate risk and interest rate risk, when deemed appropriate. The Company enters into these contracts in the normal course of business to mitigate risks and not for speculative purposes. The Company utilizes various metals in the production of its products, including copper, zinc, tin, gold, and silver. Fluctuations in the prices of these and other commodities can lead to significantly higher production costs. The Company believes it has adequate primary and secondary sources for each of its key materials. While facing potential volatility in metal prices and anticipating increased material costs, the Company actively monitors these risks. To mitigate any possible negative impacts from these changes, it has implemented and may continue to implement various strategies, including price adjustments and productivity improvements. There have not been any material changes with regard to market risk during the three months ended March 31, 2026. See Part I,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herein, and Part II, Item 7, “</w:t>
      </w:r>
      <w:r>
        <w:rPr>
          <w:rFonts w:ascii="Times New Roman;Times;serif" w:hAnsi="Times New Roman;Times;serif"/>
          <w:i/>
          <w:sz w:val="20"/>
        </w:rPr>
        <w:t>Management</w:t>
      </w:r>
      <w:r>
        <w:rPr>
          <w:rFonts w:ascii="Times New Roman;Times;serif" w:hAnsi="Times New Roman;Times;serif"/>
          <w:sz w:val="20"/>
        </w:rPr>
        <w:t>’</w:t>
      </w:r>
      <w:r>
        <w:rPr>
          <w:rFonts w:ascii="Times New Roman;Times;serif" w:hAnsi="Times New Roman;Times;serif"/>
          <w:i/>
          <w:sz w:val="20"/>
        </w:rPr>
        <w:t>s Discussion and Analysis of Financial Condition and Results of Operations</w:t>
      </w:r>
      <w:r>
        <w:rPr>
          <w:rFonts w:ascii="Times New Roman;Times;serif" w:hAnsi="Times New Roman;Times;serif"/>
          <w:sz w:val="20"/>
        </w:rPr>
        <w:t>” and Part II, Item 7A, "</w:t>
      </w:r>
      <w:r>
        <w:rPr>
          <w:rFonts w:ascii="Times New Roman;Times;serif" w:hAnsi="Times New Roman;Times;serif"/>
          <w:i/>
          <w:sz w:val="20"/>
        </w:rPr>
        <w:t>Quantitative and Qualitative Disclosures About Market Risk</w:t>
      </w:r>
      <w:r>
        <w:rPr>
          <w:rFonts w:ascii="Times New Roman;Times;serif" w:hAnsi="Times New Roman;Times;serif"/>
          <w:sz w:val="20"/>
        </w:rPr>
        <w:t>," in the Company’s Annual Report on Form 10-K for the year ended December 31, 2025 for further discussion of market risks.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bookmarkStart w:id="14" w:name="item4"/>
      <w:bookmarkEnd w:id="14"/>
      <w:r>
        <w:rPr>
          <w:rFonts w:ascii="Times New Roman;Times;serif" w:hAnsi="Times New Roman;Times;serif"/>
          <w:sz w:val="20"/>
        </w:rPr>
        <w:t xml:space="preserve">Item 4.   </w:t>
      </w:r>
      <w:r>
        <w:rPr>
          <w:rFonts w:ascii="Times New Roman;Times;serif" w:hAnsi="Times New Roman;Times;serif"/>
          <w:sz w:val="20"/>
          <w:u w:val="single"/>
        </w:rPr>
        <w:t>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Disclosure controls and procedures</w:t>
      </w:r>
      <w:r>
        <w:rPr>
          <w:rFonts w:ascii="Times New Roman;Times;serif" w:hAnsi="Times New Roman;Times;serif"/>
          <w:sz w:val="20"/>
        </w:rPr>
        <w:t>:  As of the end of the period covered by this report, the Company carried out an evaluation, with the participation of the Company’s management, including the Company’s Chief Executive Officer and Chief Financial Officer, of the effectiveness of the Company’s disclosure controls and procedures pursuant to Securities Exchange Act Rule 13a-15.  Based on that evaluation, the Company’s Chief Executive Officer and Chief Financial Officer concluded that the Company’s disclosure controls and procedures were effective as of the end of the period covered by this report.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Changes in internal controls over financial reporting</w:t>
      </w:r>
      <w:r>
        <w:rPr>
          <w:rFonts w:ascii="Times New Roman;Times;serif" w:hAnsi="Times New Roman;Times;serif"/>
          <w:sz w:val="20"/>
        </w:rPr>
        <w:t>:  There has not been any change in the Company’s internal control over financial reporting that occurred during the Company’s last fiscal quarter to which this report relates that has materially affected, or is reasonably likely to materially affect, the Company’s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II.     Other Information</w:t>
      </w:r>
    </w:p>
    <w:p>
      <w:pPr>
        <w:pStyle w:val="TextBody"/>
        <w:bidi w:val="0"/>
        <w:spacing w:before="0" w:after="0"/>
        <w:ind w:left="0" w:right="0" w:hanging="0"/>
        <w:jc w:val="center"/>
        <w:rPr/>
      </w:pPr>
      <w:r>
        <w:rPr/>
        <w:t> </w:t>
      </w:r>
    </w:p>
    <w:p>
      <w:pPr>
        <w:pStyle w:val="TextBody"/>
        <w:bidi w:val="0"/>
        <w:spacing w:lineRule="auto" w:line="240" w:before="0" w:after="0"/>
        <w:ind w:left="0" w:right="0" w:hanging="0"/>
        <w:jc w:val="both"/>
        <w:rPr>
          <w:rFonts w:ascii="Times New Roman;Times;serif" w:hAnsi="Times New Roman;Times;serif"/>
          <w:sz w:val="20"/>
        </w:rPr>
      </w:pPr>
      <w:bookmarkStart w:id="15" w:name="legal"/>
      <w:bookmarkEnd w:id="15"/>
      <w:r>
        <w:rPr>
          <w:rFonts w:ascii="Times New Roman;Times;serif" w:hAnsi="Times New Roman;Times;serif"/>
          <w:sz w:val="20"/>
        </w:rPr>
        <w:t xml:space="preserve">Item 1.   </w:t>
      </w:r>
      <w:r>
        <w:rPr>
          <w:rFonts w:ascii="Times New Roman;Times;serif" w:hAnsi="Times New Roman;Times;serif"/>
          <w:sz w:val="20"/>
          <w:u w:val="single"/>
        </w:rPr>
        <w:t>Legal Proceedings</w:t>
      </w:r>
    </w:p>
    <w:p>
      <w:pPr>
        <w:pStyle w:val="TextBody"/>
        <w:bidi w:val="0"/>
        <w:spacing w:lineRule="auto" w:line="240"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called for by this Item is incorporated herein by reference to Note 14, "</w:t>
      </w:r>
      <w:r>
        <w:rPr>
          <w:rFonts w:ascii="Times New Roman;Times;serif" w:hAnsi="Times New Roman;Times;serif"/>
          <w:i/>
          <w:sz w:val="20"/>
        </w:rPr>
        <w:t>Commitments and Contingencies</w:t>
      </w:r>
      <w:r>
        <w:rPr>
          <w:rFonts w:ascii="Times New Roman;Times;serif" w:hAnsi="Times New Roman;Times;serif"/>
          <w:sz w:val="20"/>
        </w:rPr>
        <w:t>" of the Company’s Condensed Consolidated Financial Statements, under “Legal Proceedings”, as set forth in Part I, Item 1 of this Quarterly Report on Form 10-Q.</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also involved in various other legal actions incidental to our business. In the Company’s opinion, it has made appropriate and adequate accruals for claims, if any, where necessary; however, the ultimate liability for legal proceedings is uncertain, and if significantly different than the amounts accrued, if any, the ultimate outcome could have a material effect on the financial condition or results of operations of the Company. The Company cannot predict the outcome of the litigation matters or other actions nor when they will be resolved.</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serif" w:hAnsi="Times New Roman;Times;serif"/>
          <w:sz w:val="20"/>
        </w:rPr>
      </w:pPr>
      <w:bookmarkStart w:id="16" w:name="risk"/>
      <w:bookmarkEnd w:id="16"/>
      <w:r>
        <w:rPr>
          <w:rFonts w:ascii="Times New Roman;Times;serif" w:hAnsi="Times New Roman;Times;serif"/>
          <w:sz w:val="20"/>
        </w:rPr>
        <w:t xml:space="preserve">Item 1A. </w:t>
      </w:r>
      <w:r>
        <w:rPr>
          <w:rFonts w:ascii="Times New Roman;Times;serif" w:hAnsi="Times New Roman;Times;serif"/>
          <w:sz w:val="20"/>
          <w:u w:val="single"/>
        </w:rPr>
        <w:t>Risk Factors</w:t>
      </w:r>
    </w:p>
    <w:p>
      <w:pPr>
        <w:pStyle w:val="TextBody"/>
        <w:bidi w:val="0"/>
        <w:spacing w:lineRule="auto" w:line="240"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risk factors are disclosed in Part I, Item 1A, "</w:t>
      </w:r>
      <w:r>
        <w:rPr>
          <w:rFonts w:ascii="Times New Roman;Times;serif" w:hAnsi="Times New Roman;Times;serif"/>
          <w:i/>
          <w:sz w:val="20"/>
        </w:rPr>
        <w:t>Risk Factors,</w:t>
      </w:r>
      <w:r>
        <w:rPr>
          <w:rFonts w:ascii="Times New Roman;Times;serif" w:hAnsi="Times New Roman;Times;serif"/>
          <w:sz w:val="20"/>
        </w:rPr>
        <w:t>" of our Annual Report on Form 10-K for the fiscal year ended December 31, 2025 and should be carefully considered before making an investment decision. These are the risk factors that we consider to be the most significant risk factors, but they are not the only risk factors that should be considered in making an investment decision. There have been no material changes to the risk factors disclosed in our Annual Report on Form 10-K for the fiscal year ended December 31, 2025. This Quarterly Report on Form 10-Q also contains Forward-Looking Statements that involve risks and uncertainties. See the "</w:t>
      </w:r>
      <w:r>
        <w:rPr>
          <w:rFonts w:ascii="Times New Roman;Times;serif" w:hAnsi="Times New Roman;Times;serif"/>
          <w:i/>
          <w:sz w:val="20"/>
        </w:rPr>
        <w:t>Cautionary Notice Regarding Forward-Looking Information,</w:t>
      </w:r>
      <w:r>
        <w:rPr>
          <w:rFonts w:ascii="Times New Roman;Times;serif" w:hAnsi="Times New Roman;Times;serif"/>
          <w:sz w:val="20"/>
        </w:rPr>
        <w:t>" above. </w:t>
      </w:r>
    </w:p>
    <w:p>
      <w:pPr>
        <w:pStyle w:val="TextBody"/>
        <w:bidi w:val="0"/>
        <w:spacing w:before="0" w:after="0"/>
        <w:ind w:left="0" w:right="0" w:hanging="0"/>
        <w:jc w:val="both"/>
        <w:rPr/>
      </w:pPr>
      <w:r>
        <w:rPr/>
        <w:t> </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spacing w:lineRule="auto" w:line="240"/>
        <w:jc w:val="left"/>
        <w:rPr/>
      </w:pPr>
      <w:hyperlink w:anchor="toc">
        <w:r>
          <w:rPr>
            <w:rStyle w:val="InternetLink"/>
            <w:rFonts w:ascii="Times New Roman" w:hAnsi="Times New Roman"/>
            <w:sz w:val="20"/>
          </w:rPr>
          <w:t>Table of Contents</w:t>
        </w:r>
      </w:hyperlink>
      <w:r>
        <w:rPr/>
        <w:t xml:space="preserve"> </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serif" w:hAnsi="Times New Roman;Times;serif"/>
          <w:sz w:val="20"/>
        </w:rPr>
      </w:pPr>
      <w:bookmarkStart w:id="17" w:name="Item_2._Sale_of_Securities"/>
      <w:bookmarkEnd w:id="17"/>
      <w:r>
        <w:rPr>
          <w:rFonts w:ascii="Times New Roman;Times;serif" w:hAnsi="Times New Roman;Times;serif"/>
          <w:sz w:val="20"/>
        </w:rPr>
        <w:t xml:space="preserve">Item 2.  </w:t>
      </w:r>
      <w:r>
        <w:rPr>
          <w:rFonts w:ascii="Times New Roman;Times;serif" w:hAnsi="Times New Roman;Times;serif"/>
          <w:sz w:val="20"/>
          <w:u w:val="single"/>
        </w:rPr>
        <w:t>Unregistered Sales of Equity Securities and Use of Proceeds</w:t>
      </w:r>
    </w:p>
    <w:p>
      <w:pPr>
        <w:pStyle w:val="TextBody"/>
        <w:bidi w:val="0"/>
        <w:spacing w:lineRule="auto" w:line="240"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21, 2024, the Company’s Board of Directors authorized and the Company publicly announced, a $25.0 million share repurchase program (the “Repurchase Program”). The Repurchase Program authorizes the repurchase of up to $25.0 million of shares of outstanding Class A Common Stock and Class B Common Stock. The aggregate $25.0 million authorized for repurchases under the Repurchase Program has been suballocated for purchases of Class A shares and Class B shares in portions of $4.0 million and $21.0 million, respectively, prorated to take into account the number of outstanding shares of each respective class at the time of such authorization. Shares of  Class A Common Stock and Class B Common Stock may be repurchased pursuant to the Repurchase Program in open market, privately negotiated or block transactions or otherwise from time to time, depending upon market conditions and other factors, and in accordance with applicable law and regulations. The Repurchase Program has no expiration date. The Repurchase Program does not obligate the Company to repurchase any dollar amount or number of shares, and the Repurchase Program may be suspended or terminated at any time. As of March 31, 2026 the program-to-date repurchases amounted to 26,326 Class A shares at an aggregate purchase price of $1.9 million and 235,821 Class B shares at an aggregate purchase price of $14.1 million. There were no repurchases of our equity securities during the three months ended March 31, 2026 under the Repurchase Program or otherwise. Under the existing authorization for the Repurchase Program described above, of the aggregate amount initially authorized for repurchases, approximately $2.1 million of Class A Common Stock and $6.9 million of Class B Common Stock remain that may yet be purchased under this program as of March 31, 2026.</w:t>
      </w:r>
    </w:p>
    <w:p>
      <w:pPr>
        <w:pStyle w:val="TextBody"/>
        <w:bidi w:val="0"/>
        <w:spacing w:lineRule="auto" w:line="240"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bookmarkStart w:id="18" w:name="Item_3"/>
      <w:bookmarkEnd w:id="18"/>
      <w:r>
        <w:rPr>
          <w:rFonts w:ascii="Times New Roman;Times;serif" w:hAnsi="Times New Roman;Times;serif"/>
          <w:sz w:val="20"/>
        </w:rPr>
        <w:t xml:space="preserve">Item 3.  </w:t>
      </w:r>
      <w:r>
        <w:rPr>
          <w:rFonts w:ascii="Times New Roman;Times;serif" w:hAnsi="Times New Roman;Times;serif"/>
          <w:sz w:val="20"/>
          <w:u w:val="single"/>
        </w:rPr>
        <w:t>Defaults Upon Senior Securities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lineRule="auto" w:line="240" w:before="0" w:after="0"/>
        <w:ind w:left="0" w:right="0" w:hanging="0"/>
        <w:jc w:val="both"/>
        <w:rPr>
          <w:rFonts w:ascii="Times New Roman;Times;serif" w:hAnsi="Times New Roman;Times;serif"/>
          <w:sz w:val="20"/>
        </w:rPr>
      </w:pPr>
      <w:bookmarkStart w:id="19" w:name="Item_4"/>
      <w:bookmarkEnd w:id="19"/>
      <w:r>
        <w:rPr>
          <w:rFonts w:ascii="Times New Roman;Times;serif" w:hAnsi="Times New Roman;Times;serif"/>
          <w:sz w:val="20"/>
        </w:rPr>
        <w:t xml:space="preserve">Item 4.  </w:t>
      </w:r>
      <w:r>
        <w:rPr>
          <w:rFonts w:ascii="Times New Roman;Times;serif" w:hAnsi="Times New Roman;Times;serif"/>
          <w:sz w:val="20"/>
          <w:u w:val="single"/>
        </w:rPr>
        <w:t>Mine Safety Disclosures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serif" w:hAnsi="Times New Roman;Times;serif"/>
          <w:sz w:val="20"/>
        </w:rPr>
      </w:pPr>
      <w:bookmarkStart w:id="20" w:name="Item_5"/>
      <w:bookmarkEnd w:id="20"/>
      <w:r>
        <w:rPr>
          <w:rFonts w:ascii="Times New Roman;Times;serif" w:hAnsi="Times New Roman;Times;serif"/>
          <w:sz w:val="20"/>
        </w:rPr>
        <w:t xml:space="preserve">Item 5.  </w:t>
      </w:r>
      <w:r>
        <w:rPr>
          <w:rFonts w:ascii="Times New Roman;Times;serif" w:hAnsi="Times New Roman;Times;serif"/>
          <w:sz w:val="20"/>
          <w:u w:val="single"/>
        </w:rPr>
        <w:t>Other Information</w:t>
      </w:r>
    </w:p>
    <w:p>
      <w:pPr>
        <w:pStyle w:val="TextBody"/>
        <w:bidi w:val="0"/>
        <w:spacing w:before="0" w:after="283"/>
        <w:jc w:val="left"/>
        <w:rPr/>
      </w:pPr>
      <w:r>
        <w:rPr/>
        <w:t xml:space="preserve">  </w:t>
      </w:r>
    </w:p>
    <w:p>
      <w:pPr>
        <w:pStyle w:val="TextBody"/>
        <w:bidi w:val="0"/>
        <w:spacing w:lineRule="auto" w:line="240" w:before="0" w:after="0"/>
        <w:ind w:left="0" w:right="0" w:hanging="0"/>
        <w:jc w:val="both"/>
        <w:rPr/>
      </w:pPr>
      <w:r>
        <w:rPr>
          <w:rFonts w:ascii="Times New Roman;Times;serif" w:hAnsi="Times New Roman;Times;serif"/>
          <w:i/>
          <w:sz w:val="20"/>
          <w:u w:val="single"/>
        </w:rPr>
        <w:t>Rule</w:t>
      </w:r>
      <w:r>
        <w:rPr>
          <w:rFonts w:ascii="Times New Roman;Times;serif" w:hAnsi="Times New Roman;Times;serif"/>
          <w:sz w:val="20"/>
          <w:u w:val="single"/>
        </w:rPr>
        <w:t> </w:t>
      </w:r>
      <w:r>
        <w:rPr>
          <w:rStyle w:val="Emphasis"/>
          <w:rFonts w:ascii="Times New Roman;Times;serif" w:hAnsi="Times New Roman;Times;serif"/>
          <w:i/>
          <w:sz w:val="20"/>
          <w:u w:val="single"/>
        </w:rPr>
        <w:t>10b5</w:t>
      </w:r>
      <w:r>
        <w:rPr>
          <w:rFonts w:ascii="Times New Roman;Times;serif" w:hAnsi="Times New Roman;Times;serif"/>
          <w:i/>
          <w:sz w:val="20"/>
          <w:u w:val="single"/>
        </w:rPr>
        <w:t>-</w:t>
      </w:r>
      <w:r>
        <w:rPr>
          <w:rStyle w:val="Emphasis"/>
          <w:rFonts w:ascii="Times New Roman;Times;serif" w:hAnsi="Times New Roman;Times;serif"/>
          <w:i/>
          <w:sz w:val="20"/>
          <w:u w:val="single"/>
        </w:rPr>
        <w:t>1</w:t>
      </w:r>
      <w:r>
        <w:rPr>
          <w:rFonts w:ascii="Times New Roman;Times;serif" w:hAnsi="Times New Roman;Times;serif"/>
          <w:sz w:val="20"/>
          <w:u w:val="single"/>
        </w:rPr>
        <w:t> </w:t>
      </w:r>
      <w:r>
        <w:rPr>
          <w:rFonts w:ascii="Times New Roman;Times;serif" w:hAnsi="Times New Roman;Times;serif"/>
          <w:i/>
          <w:sz w:val="20"/>
          <w:u w:val="single"/>
        </w:rPr>
        <w:t>Trading Arrangements and Non-Rule</w:t>
      </w:r>
      <w:r>
        <w:rPr>
          <w:rFonts w:ascii="Times New Roman;Times;serif" w:hAnsi="Times New Roman;Times;serif"/>
          <w:sz w:val="20"/>
          <w:u w:val="single"/>
        </w:rPr>
        <w:t> </w:t>
      </w:r>
      <w:r>
        <w:rPr>
          <w:rStyle w:val="Emphasis"/>
          <w:rFonts w:ascii="Times New Roman;Times;serif" w:hAnsi="Times New Roman;Times;serif"/>
          <w:i/>
          <w:sz w:val="20"/>
          <w:u w:val="single"/>
        </w:rPr>
        <w:t>10b5</w:t>
      </w:r>
      <w:r>
        <w:rPr>
          <w:rFonts w:ascii="Times New Roman;Times;serif" w:hAnsi="Times New Roman;Times;serif"/>
          <w:i/>
          <w:sz w:val="20"/>
          <w:u w:val="single"/>
        </w:rPr>
        <w:t>-</w:t>
      </w:r>
      <w:r>
        <w:rPr>
          <w:rStyle w:val="Emphasis"/>
          <w:rFonts w:ascii="Times New Roman;Times;serif" w:hAnsi="Times New Roman;Times;serif"/>
          <w:i/>
          <w:sz w:val="20"/>
          <w:u w:val="single"/>
        </w:rPr>
        <w:t>1</w:t>
      </w:r>
      <w:r>
        <w:rPr>
          <w:rFonts w:ascii="Times New Roman;Times;serif" w:hAnsi="Times New Roman;Times;serif"/>
          <w:sz w:val="20"/>
          <w:u w:val="single"/>
        </w:rPr>
        <w:t> </w:t>
      </w:r>
      <w:r>
        <w:rPr>
          <w:rFonts w:ascii="Times New Roman;Times;serif" w:hAnsi="Times New Roman;Times;serif"/>
          <w:i/>
          <w:sz w:val="20"/>
          <w:u w:val="single"/>
        </w:rPr>
        <w:t>Trading Arrangements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pPr>
      <w:r>
        <w:rPr>
          <w:rFonts w:ascii="Times New Roman;Times;serif" w:hAnsi="Times New Roman;Times;serif"/>
          <w:sz w:val="20"/>
        </w:rPr>
        <w:t>During the fiscal quarter ended </w:t>
      </w:r>
      <w:r>
        <w:rPr>
          <w:rStyle w:val="Emphasis"/>
          <w:rFonts w:ascii="Times New Roman;Times;serif" w:hAnsi="Times New Roman;Times;serif"/>
          <w:sz w:val="20"/>
        </w:rPr>
        <w:t xml:space="preserve"> March 31, 2026</w:t>
      </w:r>
      <w:r>
        <w:rPr>
          <w:rFonts w:ascii="Times New Roman;Times;serif" w:hAnsi="Times New Roman;Times;serif"/>
          <w:sz w:val="20"/>
        </w:rPr>
        <w:t>, none of our officers or directors, as those terms are defined in Rule </w:t>
      </w:r>
      <w:r>
        <w:rPr>
          <w:rStyle w:val="Emphasis"/>
          <w:rFonts w:ascii="Times New Roman;Times;serif" w:hAnsi="Times New Roman;Times;serif"/>
          <w:sz w:val="20"/>
        </w:rPr>
        <w:t>16a</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(f), adopted or terminated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trading arrangement” or a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trading arrangement,” as those terms are defined in Item </w:t>
      </w:r>
      <w:r>
        <w:rPr>
          <w:rStyle w:val="Emphasis"/>
          <w:rFonts w:ascii="Times New Roman;Times;serif" w:hAnsi="Times New Roman;Times;serif"/>
          <w:sz w:val="20"/>
        </w:rPr>
        <w:t>408</w:t>
      </w:r>
      <w:r>
        <w:rPr>
          <w:rFonts w:ascii="Times New Roman;Times;serif" w:hAnsi="Times New Roman;Times;serif"/>
          <w:sz w:val="20"/>
        </w:rPr>
        <w:t> of Regulation S-K.</w:t>
      </w:r>
    </w:p>
    <w:p>
      <w:pPr>
        <w:pStyle w:val="TextBody"/>
        <w:bidi w:val="0"/>
        <w:spacing w:lineRule="auto" w:line="240"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28" w:type="dxa"/>
          <w:right w:w="0" w:type="dxa"/>
        </w:tblCellMar>
      </w:tblPr>
      <w:tblGrid>
        <w:gridCol w:w="828"/>
        <w:gridCol w:w="9377"/>
      </w:tblGrid>
      <w:tr>
        <w:trPr/>
        <w:tc>
          <w:tcPr>
            <w:tcW w:w="828"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bookmarkStart w:id="21" w:name="exhibits"/>
            <w:bookmarkEnd w:id="21"/>
            <w:r>
              <w:rPr>
                <w:rFonts w:ascii="Times New Roman;Times;serif" w:hAnsi="Times New Roman;Times;serif"/>
                <w:sz w:val="20"/>
              </w:rPr>
              <w:t>Item 6.  Exhibits</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Exhibits:</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283"/>
              <w:jc w:val="center"/>
              <w:rPr/>
            </w:pPr>
            <w:r>
              <w:rPr/>
              <w:t>3.1</w:t>
            </w:r>
          </w:p>
        </w:tc>
        <w:tc>
          <w:tcPr>
            <w:tcW w:w="9377" w:type="dxa"/>
            <w:tcBorders/>
            <w:tcMar>
              <w:bottom w:w="0" w:type="dxa"/>
            </w:tcMar>
            <w:vAlign w:val="center"/>
          </w:tcPr>
          <w:p>
            <w:pPr>
              <w:pStyle w:val="TableContents"/>
              <w:bidi w:val="0"/>
              <w:spacing w:before="0" w:after="283"/>
              <w:jc w:val="left"/>
              <w:rPr/>
            </w:pPr>
            <w:r>
              <w:rPr/>
              <w:t>(i)</w:t>
            </w:r>
            <w:hyperlink r:id="rId2">
              <w:r>
                <w:rPr>
                  <w:rStyle w:val="InternetLink"/>
                </w:rPr>
                <w:t> Restated Certificate of Incorporation, as amended, is incorporated by reference to Exhibit 3.1 of the Company’s  Quarterly Report on Form 10-Q for the quarterly period ended June 30, 1998 filed on August 11, 1998</w:t>
              </w:r>
            </w:hyperlink>
            <w:r>
              <w:rPr/>
              <w:t> and (ii) </w:t>
            </w:r>
            <w:hyperlink r:id="rId3">
              <w:r>
                <w:rPr>
                  <w:rStyle w:val="InternetLink"/>
                </w:rPr>
                <w:t>the Certificate of Amendment to the Company’s Restated Certificate of Incorporation, is incorporated by reference to Exhibit 3.2 of the Company’s Annual Report on Form 10-K for the fiscal year ended December 31, 1999 filed on March 29, 2000.</w:t>
              </w:r>
            </w:hyperlink>
          </w:p>
        </w:tc>
      </w:tr>
      <w:tr>
        <w:trPr/>
        <w:tc>
          <w:tcPr>
            <w:tcW w:w="828"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283"/>
              <w:jc w:val="center"/>
              <w:rPr/>
            </w:pPr>
            <w:r>
              <w:rPr/>
              <w:t>3.2</w:t>
            </w:r>
          </w:p>
        </w:tc>
        <w:tc>
          <w:tcPr>
            <w:tcW w:w="9377" w:type="dxa"/>
            <w:tcBorders/>
            <w:tcMar>
              <w:bottom w:w="0" w:type="dxa"/>
            </w:tcMar>
            <w:vAlign w:val="center"/>
          </w:tcPr>
          <w:p>
            <w:pPr>
              <w:pStyle w:val="TableContents"/>
              <w:bidi w:val="0"/>
              <w:spacing w:before="0" w:after="283"/>
              <w:jc w:val="left"/>
              <w:rPr/>
            </w:pPr>
            <w:hyperlink r:id="rId4">
              <w:r>
                <w:rPr>
                  <w:rStyle w:val="InternetLink"/>
                  <w:u w:val="single"/>
                </w:rPr>
                <w:t>Amended and Restated By-Laws of Bel Fuse Inc. (adopted October 25, 2023), are incorporated by reference to Exhibit 3.1 to the Company’s Current Report on Form 8-K filed on October 25, 2023.</w:t>
              </w:r>
            </w:hyperlink>
          </w:p>
        </w:tc>
      </w:tr>
      <w:tr>
        <w:trPr/>
        <w:tc>
          <w:tcPr>
            <w:tcW w:w="828"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283"/>
              <w:jc w:val="center"/>
              <w:rPr/>
            </w:pPr>
            <w:r>
              <w:rPr/>
              <w:t>10.1</w:t>
            </w:r>
          </w:p>
        </w:tc>
        <w:tc>
          <w:tcPr>
            <w:tcW w:w="9377" w:type="dxa"/>
            <w:tcBorders/>
            <w:tcMar>
              <w:bottom w:w="0" w:type="dxa"/>
            </w:tcMar>
            <w:vAlign w:val="center"/>
          </w:tcPr>
          <w:p>
            <w:pPr>
              <w:pStyle w:val="TableContents"/>
              <w:bidi w:val="0"/>
              <w:spacing w:before="0" w:after="283"/>
              <w:jc w:val="left"/>
              <w:rPr/>
            </w:pPr>
            <w:hyperlink r:id="rId5">
              <w:r>
                <w:rPr>
                  <w:rStyle w:val="InternetLink"/>
                </w:rPr>
                <w:t>Employment Agreement, dated January 12, 2026, between Bel Fuse Inc. and Thomas Smelker, is incorporated by reference to Exhibit 10.1 to the Company’s Current Report on Form 8-K filed with the SEC on January 15, 2026.</w:t>
              </w:r>
            </w:hyperlink>
          </w:p>
        </w:tc>
      </w:tr>
      <w:tr>
        <w:trPr/>
        <w:tc>
          <w:tcPr>
            <w:tcW w:w="828"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283"/>
              <w:jc w:val="center"/>
              <w:rPr/>
            </w:pPr>
            <w:r>
              <w:rPr/>
              <w:t>10.2</w:t>
            </w:r>
          </w:p>
        </w:tc>
        <w:tc>
          <w:tcPr>
            <w:tcW w:w="9377" w:type="dxa"/>
            <w:tcBorders/>
            <w:tcMar>
              <w:bottom w:w="0" w:type="dxa"/>
            </w:tcMar>
            <w:vAlign w:val="center"/>
          </w:tcPr>
          <w:p>
            <w:pPr>
              <w:pStyle w:val="TableContents"/>
              <w:bidi w:val="0"/>
              <w:spacing w:before="0" w:after="283"/>
              <w:jc w:val="left"/>
              <w:rPr/>
            </w:pPr>
            <w:hyperlink r:id="rId6">
              <w:r>
                <w:rPr>
                  <w:rStyle w:val="InternetLink"/>
                </w:rPr>
                <w:t>Employment Agreement, dated March 31, 2026, between Bel Fuse Inc. and Stephen Dawson, is incorporated by reference to Exhibit 10.1 to the Company’s Current Report on Form 8-K filed with the SEC on April 6, 2026.</w:t>
              </w:r>
            </w:hyperlink>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9377" w:type="dxa"/>
            <w:tcBorders/>
            <w:tcMar>
              <w:bottom w:w="0" w:type="dxa"/>
            </w:tcMar>
            <w:vAlign w:val="center"/>
          </w:tcPr>
          <w:p>
            <w:pPr>
              <w:pStyle w:val="TableContents"/>
              <w:bidi w:val="0"/>
              <w:spacing w:before="0" w:after="0"/>
              <w:ind w:left="0" w:right="0" w:hanging="0"/>
              <w:jc w:val="both"/>
              <w:rPr/>
            </w:pPr>
            <w:hyperlink w:anchor="ex_906218.htm">
              <w:r>
                <w:rPr>
                  <w:rStyle w:val="InternetLink"/>
                  <w:rFonts w:ascii="Times New Roman;Times;serif" w:hAnsi="Times New Roman;Times;serif"/>
                  <w:sz w:val="20"/>
                </w:rPr>
                <w:t>Certification of Principal Executive Officer pursuant to Section 302 of the Sarbanes-Oxley Act of 2002.</w:t>
              </w:r>
            </w:hyperlink>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9377" w:type="dxa"/>
            <w:tcBorders/>
            <w:tcMar>
              <w:bottom w:w="0" w:type="dxa"/>
            </w:tcMar>
            <w:vAlign w:val="center"/>
          </w:tcPr>
          <w:p>
            <w:pPr>
              <w:pStyle w:val="TableContents"/>
              <w:bidi w:val="0"/>
              <w:spacing w:before="0" w:after="0"/>
              <w:ind w:left="0" w:right="0" w:hanging="0"/>
              <w:jc w:val="both"/>
              <w:rPr/>
            </w:pPr>
            <w:hyperlink w:anchor="ex_906219.htm">
              <w:r>
                <w:rPr>
                  <w:rStyle w:val="InternetLink"/>
                  <w:rFonts w:ascii="Times New Roman;Times;serif" w:hAnsi="Times New Roman;Times;serif"/>
                  <w:sz w:val="20"/>
                </w:rPr>
                <w:t>Certification of Principal Financial Officer pursuant to Section 302 of the Sarbanes-Oxley Act of 2002.</w:t>
              </w:r>
            </w:hyperlink>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32.1**</w:t>
            </w:r>
          </w:p>
        </w:tc>
        <w:tc>
          <w:tcPr>
            <w:tcW w:w="9377" w:type="dxa"/>
            <w:tcBorders/>
            <w:tcMar>
              <w:bottom w:w="0" w:type="dxa"/>
            </w:tcMar>
            <w:vAlign w:val="center"/>
          </w:tcPr>
          <w:p>
            <w:pPr>
              <w:pStyle w:val="TableContents"/>
              <w:bidi w:val="0"/>
              <w:spacing w:before="0" w:after="0"/>
              <w:ind w:left="0" w:right="0" w:hanging="0"/>
              <w:jc w:val="both"/>
              <w:rPr/>
            </w:pPr>
            <w:hyperlink w:anchor="ex_906220.htm">
              <w:r>
                <w:rPr>
                  <w:rStyle w:val="InternetLink"/>
                  <w:rFonts w:ascii="Times New Roman;Times;serif" w:hAnsi="Times New Roman;Times;serif"/>
                  <w:sz w:val="20"/>
                </w:rPr>
                <w:t>Certification of Principal Executive Officer pursuant to Section 906 of the Sarbanes-Oxley Act of 2002.</w:t>
              </w:r>
            </w:hyperlink>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32.2**</w:t>
            </w:r>
          </w:p>
        </w:tc>
        <w:tc>
          <w:tcPr>
            <w:tcW w:w="9377" w:type="dxa"/>
            <w:tcBorders/>
            <w:tcMar>
              <w:bottom w:w="0" w:type="dxa"/>
            </w:tcMar>
            <w:vAlign w:val="center"/>
          </w:tcPr>
          <w:p>
            <w:pPr>
              <w:pStyle w:val="TableContents"/>
              <w:bidi w:val="0"/>
              <w:spacing w:before="0" w:after="0"/>
              <w:ind w:left="0" w:right="0" w:hanging="0"/>
              <w:jc w:val="both"/>
              <w:rPr/>
            </w:pPr>
            <w:hyperlink w:anchor="ex_906221.htm">
              <w:r>
                <w:rPr>
                  <w:rStyle w:val="InternetLink"/>
                  <w:rFonts w:ascii="Times New Roman;Times;serif" w:hAnsi="Times New Roman;Times;serif"/>
                  <w:sz w:val="20"/>
                </w:rPr>
                <w:t>Certification of Principal Financial Officer pursuant to Section 906 of the Sarbanes-Oxley Act of 2002.</w:t>
              </w:r>
            </w:hyperlink>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28"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283"/>
              <w:jc w:val="center"/>
              <w:rPr/>
            </w:pPr>
            <w:r>
              <w:rPr/>
              <w:t>104*</w:t>
            </w:r>
          </w:p>
        </w:tc>
        <w:tc>
          <w:tcPr>
            <w:tcW w:w="9377" w:type="dxa"/>
            <w:tcBorders/>
            <w:tcMar>
              <w:bottom w:w="0" w:type="dxa"/>
            </w:tcMar>
            <w:vAlign w:val="center"/>
          </w:tcPr>
          <w:p>
            <w:pPr>
              <w:pStyle w:val="TableContents"/>
              <w:bidi w:val="0"/>
              <w:spacing w:before="0" w:after="283"/>
              <w:jc w:val="both"/>
              <w:rPr/>
            </w:pPr>
            <w:r>
              <w:rPr/>
              <w:t>Cover Page Interactive Data File (formatted as Inline XBRL and contained in Exhibits 101)</w:t>
            </w:r>
          </w:p>
        </w:tc>
      </w:tr>
    </w:tbl>
    <w:p>
      <w:pPr>
        <w:pStyle w:val="TextBody"/>
        <w:bidi w:val="0"/>
        <w:spacing w:before="0" w:after="0"/>
        <w:ind w:left="0" w:right="0" w:hanging="0"/>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540" w:right="0" w:hanging="0"/>
        <w:jc w:val="left"/>
        <w:rPr>
          <w:caps w:val="false"/>
          <w:smallCaps w:val="false"/>
        </w:rPr>
      </w:pPr>
      <w:r>
        <w:rPr>
          <w:caps w:val="false"/>
          <w:smallCaps w:val="false"/>
        </w:rPr>
        <w:t xml:space="preserve">† </w:t>
      </w:r>
      <w:r>
        <w:rPr>
          <w:rFonts w:ascii="Times New Roman" w:hAnsi="Times New Roman"/>
          <w:caps w:val="false"/>
          <w:smallCaps w:val="false"/>
          <w:sz w:val="20"/>
        </w:rPr>
        <w:t>Management contract or compensatory plan or arrangement.</w:t>
      </w:r>
    </w:p>
    <w:p>
      <w:pPr>
        <w:pStyle w:val="TextBody"/>
        <w:bidi w:val="0"/>
        <w:spacing w:before="0" w:after="0"/>
        <w:ind w:left="54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bookmarkStart w:id="22" w:name="signatures"/>
      <w:bookmarkEnd w:id="22"/>
      <w:r>
        <w:rPr>
          <w:rFonts w:ascii="Times New Roman;Times;serif" w:hAnsi="Times New Roman;Times;serif"/>
          <w:sz w:val="20"/>
          <w:u w:val="single"/>
        </w:rPr>
        <w:t>SIGNATURES</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tbl>
      <w:tblPr>
        <w:tblW w:w="7065" w:type="dxa"/>
        <w:jc w:val="left"/>
        <w:tblInd w:w="0" w:type="dxa"/>
        <w:tblLayout w:type="fixed"/>
        <w:tblCellMar>
          <w:top w:w="0" w:type="dxa"/>
          <w:left w:w="0" w:type="dxa"/>
          <w:bottom w:w="0" w:type="dxa"/>
          <w:right w:w="0" w:type="dxa"/>
        </w:tblCellMar>
      </w:tblPr>
      <w:tblGrid>
        <w:gridCol w:w="1550"/>
        <w:gridCol w:w="320"/>
        <w:gridCol w:w="5195"/>
      </w:tblGrid>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FUSE INC.</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ind w:left="0" w:right="0" w:hanging="0"/>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5, 2026</w:t>
            </w:r>
          </w:p>
        </w:tc>
        <w:tc>
          <w:tcPr>
            <w:tcW w:w="3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5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Farouq Tuweiq</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Farouq Tuweiq</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0"/>
              <w:ind w:left="0" w:right="0" w:hanging="0"/>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5, 2026</w:t>
            </w:r>
          </w:p>
        </w:tc>
        <w:tc>
          <w:tcPr>
            <w:tcW w:w="3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5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Lynn Hutkin</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Lynn Hutkin</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35 </w:t>
      </w:r>
    </w:p>
    <w:p>
      <w:pPr>
        <w:pStyle w:val="TextBody"/>
        <w:bidi w:val="0"/>
        <w:spacing w:before="0" w:after="0"/>
        <w:ind w:left="0" w:right="0" w:hanging="0"/>
        <w:jc w:val="right"/>
        <w:rPr>
          <w:rFonts w:ascii="Times New Roman" w:hAnsi="Times New Roman"/>
          <w:sz w:val="20"/>
        </w:rPr>
      </w:pPr>
      <w:bookmarkStart w:id="23" w:name="ex_906218.htm"/>
      <w:bookmarkStart w:id="24" w:name="ksex_906218"/>
      <w:bookmarkEnd w:id="23"/>
      <w:bookmarkEnd w:id="24"/>
      <w:r>
        <w:rPr>
          <w:rFonts w:ascii="Times New Roman" w:hAnsi="Times New Roman"/>
          <w:sz w:val="20"/>
        </w:rPr>
        <w:t>Exhibit 31.1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CERTIFICATION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 Farouq Tuweiq, certify that:</w:t>
      </w:r>
    </w:p>
    <w:p>
      <w:pPr>
        <w:pStyle w:val="TextBody"/>
        <w:bidi w:val="0"/>
        <w:spacing w:before="0" w:after="0"/>
        <w:ind w:left="0" w:right="0" w:hanging="0"/>
        <w:jc w:val="left"/>
        <w:rPr/>
      </w:pPr>
      <w:r>
        <w:rPr/>
        <w:t> </w:t>
      </w:r>
    </w:p>
    <w:tbl>
      <w:tblPr>
        <w:tblW w:w="5650" w:type="dxa"/>
        <w:jc w:val="left"/>
        <w:tblInd w:w="0" w:type="dxa"/>
        <w:tblLayout w:type="fixed"/>
        <w:tblCellMar>
          <w:top w:w="0" w:type="dxa"/>
          <w:left w:w="0" w:type="dxa"/>
          <w:bottom w:w="0" w:type="dxa"/>
          <w:right w:w="0" w:type="dxa"/>
        </w:tblCellMar>
      </w:tblPr>
      <w:tblGrid>
        <w:gridCol w:w="170"/>
        <w:gridCol w:w="5480"/>
      </w:tblGrid>
      <w:tr>
        <w:trPr/>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54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 have reviewed this quarterly report on Form 10-Q of Bel Fuse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100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100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1006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 –15(e) and 15d –15(e)) and internal control over financial reporting (as defined in Exchange Act Rules 13a –15(f) and 15d –15(f))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100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615" w:type="dxa"/>
        <w:jc w:val="left"/>
        <w:tblInd w:w="0" w:type="dxa"/>
        <w:tblLayout w:type="fixed"/>
        <w:tblCellMar>
          <w:top w:w="0" w:type="dxa"/>
          <w:left w:w="0" w:type="dxa"/>
          <w:bottom w:w="0" w:type="dxa"/>
          <w:right w:w="0" w:type="dxa"/>
        </w:tblCellMar>
      </w:tblPr>
      <w:tblGrid>
        <w:gridCol w:w="1535"/>
        <w:gridCol w:w="3080"/>
      </w:tblGrid>
      <w:tr>
        <w:trPr/>
        <w:tc>
          <w:tcPr>
            <w:tcW w:w="15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May 5, 2026</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Farouq Tuweiq</w:t>
            </w:r>
          </w:p>
        </w:tc>
      </w:tr>
      <w:tr>
        <w:trPr/>
        <w:tc>
          <w:tcPr>
            <w:tcW w:w="1535"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Farouq Tuweiq</w:t>
            </w:r>
          </w:p>
        </w:tc>
      </w:tr>
      <w:tr>
        <w:trPr/>
        <w:tc>
          <w:tcPr>
            <w:tcW w:w="1535"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sz w:val="20"/>
        </w:rPr>
      </w:pPr>
      <w:bookmarkStart w:id="25" w:name="ex_906219.htm"/>
      <w:bookmarkStart w:id="26" w:name="ksex_906219"/>
      <w:bookmarkEnd w:id="25"/>
      <w:bookmarkEnd w:id="26"/>
      <w:r>
        <w:rPr>
          <w:rFonts w:ascii="Times New Roman" w:hAnsi="Times New Roman"/>
          <w:sz w:val="20"/>
        </w:rPr>
        <w:t>Exhibit 31.2</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CERTIFICATION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 Lynn Hutkin, certify that:</w:t>
      </w:r>
    </w:p>
    <w:p>
      <w:pPr>
        <w:pStyle w:val="TextBody"/>
        <w:bidi w:val="0"/>
        <w:spacing w:before="0" w:after="0"/>
        <w:ind w:left="0" w:right="0" w:hanging="0"/>
        <w:jc w:val="left"/>
        <w:rPr/>
      </w:pPr>
      <w:r>
        <w:rPr/>
        <w:t> </w:t>
      </w:r>
    </w:p>
    <w:tbl>
      <w:tblPr>
        <w:tblW w:w="5650" w:type="dxa"/>
        <w:jc w:val="left"/>
        <w:tblInd w:w="0" w:type="dxa"/>
        <w:tblLayout w:type="fixed"/>
        <w:tblCellMar>
          <w:top w:w="0" w:type="dxa"/>
          <w:left w:w="0" w:type="dxa"/>
          <w:bottom w:w="0" w:type="dxa"/>
          <w:right w:w="0" w:type="dxa"/>
        </w:tblCellMar>
      </w:tblPr>
      <w:tblGrid>
        <w:gridCol w:w="170"/>
        <w:gridCol w:w="5480"/>
      </w:tblGrid>
      <w:tr>
        <w:trPr/>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54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 have reviewed this quarterly report on Form 10-Q of Bel Fuse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100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100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1006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 –15(e) and 15d –15(e)) and internal control over financial reporting (as defined in Exchange Act Rules 13a –15(f) and 15d –15(f))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100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715" w:type="dxa"/>
        <w:jc w:val="left"/>
        <w:tblInd w:w="0" w:type="dxa"/>
        <w:tblLayout w:type="fixed"/>
        <w:tblCellMar>
          <w:top w:w="0" w:type="dxa"/>
          <w:left w:w="0" w:type="dxa"/>
          <w:bottom w:w="0" w:type="dxa"/>
          <w:right w:w="0" w:type="dxa"/>
        </w:tblCellMar>
      </w:tblPr>
      <w:tblGrid>
        <w:gridCol w:w="1535"/>
        <w:gridCol w:w="5180"/>
      </w:tblGrid>
      <w:tr>
        <w:trPr/>
        <w:tc>
          <w:tcPr>
            <w:tcW w:w="15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May 5, 2026</w:t>
            </w:r>
          </w:p>
        </w:tc>
        <w:tc>
          <w:tcPr>
            <w:tcW w:w="51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Lynn Hutkin</w:t>
            </w:r>
          </w:p>
        </w:tc>
      </w:tr>
      <w:tr>
        <w:trPr/>
        <w:tc>
          <w:tcPr>
            <w:tcW w:w="1535"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Lynn Hutkin</w:t>
            </w:r>
          </w:p>
        </w:tc>
      </w:tr>
      <w:tr>
        <w:trPr/>
        <w:tc>
          <w:tcPr>
            <w:tcW w:w="1535"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 and Treasurer</w:t>
            </w:r>
          </w:p>
        </w:tc>
      </w:tr>
      <w:tr>
        <w:trPr/>
        <w:tc>
          <w:tcPr>
            <w:tcW w:w="1535"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i/>
                <w:sz w:val="20"/>
              </w:rPr>
              <w:t>Principal Financial Officer and Principal Accounting Officer</w:t>
            </w: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sz w:val="20"/>
        </w:rPr>
      </w:pPr>
      <w:bookmarkStart w:id="27" w:name="ex_906220.htm"/>
      <w:bookmarkStart w:id="28" w:name="ksex_906220"/>
      <w:bookmarkEnd w:id="27"/>
      <w:bookmarkEnd w:id="28"/>
      <w:r>
        <w:rPr>
          <w:rFonts w:ascii="Times New Roman" w:hAnsi="Times New Roman"/>
          <w:sz w:val="20"/>
        </w:rPr>
        <w:t>Exhibit 32.1</w:t>
      </w:r>
      <w:r>
        <w:br w:type="page"/>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CERTIFICATION PURSUANT TO</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18 U.S.C. SECTION 1350,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connection with the quarterly report of Bel Fuse Inc. (the “Company”) on Form 10-Q for the quarter ended </w:t>
      </w:r>
      <w:bookmarkStart w:id="29" w:name="led16960F20244291717000138474"/>
      <w:bookmarkEnd w:id="29"/>
      <w:r>
        <w:rPr>
          <w:rFonts w:ascii="Times New Roman" w:hAnsi="Times New Roman"/>
          <w:sz w:val="20"/>
        </w:rPr>
        <w:t>March 31, 2026 filed with the Securities and Exchange Commission (the “Report”), I, Farouq Tuweiq, President and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(1) The Report fully complies with the requirements of Section 13(a) or 15(d) of the Securities Exchange Act of 1934; and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(2) The information contained in the Report fairly presents, in all material respects, the consolidated financial condition of the Company as of the dates presented and consolidated results of operations of the Company for the periods presented.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660" w:type="dxa"/>
        <w:jc w:val="left"/>
        <w:tblInd w:w="0" w:type="dxa"/>
        <w:tblLayout w:type="fixed"/>
        <w:tblCellMar>
          <w:top w:w="0" w:type="dxa"/>
          <w:left w:w="0" w:type="dxa"/>
          <w:bottom w:w="0" w:type="dxa"/>
          <w:right w:w="0" w:type="dxa"/>
        </w:tblCellMar>
      </w:tblPr>
      <w:tblGrid>
        <w:gridCol w:w="1580"/>
        <w:gridCol w:w="3080"/>
      </w:tblGrid>
      <w:tr>
        <w:trPr/>
        <w:tc>
          <w:tcPr>
            <w:tcW w:w="15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May 5, 2026</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Farouq Tuweiq</w:t>
            </w:r>
          </w:p>
        </w:tc>
      </w:tr>
      <w:tr>
        <w:trPr/>
        <w:tc>
          <w:tcPr>
            <w:tcW w:w="158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Farouq Tuweiq</w:t>
            </w:r>
          </w:p>
        </w:tc>
      </w:tr>
      <w:tr>
        <w:trPr/>
        <w:tc>
          <w:tcPr>
            <w:tcW w:w="158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30" w:name="ex_906221.htm"/>
      <w:bookmarkStart w:id="31" w:name="ksex_906221"/>
      <w:bookmarkEnd w:id="30"/>
      <w:bookmarkEnd w:id="31"/>
      <w:r>
        <w:rPr>
          <w:rFonts w:ascii="Times New Roman;Times;serif" w:hAnsi="Times New Roman;Times;serif"/>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quarterly report of Bel Fuse Inc. (the “Company”) on Form 10-Q for the quarter ended </w:t>
      </w:r>
      <w:bookmarkStart w:id="32" w:name="led16960F20244291717000077441"/>
      <w:bookmarkEnd w:id="32"/>
      <w:r>
        <w:rPr>
          <w:rFonts w:ascii="Times New Roman;Times;serif" w:hAnsi="Times New Roman;Times;serif"/>
          <w:sz w:val="20"/>
        </w:rPr>
        <w:t>March 31, 2026 filed with the Securities and Exchange Commission (the “Report”), I, Lynn Hutkin, Chief Financial Officer (principal financial officer and principal accounting officer) and Treasurer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consolidated financial condition of the Company as of the dates presented and consolidated results of operations of the Company for the periods presented.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555" w:type="dxa"/>
        <w:jc w:val="left"/>
        <w:tblInd w:w="0" w:type="dxa"/>
        <w:tblLayout w:type="fixed"/>
        <w:tblCellMar>
          <w:top w:w="0" w:type="dxa"/>
          <w:left w:w="0" w:type="dxa"/>
          <w:bottom w:w="0" w:type="dxa"/>
          <w:right w:w="0" w:type="dxa"/>
        </w:tblCellMar>
      </w:tblPr>
      <w:tblGrid>
        <w:gridCol w:w="1580"/>
        <w:gridCol w:w="5975"/>
      </w:tblGrid>
      <w:tr>
        <w:trPr/>
        <w:tc>
          <w:tcPr>
            <w:tcW w:w="15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5, 2026</w:t>
            </w:r>
          </w:p>
        </w:tc>
        <w:tc>
          <w:tcPr>
            <w:tcW w:w="59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Lynn Hutkin</w:t>
            </w:r>
          </w:p>
        </w:tc>
      </w:tr>
      <w:tr>
        <w:trPr/>
        <w:tc>
          <w:tcPr>
            <w:tcW w:w="1580" w:type="dxa"/>
            <w:tcBorders/>
            <w:vAlign w:val="center"/>
          </w:tcPr>
          <w:p>
            <w:pPr>
              <w:pStyle w:val="TableContents"/>
              <w:bidi w:val="0"/>
              <w:spacing w:before="0" w:after="0"/>
              <w:ind w:left="0" w:right="0" w:hanging="0"/>
              <w:jc w:val="left"/>
              <w:rPr/>
            </w:pPr>
            <w:r>
              <w:rPr/>
              <w:t> </w:t>
            </w:r>
          </w:p>
        </w:tc>
        <w:tc>
          <w:tcPr>
            <w:tcW w:w="5975" w:type="dxa"/>
            <w:tcBorders/>
            <w:vAlign w:val="center"/>
          </w:tcPr>
          <w:p>
            <w:pPr>
              <w:pStyle w:val="TableContents"/>
              <w:bidi w:val="0"/>
              <w:spacing w:before="0" w:after="283"/>
              <w:jc w:val="left"/>
              <w:rPr/>
            </w:pPr>
            <w:r>
              <w:rPr/>
              <w:t>Lynn Hutkin</w:t>
            </w:r>
          </w:p>
        </w:tc>
      </w:tr>
      <w:tr>
        <w:trPr/>
        <w:tc>
          <w:tcPr>
            <w:tcW w:w="1580" w:type="dxa"/>
            <w:tcBorders/>
            <w:vAlign w:val="center"/>
          </w:tcPr>
          <w:p>
            <w:pPr>
              <w:pStyle w:val="TableContents"/>
              <w:bidi w:val="0"/>
              <w:spacing w:before="0" w:after="0"/>
              <w:ind w:left="0" w:right="0" w:hanging="0"/>
              <w:jc w:val="left"/>
              <w:rPr/>
            </w:pPr>
            <w:r>
              <w:rPr/>
              <w:t> </w:t>
            </w:r>
          </w:p>
        </w:tc>
        <w:tc>
          <w:tcPr>
            <w:tcW w:w="5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r>
      <w:tr>
        <w:trPr/>
        <w:tc>
          <w:tcPr>
            <w:tcW w:w="1580" w:type="dxa"/>
            <w:tcBorders/>
            <w:vAlign w:val="center"/>
          </w:tcPr>
          <w:p>
            <w:pPr>
              <w:pStyle w:val="TableContents"/>
              <w:bidi w:val="0"/>
              <w:spacing w:before="0" w:after="0"/>
              <w:ind w:left="0" w:right="0" w:hanging="0"/>
              <w:jc w:val="left"/>
              <w:rPr/>
            </w:pPr>
            <w:r>
              <w:rPr/>
              <w:t> </w:t>
            </w:r>
          </w:p>
        </w:tc>
        <w:tc>
          <w:tcPr>
            <w:tcW w:w="5975" w:type="dxa"/>
            <w:tcBorders/>
            <w:vAlign w:val="center"/>
          </w:tcPr>
          <w:p>
            <w:pPr>
              <w:pStyle w:val="TableContents"/>
              <w:bidi w:val="0"/>
              <w:spacing w:before="0" w:after="283"/>
              <w:jc w:val="left"/>
              <w:rPr/>
            </w:pPr>
            <w:r>
              <w:rPr/>
              <w:t>(</w:t>
            </w:r>
            <w:r>
              <w:rPr>
                <w:i/>
              </w:rPr>
              <w:t>Principal Financial Officer and Principal Accounting Officer</w:t>
            </w:r>
            <w:r>
              <w:rPr/>
              <w:t>)</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29580/0000950110-98-000892.txt" TargetMode="External"/><Relationship Id="rId3" Type="http://schemas.openxmlformats.org/officeDocument/2006/relationships/hyperlink" Target="http://www.sec.gov/Archives/edgar/data/729580/000095011000000254/0000950110-00-000254.txt" TargetMode="External"/><Relationship Id="rId4" Type="http://schemas.openxmlformats.org/officeDocument/2006/relationships/hyperlink" Target="http://www.sec.gov/Archives/edgar/data/729580/000143774923028966/ex_582931.htm" TargetMode="External"/><Relationship Id="rId5" Type="http://schemas.openxmlformats.org/officeDocument/2006/relationships/hyperlink" Target="http://www.sec.gov/Archives/edgar/data/729580/000143774926001362/ex_907577.htm" TargetMode="External"/><Relationship Id="rId6" Type="http://schemas.openxmlformats.org/officeDocument/2006/relationships/hyperlink" Target="http://www.sec.gov/Archives/edgar/data/729580/000143774926011412/ex_939985.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18528</Words>
  <Characters>101146</Characters>
  <CharactersWithSpaces>122151</CharactersWithSpaces>
  <Paragraphs>6822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