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240"/>
        </w:trPr>
        <w:tc>
          <w:tcPr>
            <w:tcW w:w="1104" w:type="dxa"/>
            <w:vAlign w:val="bottom"/>
            <w:textDirection w:val="btLr"/>
          </w:tcPr>
          <w:p>
            <w:pPr>
              <w:spacing w:after="0"/>
              <w:rPr>
                <w:sz w:val="20"/>
                <w:szCs w:val="20"/>
                <w:color w:val="auto"/>
              </w:rPr>
            </w:pPr>
            <w:r>
              <w:rPr>
                <w:rFonts w:ascii="Arial" w:cs="Arial" w:eastAsia="Arial" w:hAnsi="Arial"/>
                <w:sz w:val="96"/>
                <w:szCs w:val="96"/>
                <w:b w:val="1"/>
                <w:bCs w:val="1"/>
                <w:color w:val="A1DBEA"/>
              </w:rPr>
              <w:t>2025</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2880"/>
        <w:spacing w:after="0" w:line="214" w:lineRule="auto"/>
        <w:rPr>
          <w:sz w:val="20"/>
          <w:szCs w:val="20"/>
          <w:color w:val="auto"/>
        </w:rPr>
      </w:pPr>
      <w:r>
        <w:rPr>
          <w:rFonts w:ascii="Arial" w:cs="Arial" w:eastAsia="Arial" w:hAnsi="Arial"/>
          <w:sz w:val="135"/>
          <w:szCs w:val="135"/>
          <w:b w:val="1"/>
          <w:bCs w:val="1"/>
          <w:color w:val="FFFFFF"/>
        </w:rPr>
        <w:t>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-1339215</wp:posOffset>
            </wp:positionH>
            <wp:positionV relativeFrom="paragraph">
              <wp:posOffset>-9070975</wp:posOffset>
            </wp:positionV>
            <wp:extent cx="76581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8100" cy="9829800"/>
                    </a:xfrm>
                    <a:prstGeom prst="rect">
                      <a:avLst/>
                    </a:prstGeom>
                    <a:noFill/>
                  </pic:spPr>
                </pic:pic>
              </a:graphicData>
            </a:graphic>
          </wp:anchor>
        </w:drawing>
      </w:r>
    </w:p>
    <w:p>
      <w:pPr>
        <w:sectPr>
          <w:pgSz w:w="12240" w:h="15840" w:orient="portrait"/>
          <w:cols w:equalWidth="0" w:num="2">
            <w:col w:w="1104" w:space="246"/>
            <w:col w:w="8600"/>
          </w:cols>
          <w:pgMar w:left="850" w:top="1440" w:right="1440" w:bottom="81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wp:posOffset>
            </wp:positionH>
            <wp:positionV relativeFrom="page">
              <wp:posOffset>114300</wp:posOffset>
            </wp:positionV>
            <wp:extent cx="76581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581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20"/>
        <w:spacing w:after="0"/>
        <w:rPr>
          <w:sz w:val="20"/>
          <w:szCs w:val="20"/>
          <w:color w:val="auto"/>
        </w:rPr>
      </w:pPr>
      <w:r>
        <w:rPr>
          <w:rFonts w:ascii="Arial" w:cs="Arial" w:eastAsia="Arial" w:hAnsi="Arial"/>
          <w:sz w:val="24"/>
          <w:szCs w:val="24"/>
          <w:b w:val="1"/>
          <w:bCs w:val="1"/>
          <w:color w:val="FFFFFF"/>
        </w:rPr>
        <w:t>Celebrating our legacy; redefining our future</w:t>
      </w:r>
    </w:p>
    <w:p>
      <w:pPr>
        <w:spacing w:after="0" w:line="358" w:lineRule="exact"/>
        <w:rPr>
          <w:sz w:val="20"/>
          <w:szCs w:val="20"/>
          <w:color w:val="auto"/>
        </w:rPr>
      </w:pPr>
    </w:p>
    <w:p>
      <w:pPr>
        <w:ind w:left="1720" w:right="2300"/>
        <w:spacing w:after="0" w:line="336" w:lineRule="auto"/>
        <w:rPr>
          <w:sz w:val="20"/>
          <w:szCs w:val="20"/>
          <w:color w:val="auto"/>
        </w:rPr>
      </w:pPr>
      <w:r>
        <w:rPr>
          <w:rFonts w:ascii="Arial" w:cs="Arial" w:eastAsia="Arial" w:hAnsi="Arial"/>
          <w:sz w:val="20"/>
          <w:szCs w:val="20"/>
          <w:color w:val="FFFFFF"/>
        </w:rPr>
        <w:t xml:space="preserve">As we reflect on Bel’s journey, we honor the enduring legacies of </w:t>
      </w:r>
      <w:r>
        <w:rPr>
          <w:rFonts w:ascii="Arial" w:cs="Arial" w:eastAsia="Arial" w:hAnsi="Arial"/>
          <w:sz w:val="20"/>
          <w:szCs w:val="20"/>
          <w:b w:val="1"/>
          <w:bCs w:val="1"/>
          <w:color w:val="FFFFFF"/>
        </w:rPr>
        <w:t>Dan Bernstein</w:t>
      </w:r>
      <w:r>
        <w:rPr>
          <w:rFonts w:ascii="Arial" w:cs="Arial" w:eastAsia="Arial" w:hAnsi="Arial"/>
          <w:sz w:val="20"/>
          <w:szCs w:val="20"/>
          <w:color w:val="FFFFFF"/>
        </w:rPr>
        <w:t xml:space="preserve"> and </w:t>
      </w:r>
      <w:r>
        <w:rPr>
          <w:rFonts w:ascii="Arial" w:cs="Arial" w:eastAsia="Arial" w:hAnsi="Arial"/>
          <w:sz w:val="20"/>
          <w:szCs w:val="20"/>
          <w:b w:val="1"/>
          <w:bCs w:val="1"/>
          <w:color w:val="FFFFFF"/>
        </w:rPr>
        <w:t>Pete Bittner</w:t>
      </w:r>
      <w:r>
        <w:rPr>
          <w:rFonts w:ascii="Arial" w:cs="Arial" w:eastAsia="Arial" w:hAnsi="Arial"/>
          <w:sz w:val="20"/>
          <w:szCs w:val="20"/>
          <w:color w:val="FFFFFF"/>
        </w:rPr>
        <w:t>, whose visionary leadership and dedication laid the foundation for our success and inspired generations of associates. Dan’s 24 years as CEO drove strategic growth and global expansion, while Pete’s 35-year career transformed Bel’s Connectivity Solutions segment through innovation and teamwork.</w:t>
      </w:r>
    </w:p>
    <w:p>
      <w:pPr>
        <w:spacing w:after="0" w:line="253" w:lineRule="exact"/>
        <w:rPr>
          <w:sz w:val="20"/>
          <w:szCs w:val="20"/>
          <w:color w:val="auto"/>
        </w:rPr>
      </w:pPr>
    </w:p>
    <w:p>
      <w:pPr>
        <w:ind w:left="1720" w:right="2120"/>
        <w:spacing w:after="0" w:line="336" w:lineRule="auto"/>
        <w:rPr>
          <w:sz w:val="20"/>
          <w:szCs w:val="20"/>
          <w:color w:val="auto"/>
        </w:rPr>
      </w:pPr>
      <w:r>
        <w:rPr>
          <w:rFonts w:ascii="Arial" w:cs="Arial" w:eastAsia="Arial" w:hAnsi="Arial"/>
          <w:sz w:val="20"/>
          <w:szCs w:val="20"/>
          <w:color w:val="FFFFFF"/>
        </w:rPr>
        <w:t xml:space="preserve">Now, under </w:t>
      </w:r>
      <w:r>
        <w:rPr>
          <w:rFonts w:ascii="Arial" w:cs="Arial" w:eastAsia="Arial" w:hAnsi="Arial"/>
          <w:sz w:val="20"/>
          <w:szCs w:val="20"/>
          <w:b w:val="1"/>
          <w:bCs w:val="1"/>
          <w:color w:val="FFFFFF"/>
        </w:rPr>
        <w:t>Farouq Tuweiq’s leadership</w:t>
      </w:r>
      <w:r>
        <w:rPr>
          <w:rFonts w:ascii="Arial" w:cs="Arial" w:eastAsia="Arial" w:hAnsi="Arial"/>
          <w:sz w:val="20"/>
          <w:szCs w:val="20"/>
          <w:color w:val="FFFFFF"/>
        </w:rPr>
        <w:t xml:space="preserve">, Bel enters a new chapter focused on growth, innovation, and deeper customer alignment. In response to evolving industry trends, we have announced a new business unit structure: </w:t>
      </w:r>
      <w:r>
        <w:rPr>
          <w:rFonts w:ascii="Arial" w:cs="Arial" w:eastAsia="Arial" w:hAnsi="Arial"/>
          <w:sz w:val="20"/>
          <w:szCs w:val="20"/>
          <w:b w:val="1"/>
          <w:bCs w:val="1"/>
          <w:color w:val="FFFFFF"/>
        </w:rPr>
        <w:t>Tom Smelker</w:t>
      </w:r>
      <w:r>
        <w:rPr>
          <w:rFonts w:ascii="Arial" w:cs="Arial" w:eastAsia="Arial" w:hAnsi="Arial"/>
          <w:sz w:val="20"/>
          <w:szCs w:val="20"/>
          <w:color w:val="FFFFFF"/>
        </w:rPr>
        <w:t xml:space="preserve"> as EVP, President of Aerospace, Defense &amp; Rugged Solutions, and </w:t>
      </w:r>
      <w:r>
        <w:rPr>
          <w:rFonts w:ascii="Arial" w:cs="Arial" w:eastAsia="Arial" w:hAnsi="Arial"/>
          <w:sz w:val="20"/>
          <w:szCs w:val="20"/>
          <w:b w:val="1"/>
          <w:bCs w:val="1"/>
          <w:color w:val="FFFFFF"/>
        </w:rPr>
        <w:t>Steve Dawson</w:t>
      </w:r>
      <w:r>
        <w:rPr>
          <w:rFonts w:ascii="Arial" w:cs="Arial" w:eastAsia="Arial" w:hAnsi="Arial"/>
          <w:sz w:val="20"/>
          <w:szCs w:val="20"/>
          <w:color w:val="FFFFFF"/>
        </w:rPr>
        <w:t xml:space="preserve"> as EVP, President of Industrial Technology &amp; Data Solutions. With this renewed focus and dynamic leadership, Bel is poised to deliver greater value, foster collaboration, and drive sustainable growth — setting the stage for an exciting future as we pursue new heights together.</w:t>
      </w:r>
    </w:p>
    <w:p>
      <w:pPr>
        <w:sectPr>
          <w:pgSz w:w="12240" w:h="15840" w:orient="portrait"/>
          <w:cols w:equalWidth="0" w:num="1">
            <w:col w:w="10100"/>
          </w:cols>
          <w:pgMar w:left="820" w:top="1440" w:right="13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FFFFFF"/>
        </w:rPr>
        <w:t>Dan Bernstein (left) transitioned from CEO to Chairman of Bel’s Board and Farouq Tuweiq (right) appointed as President and CEO effective May 27,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840"/>
        <w:spacing w:after="0" w:line="316" w:lineRule="auto"/>
        <w:rPr>
          <w:sz w:val="20"/>
          <w:szCs w:val="20"/>
          <w:color w:val="auto"/>
        </w:rPr>
      </w:pPr>
      <w:r>
        <w:rPr>
          <w:rFonts w:ascii="Arial" w:cs="Arial" w:eastAsia="Arial" w:hAnsi="Arial"/>
          <w:sz w:val="16"/>
          <w:szCs w:val="16"/>
          <w:color w:val="FFFFFF"/>
        </w:rPr>
        <w:t>Pete Bittner (left), former President of Bel’s Connectivity Solutions segment, retired from Bel effective April 3, 2026 as Bel welcomes Tom Smelker (right) to the executive team.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327" w:lineRule="auto"/>
        <w:rPr>
          <w:sz w:val="20"/>
          <w:szCs w:val="20"/>
          <w:color w:val="auto"/>
        </w:rPr>
      </w:pPr>
      <w:r>
        <w:rPr>
          <w:rFonts w:ascii="Arial" w:cs="Arial" w:eastAsia="Arial" w:hAnsi="Arial"/>
          <w:sz w:val="16"/>
          <w:szCs w:val="16"/>
          <w:color w:val="FFFFFF"/>
        </w:rPr>
        <w:t>Dan Bernstein (left) with Steve Dawson (right).</w:t>
      </w:r>
    </w:p>
    <w:p>
      <w:pPr>
        <w:sectPr>
          <w:pgSz w:w="12240" w:h="15840" w:orient="portrait"/>
          <w:cols w:equalWidth="0" w:num="3">
            <w:col w:w="2780" w:space="720"/>
            <w:col w:w="3400" w:space="720"/>
            <w:col w:w="2480"/>
          </w:cols>
          <w:pgMar w:left="820" w:top="1440" w:right="1320" w:bottom="1440" w:gutter="0" w:footer="0" w:header="0"/>
          <w:type w:val="continuous"/>
        </w:sectPr>
      </w:pPr>
    </w:p>
    <w:bookmarkStart w:id="2" w:name="page3"/>
    <w:bookmarkEnd w:id="2"/>
    <w:p>
      <w:pPr>
        <w:ind w:left="260"/>
        <w:spacing w:after="0"/>
        <w:rPr>
          <w:sz w:val="20"/>
          <w:szCs w:val="20"/>
          <w:color w:val="auto"/>
        </w:rPr>
      </w:pPr>
      <w:r>
        <w:rPr>
          <w:rFonts w:ascii="Arial" w:cs="Arial" w:eastAsia="Arial" w:hAnsi="Arial"/>
          <w:sz w:val="20"/>
          <w:szCs w:val="20"/>
          <w:b w:val="1"/>
          <w:bCs w:val="1"/>
          <w:color w:val="00001F"/>
        </w:rPr>
        <w:t>2 0 2 5 F I N A N C I A L H I G H L I G H T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006691"/>
        </w:rPr>
        <w:t>C O N N E C T I V I T Y</w:t>
      </w:r>
    </w:p>
    <w:p>
      <w:pPr>
        <w:spacing w:after="0" w:line="24" w:lineRule="exact"/>
        <w:rPr>
          <w:sz w:val="20"/>
          <w:szCs w:val="20"/>
          <w:color w:val="auto"/>
        </w:rPr>
      </w:pPr>
    </w:p>
    <w:p>
      <w:pPr>
        <w:ind w:left="260" w:hanging="153"/>
        <w:spacing w:after="0"/>
        <w:tabs>
          <w:tab w:leader="none" w:pos="260" w:val="left"/>
        </w:tabs>
        <w:numPr>
          <w:ilvl w:val="0"/>
          <w:numId w:val="1"/>
        </w:numPr>
        <w:rPr>
          <w:rFonts w:ascii="Arial" w:cs="Arial" w:eastAsia="Arial" w:hAnsi="Arial"/>
          <w:sz w:val="24"/>
          <w:szCs w:val="24"/>
          <w:color w:val="006691"/>
        </w:rPr>
      </w:pPr>
      <w:r>
        <w:rPr>
          <w:rFonts w:ascii="Arial" w:cs="Arial" w:eastAsia="Arial" w:hAnsi="Arial"/>
          <w:sz w:val="15"/>
          <w:szCs w:val="15"/>
          <w:color w:val="auto"/>
        </w:rPr>
        <w:t>Commercial aerospace sales increased 23.7%, or $13.5M, from 2024</w:t>
      </w:r>
    </w:p>
    <w:p>
      <w:pPr>
        <w:spacing w:after="0" w:line="35" w:lineRule="exact"/>
        <w:rPr>
          <w:rFonts w:ascii="Arial" w:cs="Arial" w:eastAsia="Arial" w:hAnsi="Arial"/>
          <w:sz w:val="24"/>
          <w:szCs w:val="24"/>
          <w:color w:val="006691"/>
        </w:rPr>
      </w:pPr>
    </w:p>
    <w:p>
      <w:pPr>
        <w:ind w:left="260" w:hanging="153"/>
        <w:spacing w:after="0" w:line="182" w:lineRule="auto"/>
        <w:tabs>
          <w:tab w:leader="none" w:pos="260" w:val="left"/>
        </w:tabs>
        <w:numPr>
          <w:ilvl w:val="0"/>
          <w:numId w:val="1"/>
        </w:numPr>
        <w:rPr>
          <w:rFonts w:ascii="Arial" w:cs="Arial" w:eastAsia="Arial" w:hAnsi="Arial"/>
          <w:sz w:val="21"/>
          <w:szCs w:val="21"/>
          <w:color w:val="006691"/>
        </w:rPr>
      </w:pPr>
      <w:r>
        <w:rPr>
          <w:rFonts w:ascii="Arial" w:cs="Arial" w:eastAsia="Arial" w:hAnsi="Arial"/>
          <w:sz w:val="14"/>
          <w:szCs w:val="14"/>
          <w:color w:val="auto"/>
        </w:rPr>
        <w:t>Defense sales grew by $4.7M, or 10.1%, from 2024</w:t>
      </w:r>
    </w:p>
    <w:p>
      <w:pPr>
        <w:spacing w:after="0" w:line="36" w:lineRule="exact"/>
        <w:rPr>
          <w:rFonts w:ascii="Arial" w:cs="Arial" w:eastAsia="Arial" w:hAnsi="Arial"/>
          <w:sz w:val="21"/>
          <w:szCs w:val="21"/>
          <w:color w:val="006691"/>
        </w:rPr>
      </w:pPr>
    </w:p>
    <w:p>
      <w:pPr>
        <w:ind w:left="260" w:hanging="153"/>
        <w:spacing w:after="0" w:line="184" w:lineRule="exact"/>
        <w:tabs>
          <w:tab w:leader="none" w:pos="260" w:val="left"/>
        </w:tabs>
        <w:numPr>
          <w:ilvl w:val="0"/>
          <w:numId w:val="1"/>
        </w:numPr>
        <w:rPr>
          <w:rFonts w:ascii="Arial" w:cs="Arial" w:eastAsia="Arial" w:hAnsi="Arial"/>
          <w:sz w:val="20"/>
          <w:szCs w:val="20"/>
          <w:color w:val="006691"/>
        </w:rPr>
      </w:pPr>
      <w:r>
        <w:rPr>
          <w:rFonts w:ascii="Arial" w:cs="Arial" w:eastAsia="Arial" w:hAnsi="Arial"/>
          <w:sz w:val="13"/>
          <w:szCs w:val="13"/>
          <w:color w:val="auto"/>
        </w:rPr>
        <w:t>0DUJLQ</w:t>
      </w:r>
      <w:r>
        <w:rPr>
          <w:rFonts w:ascii="PMingLiU" w:cs="PMingLiU" w:eastAsia="PMingLiU" w:hAnsi="PMingLiU"/>
          <w:sz w:val="13"/>
          <w:szCs w:val="13"/>
          <w:color w:val="auto"/>
        </w:rPr>
        <w:t/>
      </w:r>
      <w:r>
        <w:rPr>
          <w:rFonts w:ascii="Arial" w:cs="Arial" w:eastAsia="Arial" w:hAnsi="Arial"/>
          <w:sz w:val="13"/>
          <w:szCs w:val="13"/>
          <w:color w:val="auto"/>
        </w:rPr>
        <w:t>LPSURYHPHQW</w:t>
      </w:r>
      <w:r>
        <w:rPr>
          <w:rFonts w:ascii="PMingLiU" w:cs="PMingLiU" w:eastAsia="PMingLiU" w:hAnsi="PMingLiU"/>
          <w:sz w:val="13"/>
          <w:szCs w:val="13"/>
          <w:color w:val="auto"/>
        </w:rPr>
        <w:t/>
      </w:r>
      <w:r>
        <w:rPr>
          <w:rFonts w:ascii="Arial" w:cs="Arial" w:eastAsia="Arial" w:hAnsi="Arial"/>
          <w:sz w:val="13"/>
          <w:szCs w:val="13"/>
          <w:color w:val="auto"/>
        </w:rPr>
        <w:t>OHG</w:t>
      </w:r>
      <w:r>
        <w:rPr>
          <w:rFonts w:ascii="PMingLiU" w:cs="PMingLiU" w:eastAsia="PMingLiU" w:hAnsi="PMingLiU"/>
          <w:sz w:val="13"/>
          <w:szCs w:val="13"/>
          <w:color w:val="auto"/>
        </w:rPr>
        <w:t/>
      </w:r>
      <w:r>
        <w:rPr>
          <w:rFonts w:ascii="Arial" w:cs="Arial" w:eastAsia="Arial" w:hAnsi="Arial"/>
          <w:sz w:val="13"/>
          <w:szCs w:val="13"/>
          <w:color w:val="auto"/>
        </w:rPr>
        <w:t>E\</w:t>
      </w:r>
      <w:r>
        <w:rPr>
          <w:rFonts w:ascii="PMingLiU" w:cs="PMingLiU" w:eastAsia="PMingLiU" w:hAnsi="PMingLiU"/>
          <w:sz w:val="13"/>
          <w:szCs w:val="13"/>
          <w:color w:val="auto"/>
        </w:rPr>
        <w:t/>
      </w:r>
      <w:r>
        <w:rPr>
          <w:rFonts w:ascii="Arial" w:cs="Arial" w:eastAsia="Arial" w:hAnsi="Arial"/>
          <w:sz w:val="13"/>
          <w:szCs w:val="13"/>
          <w:color w:val="auto"/>
        </w:rPr>
        <w:t>RSHUDWLRQ</w:t>
      </w:r>
      <w:r>
        <w:rPr>
          <w:rFonts w:ascii="PMingLiU" w:cs="PMingLiU" w:eastAsia="PMingLiU" w:hAnsi="PMingLiU"/>
          <w:sz w:val="13"/>
          <w:szCs w:val="13"/>
          <w:color w:val="auto"/>
        </w:rPr>
        <w:t/>
      </w:r>
      <w:r>
        <w:rPr>
          <w:rFonts w:ascii="Arial" w:cs="Arial" w:eastAsia="Arial" w:hAnsi="Arial"/>
          <w:sz w:val="13"/>
          <w:szCs w:val="13"/>
          <w:color w:val="auto"/>
        </w:rPr>
        <w:t>HI´FLHQFLHV</w:t>
      </w:r>
      <w:r>
        <w:rPr>
          <w:rFonts w:ascii="PMingLiU" w:cs="PMingLiU" w:eastAsia="PMingLiU" w:hAnsi="PMingLiU"/>
          <w:sz w:val="13"/>
          <w:szCs w:val="13"/>
          <w:color w:val="auto"/>
        </w:rPr>
        <w:t/>
      </w:r>
      <w:r>
        <w:rPr>
          <w:rFonts w:ascii="Arial" w:cs="Arial" w:eastAsia="Arial" w:hAnsi="Arial"/>
          <w:sz w:val="13"/>
          <w:szCs w:val="13"/>
          <w:color w:val="auto"/>
        </w:rPr>
        <w:t>IURP</w:t>
      </w:r>
      <w:r>
        <w:rPr>
          <w:rFonts w:ascii="PMingLiU" w:cs="PMingLiU" w:eastAsia="PMingLiU" w:hAnsi="PMingLiU"/>
          <w:sz w:val="13"/>
          <w:szCs w:val="13"/>
          <w:color w:val="auto"/>
        </w:rPr>
        <w:t/>
      </w:r>
      <w:r>
        <w:rPr>
          <w:rFonts w:ascii="Arial" w:cs="Arial" w:eastAsia="Arial" w:hAnsi="Arial"/>
          <w:sz w:val="13"/>
          <w:szCs w:val="13"/>
          <w:color w:val="auto"/>
        </w:rPr>
        <w:t>UHFHQW</w:t>
      </w:r>
      <w:r>
        <w:rPr>
          <w:rFonts w:ascii="PMingLiU" w:cs="PMingLiU" w:eastAsia="PMingLiU" w:hAnsi="PMingLiU"/>
          <w:sz w:val="13"/>
          <w:szCs w:val="13"/>
          <w:color w:val="auto"/>
        </w:rPr>
        <w:t/>
      </w:r>
      <w:r>
        <w:rPr>
          <w:rFonts w:ascii="Arial" w:cs="Arial" w:eastAsia="Arial" w:hAnsi="Arial"/>
          <w:sz w:val="13"/>
          <w:szCs w:val="13"/>
          <w:color w:val="auto"/>
        </w:rPr>
        <w:t>IDFLOLW\</w:t>
      </w:r>
      <w:r>
        <w:rPr>
          <w:rFonts w:ascii="PMingLiU" w:cs="PMingLiU" w:eastAsia="PMingLiU" w:hAnsi="PMingLiU"/>
          <w:sz w:val="13"/>
          <w:szCs w:val="13"/>
          <w:color w:val="auto"/>
        </w:rPr>
        <w:t/>
      </w:r>
      <w:r>
        <w:rPr>
          <w:rFonts w:ascii="Arial" w:cs="Arial" w:eastAsia="Arial" w:hAnsi="Arial"/>
          <w:sz w:val="13"/>
          <w:szCs w:val="13"/>
          <w:color w:val="auto"/>
        </w:rPr>
        <w:t>FRQVROLGDWLRQV</w:t>
      </w:r>
    </w:p>
    <w:p>
      <w:pPr>
        <w:sectPr>
          <w:pgSz w:w="12240" w:h="15840" w:orient="portrait"/>
          <w:cols w:equalWidth="0" w:num="1">
            <w:col w:w="9720"/>
          </w:cols>
          <w:pgMar w:left="1440" w:top="1190" w:right="1080" w:bottom="66" w:gutter="0" w:footer="0" w:header="0"/>
        </w:sectPr>
      </w:pPr>
    </w:p>
    <w:p>
      <w:pPr>
        <w:spacing w:after="0" w:line="64" w:lineRule="exact"/>
        <w:rPr>
          <w:sz w:val="20"/>
          <w:szCs w:val="20"/>
          <w:color w:val="auto"/>
        </w:rPr>
      </w:pPr>
    </w:p>
    <w:p>
      <w:pPr>
        <w:ind w:left="300"/>
        <w:spacing w:after="0"/>
        <w:tabs>
          <w:tab w:leader="none" w:pos="3320" w:val="left"/>
        </w:tabs>
        <w:rPr>
          <w:sz w:val="20"/>
          <w:szCs w:val="20"/>
          <w:color w:val="auto"/>
        </w:rPr>
      </w:pPr>
      <w:r>
        <w:rPr>
          <w:rFonts w:ascii="Arial" w:cs="Arial" w:eastAsia="Arial" w:hAnsi="Arial"/>
          <w:sz w:val="11"/>
          <w:szCs w:val="11"/>
          <w:b w:val="1"/>
          <w:bCs w:val="1"/>
          <w:color w:val="auto"/>
        </w:rPr>
        <w:t>END MARKETS (%)</w:t>
      </w:r>
      <w:r>
        <w:rPr>
          <w:sz w:val="20"/>
          <w:szCs w:val="20"/>
          <w:color w:val="auto"/>
        </w:rPr>
        <w:tab/>
      </w:r>
      <w:r>
        <w:rPr>
          <w:rFonts w:ascii="Arial" w:cs="Arial" w:eastAsia="Arial" w:hAnsi="Arial"/>
          <w:sz w:val="11"/>
          <w:szCs w:val="11"/>
          <w:b w:val="1"/>
          <w:bCs w:val="1"/>
          <w:color w:val="auto"/>
        </w:rPr>
        <w:t>GEOGRAPHY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297180</wp:posOffset>
            </wp:positionV>
            <wp:extent cx="805180" cy="775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180" cy="775335"/>
                    </a:xfrm>
                    <a:prstGeom prst="rect">
                      <a:avLst/>
                    </a:prstGeom>
                    <a:noFill/>
                  </pic:spPr>
                </pic:pic>
              </a:graphicData>
            </a:graphic>
          </wp:anchor>
        </w:drawing>
        <w:drawing>
          <wp:anchor simplePos="0" relativeHeight="251657728" behindDoc="1" locked="0" layoutInCell="0" allowOverlap="1">
            <wp:simplePos x="0" y="0"/>
            <wp:positionH relativeFrom="column">
              <wp:posOffset>2056765</wp:posOffset>
            </wp:positionH>
            <wp:positionV relativeFrom="paragraph">
              <wp:posOffset>297180</wp:posOffset>
            </wp:positionV>
            <wp:extent cx="775335" cy="762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5335" cy="76263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520"/>
        <w:spacing w:after="0"/>
        <w:rPr>
          <w:sz w:val="20"/>
          <w:szCs w:val="20"/>
          <w:color w:val="auto"/>
        </w:rPr>
      </w:pPr>
      <w:r>
        <w:rPr>
          <w:sz w:val="1"/>
          <w:szCs w:val="1"/>
          <w:color w:val="auto"/>
        </w:rPr>
        <w:drawing>
          <wp:inline distT="0" distB="0" distL="0" distR="0">
            <wp:extent cx="104775" cy="1047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r>
      <w:r>
        <w:rPr>
          <w:rFonts w:ascii="Arial" w:cs="Arial" w:eastAsia="Arial" w:hAnsi="Arial"/>
          <w:sz w:val="12"/>
          <w:szCs w:val="12"/>
          <w:color w:val="auto"/>
        </w:rPr>
        <w:t xml:space="preserve"> Aerospace/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-23495</wp:posOffset>
            </wp:positionV>
            <wp:extent cx="104775" cy="103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775" cy="103505"/>
                    </a:xfrm>
                    <a:prstGeom prst="rect">
                      <a:avLst/>
                    </a:prstGeom>
                    <a:noFill/>
                  </pic:spPr>
                </pic:pic>
              </a:graphicData>
            </a:graphic>
          </wp:anchor>
        </w:drawing>
      </w:r>
    </w:p>
    <w:p>
      <w:pPr>
        <w:ind w:left="1740"/>
        <w:spacing w:after="0" w:line="190" w:lineRule="auto"/>
        <w:tabs>
          <w:tab w:leader="none" w:pos="4700" w:val="left"/>
        </w:tabs>
        <w:rPr>
          <w:sz w:val="20"/>
          <w:szCs w:val="20"/>
          <w:color w:val="auto"/>
        </w:rPr>
      </w:pPr>
      <w:r>
        <w:rPr>
          <w:rFonts w:ascii="Arial" w:cs="Arial" w:eastAsia="Arial" w:hAnsi="Arial"/>
          <w:sz w:val="12"/>
          <w:szCs w:val="12"/>
          <w:color w:val="auto"/>
        </w:rPr>
        <w:t>Defense (53%)</w:t>
      </w:r>
      <w:r>
        <w:rPr>
          <w:sz w:val="20"/>
          <w:szCs w:val="20"/>
          <w:color w:val="auto"/>
        </w:rPr>
        <w:tab/>
      </w:r>
      <w:r>
        <w:rPr>
          <w:rFonts w:ascii="Arial" w:cs="Arial" w:eastAsia="Arial" w:hAnsi="Arial"/>
          <w:sz w:val="16"/>
          <w:szCs w:val="16"/>
          <w:color w:val="auto"/>
          <w:vertAlign w:val="superscript"/>
        </w:rPr>
        <w:t>North</w:t>
      </w:r>
    </w:p>
    <w:p>
      <w:pPr>
        <w:jc w:val="right"/>
        <w:spacing w:after="0" w:line="210" w:lineRule="auto"/>
        <w:rPr>
          <w:sz w:val="20"/>
          <w:szCs w:val="20"/>
          <w:color w:val="auto"/>
        </w:rPr>
      </w:pPr>
      <w:r>
        <w:rPr>
          <w:rFonts w:ascii="Arial" w:cs="Arial" w:eastAsia="Arial" w:hAnsi="Arial"/>
          <w:sz w:val="9"/>
          <w:szCs w:val="9"/>
          <w:color w:val="auto"/>
        </w:rPr>
        <w:t>America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-22225</wp:posOffset>
            </wp:positionV>
            <wp:extent cx="104775" cy="104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ind w:left="1740"/>
        <w:spacing w:after="0" w:line="198" w:lineRule="auto"/>
        <w:rPr>
          <w:sz w:val="20"/>
          <w:szCs w:val="20"/>
          <w:color w:val="auto"/>
        </w:rPr>
      </w:pPr>
      <w:r>
        <w:rPr>
          <w:rFonts w:ascii="Arial" w:cs="Arial" w:eastAsia="Arial" w:hAnsi="Arial"/>
          <w:sz w:val="12"/>
          <w:szCs w:val="12"/>
          <w:color w:val="auto"/>
        </w:rPr>
        <w:t>Distribution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-14605</wp:posOffset>
            </wp:positionV>
            <wp:extent cx="104775" cy="104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ind w:left="4720"/>
        <w:spacing w:after="0" w:line="194" w:lineRule="auto"/>
        <w:rPr>
          <w:sz w:val="20"/>
          <w:szCs w:val="20"/>
          <w:color w:val="auto"/>
        </w:rPr>
      </w:pPr>
      <w:r>
        <w:rPr>
          <w:rFonts w:ascii="Arial" w:cs="Arial" w:eastAsia="Arial" w:hAnsi="Arial"/>
          <w:sz w:val="11"/>
          <w:szCs w:val="11"/>
          <w:color w:val="auto"/>
        </w:rPr>
        <w:t>EMEA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-22225</wp:posOffset>
            </wp:positionV>
            <wp:extent cx="104775" cy="104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ind w:left="1740"/>
        <w:spacing w:after="0" w:line="197" w:lineRule="auto"/>
        <w:rPr>
          <w:sz w:val="20"/>
          <w:szCs w:val="20"/>
          <w:color w:val="auto"/>
        </w:rPr>
      </w:pPr>
      <w:r>
        <w:rPr>
          <w:rFonts w:ascii="Arial" w:cs="Arial" w:eastAsia="Arial" w:hAnsi="Arial"/>
          <w:sz w:val="12"/>
          <w:szCs w:val="12"/>
          <w:color w:val="auto"/>
        </w:rPr>
        <w:t>Networking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-12065</wp:posOffset>
            </wp:positionV>
            <wp:extent cx="104775" cy="104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ind w:left="4720"/>
        <w:spacing w:after="0" w:line="195" w:lineRule="auto"/>
        <w:rPr>
          <w:sz w:val="20"/>
          <w:szCs w:val="20"/>
          <w:color w:val="auto"/>
        </w:rPr>
      </w:pPr>
      <w:r>
        <w:rPr>
          <w:rFonts w:ascii="Arial" w:cs="Arial" w:eastAsia="Arial" w:hAnsi="Arial"/>
          <w:sz w:val="11"/>
          <w:szCs w:val="11"/>
          <w:color w:val="auto"/>
        </w:rPr>
        <w:t>APAC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-20320</wp:posOffset>
            </wp:positionV>
            <wp:extent cx="104775" cy="104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ind w:left="1740"/>
        <w:spacing w:after="0" w:line="197" w:lineRule="auto"/>
        <w:rPr>
          <w:sz w:val="20"/>
          <w:szCs w:val="20"/>
          <w:color w:val="auto"/>
        </w:rPr>
      </w:pPr>
      <w:r>
        <w:rPr>
          <w:rFonts w:ascii="Arial" w:cs="Arial" w:eastAsia="Arial" w:hAnsi="Arial"/>
          <w:sz w:val="12"/>
          <w:szCs w:val="12"/>
          <w:color w:val="auto"/>
        </w:rPr>
        <w:t>Industrial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2180" w:val="left"/>
        </w:tabs>
        <w:rPr>
          <w:sz w:val="20"/>
          <w:szCs w:val="20"/>
          <w:color w:val="auto"/>
        </w:rPr>
      </w:pPr>
      <w:r>
        <w:rPr>
          <w:rFonts w:ascii="Arial" w:cs="Arial" w:eastAsia="Arial" w:hAnsi="Arial"/>
          <w:sz w:val="11"/>
          <w:szCs w:val="11"/>
          <w:b w:val="1"/>
          <w:bCs w:val="1"/>
          <w:color w:val="auto"/>
        </w:rPr>
        <w:t>SALES ($ IN THOUSANDS)</w:t>
      </w:r>
      <w:r>
        <w:rPr>
          <w:sz w:val="20"/>
          <w:szCs w:val="20"/>
          <w:color w:val="auto"/>
        </w:rPr>
        <w:tab/>
      </w:r>
      <w:r>
        <w:rPr>
          <w:rFonts w:ascii="Arial" w:cs="Arial" w:eastAsia="Arial" w:hAnsi="Arial"/>
          <w:sz w:val="11"/>
          <w:szCs w:val="11"/>
          <w:b w:val="1"/>
          <w:bCs w:val="1"/>
          <w:color w:val="auto"/>
        </w:rPr>
        <w:t>GROSS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121285</wp:posOffset>
            </wp:positionV>
            <wp:extent cx="969010" cy="951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9010" cy="951865"/>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118745</wp:posOffset>
            </wp:positionV>
            <wp:extent cx="620395" cy="955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0395" cy="955040"/>
                    </a:xfrm>
                    <a:prstGeom prst="rect">
                      <a:avLst/>
                    </a:prstGeom>
                    <a:noFill/>
                  </pic:spPr>
                </pic:pic>
              </a:graphicData>
            </a:graphic>
          </wp:anchor>
        </w:drawing>
      </w:r>
    </w:p>
    <w:p>
      <w:pPr>
        <w:spacing w:after="0" w:line="310" w:lineRule="exact"/>
        <w:rPr>
          <w:sz w:val="20"/>
          <w:szCs w:val="20"/>
          <w:color w:val="auto"/>
        </w:rPr>
      </w:pPr>
    </w:p>
    <w:tbl>
      <w:tblPr>
        <w:tblLayout w:type="fixed"/>
        <w:tblInd w:w="140" w:type="dxa"/>
        <w:tblCellMar>
          <w:top w:w="0" w:type="dxa"/>
          <w:left w:w="0" w:type="dxa"/>
          <w:bottom w:w="0" w:type="dxa"/>
          <w:right w:w="0" w:type="dxa"/>
        </w:tblCellMar>
      </w:tblPr>
      <w:tr>
        <w:trPr>
          <w:trHeight w:val="693"/>
        </w:trPr>
        <w:tc>
          <w:tcPr>
            <w:tcW w:w="320" w:type="dxa"/>
            <w:vAlign w:val="bottom"/>
            <w:textDirection w:val="btLr"/>
          </w:tcPr>
          <w:p>
            <w:pPr>
              <w:ind w:right="121"/>
              <w:spacing w:after="0"/>
              <w:rPr>
                <w:sz w:val="20"/>
                <w:szCs w:val="20"/>
                <w:color w:val="auto"/>
              </w:rPr>
            </w:pPr>
            <w:r>
              <w:rPr>
                <w:rFonts w:ascii="Arial" w:cs="Arial" w:eastAsia="Arial" w:hAnsi="Arial"/>
                <w:sz w:val="12"/>
                <w:szCs w:val="12"/>
                <w:color w:val="FFFFFF"/>
              </w:rPr>
              <w:t>$210,572</w:t>
            </w:r>
          </w:p>
        </w:tc>
        <w:tc>
          <w:tcPr>
            <w:tcW w:w="540" w:type="dxa"/>
            <w:vAlign w:val="bottom"/>
            <w:textDirection w:val="btLr"/>
          </w:tcPr>
          <w:p>
            <w:pPr>
              <w:ind w:right="132"/>
              <w:spacing w:after="0"/>
              <w:rPr>
                <w:sz w:val="20"/>
                <w:szCs w:val="20"/>
                <w:color w:val="auto"/>
              </w:rPr>
            </w:pPr>
            <w:r>
              <w:rPr>
                <w:rFonts w:ascii="Arial" w:cs="Arial" w:eastAsia="Arial" w:hAnsi="Arial"/>
                <w:sz w:val="12"/>
                <w:szCs w:val="12"/>
                <w:color w:val="FFFFFF"/>
              </w:rPr>
              <w:t>$220,370</w:t>
            </w:r>
          </w:p>
        </w:tc>
        <w:tc>
          <w:tcPr>
            <w:tcW w:w="760" w:type="dxa"/>
            <w:vAlign w:val="bottom"/>
            <w:textDirection w:val="btLr"/>
          </w:tcPr>
          <w:p>
            <w:pPr>
              <w:ind w:right="346"/>
              <w:spacing w:after="0"/>
              <w:rPr>
                <w:sz w:val="20"/>
                <w:szCs w:val="20"/>
                <w:color w:val="auto"/>
              </w:rPr>
            </w:pPr>
            <w:r>
              <w:rPr>
                <w:rFonts w:ascii="Arial" w:cs="Arial" w:eastAsia="Arial" w:hAnsi="Arial"/>
                <w:sz w:val="12"/>
                <w:szCs w:val="12"/>
                <w:b w:val="1"/>
                <w:bCs w:val="1"/>
                <w:color w:val="FFFFFF"/>
              </w:rPr>
              <w:t>$232,286</w:t>
            </w:r>
          </w:p>
        </w:tc>
        <w:tc>
          <w:tcPr>
            <w:tcW w:w="760" w:type="dxa"/>
            <w:vAlign w:val="bottom"/>
            <w:textDirection w:val="btLr"/>
          </w:tcPr>
          <w:p>
            <w:pPr>
              <w:ind w:right="151"/>
              <w:spacing w:after="0"/>
              <w:rPr>
                <w:sz w:val="20"/>
                <w:szCs w:val="20"/>
                <w:color w:val="auto"/>
              </w:rPr>
            </w:pPr>
            <w:r>
              <w:rPr>
                <w:rFonts w:ascii="Arial" w:cs="Arial" w:eastAsia="Arial" w:hAnsi="Arial"/>
                <w:sz w:val="12"/>
                <w:szCs w:val="12"/>
                <w:color w:val="FFFFFF"/>
              </w:rPr>
              <w:t>34.2%</w:t>
            </w:r>
          </w:p>
        </w:tc>
        <w:tc>
          <w:tcPr>
            <w:tcW w:w="540" w:type="dxa"/>
            <w:vAlign w:val="bottom"/>
            <w:textDirection w:val="btLr"/>
          </w:tcPr>
          <w:p>
            <w:pPr>
              <w:ind w:right="133"/>
              <w:spacing w:after="0"/>
              <w:rPr>
                <w:sz w:val="20"/>
                <w:szCs w:val="20"/>
                <w:color w:val="auto"/>
              </w:rPr>
            </w:pPr>
            <w:r>
              <w:rPr>
                <w:rFonts w:ascii="Arial" w:cs="Arial" w:eastAsia="Arial" w:hAnsi="Arial"/>
                <w:sz w:val="12"/>
                <w:szCs w:val="12"/>
                <w:color w:val="FFFFFF"/>
                <w:w w:val="88"/>
              </w:rPr>
              <w:t>1%37.</w:t>
            </w:r>
          </w:p>
        </w:tc>
        <w:tc>
          <w:tcPr>
            <w:tcW w:w="320" w:type="dxa"/>
            <w:vAlign w:val="bottom"/>
            <w:textDirection w:val="btLr"/>
          </w:tcPr>
          <w:p>
            <w:pPr>
              <w:spacing w:after="0"/>
              <w:rPr>
                <w:sz w:val="20"/>
                <w:szCs w:val="20"/>
                <w:color w:val="auto"/>
              </w:rPr>
            </w:pPr>
            <w:r>
              <w:rPr>
                <w:rFonts w:ascii="Arial" w:cs="Arial" w:eastAsia="Arial" w:hAnsi="Arial"/>
                <w:sz w:val="12"/>
                <w:szCs w:val="12"/>
                <w:b w:val="1"/>
                <w:bCs w:val="1"/>
                <w:color w:val="FFFFFF"/>
              </w:rPr>
              <w:t>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-421005</wp:posOffset>
            </wp:positionV>
            <wp:extent cx="267970" cy="845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970" cy="845185"/>
                    </a:xfrm>
                    <a:prstGeom prst="rect">
                      <a:avLst/>
                    </a:prstGeom>
                    <a:noFill/>
                  </pic:spPr>
                </pic:pic>
              </a:graphicData>
            </a:graphic>
          </wp:anchor>
        </w:drawing>
      </w:r>
    </w:p>
    <w:p>
      <w:pPr>
        <w:spacing w:after="0" w:line="749" w:lineRule="exact"/>
        <w:rPr>
          <w:sz w:val="20"/>
          <w:szCs w:val="20"/>
          <w:color w:val="auto"/>
        </w:rPr>
      </w:pPr>
    </w:p>
    <w:p>
      <w:pPr>
        <w:sectPr>
          <w:pgSz w:w="12240" w:h="15840" w:orient="portrait"/>
          <w:cols w:equalWidth="0" w:num="2">
            <w:col w:w="5640" w:space="520"/>
            <w:col w:w="3560"/>
          </w:cols>
          <w:pgMar w:left="1440" w:top="1190" w:right="1080" w:bottom="66" w:gutter="0" w:footer="0" w:header="0"/>
          <w:type w:val="continuous"/>
        </w:sectPr>
      </w:pPr>
    </w:p>
    <w:p>
      <w:pPr>
        <w:spacing w:after="0" w:line="8" w:lineRule="exact"/>
        <w:rPr>
          <w:sz w:val="20"/>
          <w:szCs w:val="20"/>
          <w:color w:val="auto"/>
        </w:rPr>
      </w:pPr>
    </w:p>
    <w:p>
      <w:pPr>
        <w:jc w:val="both"/>
        <w:ind w:left="6220"/>
        <w:spacing w:after="0"/>
        <w:tabs>
          <w:tab w:leader="none" w:pos="6740" w:val="left"/>
          <w:tab w:leader="none" w:pos="7300" w:val="left"/>
          <w:tab w:leader="none" w:pos="8260" w:val="left"/>
          <w:tab w:leader="none" w:pos="8800" w:val="left"/>
          <w:tab w:leader="none" w:pos="9360" w:val="left"/>
        </w:tabs>
        <w:rPr>
          <w:sz w:val="20"/>
          <w:szCs w:val="20"/>
          <w:color w:val="auto"/>
        </w:rPr>
      </w:pPr>
      <w:r>
        <w:rPr>
          <w:rFonts w:ascii="Arial" w:cs="Arial" w:eastAsia="Arial" w:hAnsi="Arial"/>
          <w:sz w:val="10"/>
          <w:szCs w:val="10"/>
          <w:color w:val="auto"/>
        </w:rPr>
        <w:t>2023</w:t>
      </w:r>
      <w:r>
        <w:rPr>
          <w:sz w:val="20"/>
          <w:szCs w:val="20"/>
          <w:color w:val="auto"/>
        </w:rPr>
        <w:tab/>
      </w:r>
      <w:r>
        <w:rPr>
          <w:rFonts w:ascii="Arial" w:cs="Arial" w:eastAsia="Arial" w:hAnsi="Arial"/>
          <w:sz w:val="10"/>
          <w:szCs w:val="10"/>
          <w:color w:val="auto"/>
        </w:rPr>
        <w:t>2024</w:t>
      </w:r>
      <w:r>
        <w:rPr>
          <w:sz w:val="20"/>
          <w:szCs w:val="20"/>
          <w:color w:val="auto"/>
        </w:rPr>
        <w:tab/>
      </w:r>
      <w:r>
        <w:rPr>
          <w:rFonts w:ascii="Arial" w:cs="Arial" w:eastAsia="Arial" w:hAnsi="Arial"/>
          <w:sz w:val="10"/>
          <w:szCs w:val="10"/>
          <w:b w:val="1"/>
          <w:bCs w:val="1"/>
          <w:color w:val="auto"/>
        </w:rPr>
        <w:t>2025</w:t>
      </w:r>
      <w:r>
        <w:rPr>
          <w:sz w:val="20"/>
          <w:szCs w:val="20"/>
          <w:color w:val="auto"/>
        </w:rPr>
        <w:tab/>
      </w:r>
      <w:r>
        <w:rPr>
          <w:rFonts w:ascii="Arial" w:cs="Arial" w:eastAsia="Arial" w:hAnsi="Arial"/>
          <w:sz w:val="10"/>
          <w:szCs w:val="10"/>
          <w:color w:val="auto"/>
        </w:rPr>
        <w:t>2023</w:t>
      </w:r>
      <w:r>
        <w:rPr>
          <w:sz w:val="20"/>
          <w:szCs w:val="20"/>
          <w:color w:val="auto"/>
        </w:rPr>
        <w:tab/>
      </w:r>
      <w:r>
        <w:rPr>
          <w:rFonts w:ascii="Arial" w:cs="Arial" w:eastAsia="Arial" w:hAnsi="Arial"/>
          <w:sz w:val="10"/>
          <w:szCs w:val="10"/>
          <w:color w:val="auto"/>
        </w:rPr>
        <w:t>2024</w:t>
      </w:r>
      <w:r>
        <w:rPr>
          <w:sz w:val="20"/>
          <w:szCs w:val="20"/>
          <w:color w:val="auto"/>
        </w:rPr>
        <w:tab/>
      </w:r>
      <w:r>
        <w:rPr>
          <w:rFonts w:ascii="Arial" w:cs="Arial" w:eastAsia="Arial" w:hAnsi="Arial"/>
          <w:sz w:val="10"/>
          <w:szCs w:val="10"/>
          <w:b w:val="1"/>
          <w:bCs w:val="1"/>
          <w:color w:val="auto"/>
        </w:rPr>
        <w:t>2025</w:t>
      </w:r>
    </w:p>
    <w:p>
      <w:pPr>
        <w:spacing w:after="0" w:line="200" w:lineRule="exact"/>
        <w:rPr>
          <w:sz w:val="20"/>
          <w:szCs w:val="20"/>
          <w:color w:val="auto"/>
        </w:rPr>
      </w:pPr>
    </w:p>
    <w:p>
      <w:pPr>
        <w:spacing w:after="0" w:line="36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006691"/>
        </w:rPr>
        <w:t>P O W E R</w:t>
      </w:r>
    </w:p>
    <w:p>
      <w:pPr>
        <w:spacing w:after="0" w:line="24" w:lineRule="exact"/>
        <w:rPr>
          <w:sz w:val="20"/>
          <w:szCs w:val="20"/>
          <w:color w:val="auto"/>
        </w:rPr>
      </w:pPr>
    </w:p>
    <w:p>
      <w:pPr>
        <w:ind w:left="260" w:hanging="153"/>
        <w:spacing w:after="0"/>
        <w:tabs>
          <w:tab w:leader="none" w:pos="260" w:val="left"/>
        </w:tabs>
        <w:numPr>
          <w:ilvl w:val="0"/>
          <w:numId w:val="2"/>
        </w:numPr>
        <w:rPr>
          <w:rFonts w:ascii="Arial" w:cs="Arial" w:eastAsia="Arial" w:hAnsi="Arial"/>
          <w:sz w:val="24"/>
          <w:szCs w:val="24"/>
          <w:color w:val="006691"/>
        </w:rPr>
      </w:pPr>
      <w:r>
        <w:rPr>
          <w:rFonts w:ascii="Arial" w:cs="Arial" w:eastAsia="Arial" w:hAnsi="Arial"/>
          <w:sz w:val="15"/>
          <w:szCs w:val="15"/>
          <w:color w:val="auto"/>
        </w:rPr>
        <w:t>Enercon contributed $136.6M to aerospace and defense applications in 2025</w:t>
      </w:r>
    </w:p>
    <w:p>
      <w:pPr>
        <w:spacing w:after="0" w:line="35" w:lineRule="exact"/>
        <w:rPr>
          <w:rFonts w:ascii="Arial" w:cs="Arial" w:eastAsia="Arial" w:hAnsi="Arial"/>
          <w:sz w:val="24"/>
          <w:szCs w:val="24"/>
          <w:color w:val="006691"/>
        </w:rPr>
      </w:pPr>
    </w:p>
    <w:p>
      <w:pPr>
        <w:ind w:left="260" w:hanging="153"/>
        <w:spacing w:after="0" w:line="182" w:lineRule="auto"/>
        <w:tabs>
          <w:tab w:leader="none" w:pos="260" w:val="left"/>
        </w:tabs>
        <w:numPr>
          <w:ilvl w:val="0"/>
          <w:numId w:val="2"/>
        </w:numPr>
        <w:rPr>
          <w:rFonts w:ascii="Arial" w:cs="Arial" w:eastAsia="Arial" w:hAnsi="Arial"/>
          <w:sz w:val="21"/>
          <w:szCs w:val="21"/>
          <w:color w:val="006691"/>
        </w:rPr>
      </w:pPr>
      <w:r>
        <w:rPr>
          <w:rFonts w:ascii="Arial" w:cs="Arial" w:eastAsia="Arial" w:hAnsi="Arial"/>
          <w:sz w:val="14"/>
          <w:szCs w:val="14"/>
          <w:color w:val="auto"/>
        </w:rPr>
        <w:t>Sales of front-end power products into networking applications increased by $18.3M from 2024</w:t>
      </w:r>
    </w:p>
    <w:p>
      <w:pPr>
        <w:spacing w:after="0" w:line="36" w:lineRule="exact"/>
        <w:rPr>
          <w:rFonts w:ascii="Arial" w:cs="Arial" w:eastAsia="Arial" w:hAnsi="Arial"/>
          <w:sz w:val="21"/>
          <w:szCs w:val="21"/>
          <w:color w:val="006691"/>
        </w:rPr>
      </w:pPr>
    </w:p>
    <w:p>
      <w:pPr>
        <w:ind w:left="260" w:hanging="153"/>
        <w:spacing w:after="0" w:line="182" w:lineRule="auto"/>
        <w:tabs>
          <w:tab w:leader="none" w:pos="260" w:val="left"/>
        </w:tabs>
        <w:numPr>
          <w:ilvl w:val="0"/>
          <w:numId w:val="2"/>
        </w:numPr>
        <w:rPr>
          <w:rFonts w:ascii="Arial" w:cs="Arial" w:eastAsia="Arial" w:hAnsi="Arial"/>
          <w:sz w:val="21"/>
          <w:szCs w:val="21"/>
          <w:color w:val="006691"/>
        </w:rPr>
      </w:pPr>
      <w:r>
        <w:rPr>
          <w:rFonts w:ascii="Arial" w:cs="Arial" w:eastAsia="Arial" w:hAnsi="Arial"/>
          <w:sz w:val="14"/>
          <w:szCs w:val="14"/>
          <w:color w:val="auto"/>
        </w:rPr>
        <w:t>Sales of Bel Fuse products increased by $5.6M from 2024</w:t>
      </w:r>
    </w:p>
    <w:p>
      <w:pPr>
        <w:spacing w:after="0" w:line="58" w:lineRule="exact"/>
        <w:rPr>
          <w:rFonts w:ascii="Arial" w:cs="Arial" w:eastAsia="Arial" w:hAnsi="Arial"/>
          <w:sz w:val="21"/>
          <w:szCs w:val="21"/>
          <w:color w:val="006691"/>
        </w:rPr>
      </w:pPr>
    </w:p>
    <w:p>
      <w:pPr>
        <w:ind w:left="260" w:right="440" w:hanging="153"/>
        <w:spacing w:after="0" w:line="204" w:lineRule="auto"/>
        <w:tabs>
          <w:tab w:leader="none" w:pos="260" w:val="left"/>
        </w:tabs>
        <w:numPr>
          <w:ilvl w:val="0"/>
          <w:numId w:val="2"/>
        </w:numPr>
        <w:rPr>
          <w:rFonts w:ascii="Arial" w:cs="Arial" w:eastAsia="Arial" w:hAnsi="Arial"/>
          <w:sz w:val="24"/>
          <w:szCs w:val="24"/>
          <w:color w:val="006691"/>
        </w:rPr>
      </w:pPr>
      <w:r>
        <w:rPr>
          <w:rFonts w:ascii="Arial" w:cs="Arial" w:eastAsia="Arial" w:hAnsi="Arial"/>
          <w:sz w:val="15"/>
          <w:szCs w:val="15"/>
          <w:color w:val="auto"/>
        </w:rPr>
        <w:t>Margin expansion driven by increased sales volume and a favorable product mix toward higher-margin aerospace and defense applications</w:t>
      </w:r>
    </w:p>
    <w:p>
      <w:pPr>
        <w:sectPr>
          <w:pgSz w:w="12240" w:h="15840" w:orient="portrait"/>
          <w:cols w:equalWidth="0" w:num="1">
            <w:col w:w="9720"/>
          </w:cols>
          <w:pgMar w:left="1440" w:top="1190" w:right="1080" w:bottom="66" w:gutter="0" w:footer="0" w:header="0"/>
          <w:type w:val="continuous"/>
        </w:sectPr>
      </w:pPr>
    </w:p>
    <w:p>
      <w:pPr>
        <w:spacing w:after="0" w:line="283" w:lineRule="exact"/>
        <w:rPr>
          <w:sz w:val="20"/>
          <w:szCs w:val="20"/>
          <w:color w:val="auto"/>
        </w:rPr>
      </w:pPr>
    </w:p>
    <w:p>
      <w:pPr>
        <w:ind w:left="300"/>
        <w:spacing w:after="0"/>
        <w:tabs>
          <w:tab w:leader="none" w:pos="3320" w:val="left"/>
        </w:tabs>
        <w:rPr>
          <w:sz w:val="20"/>
          <w:szCs w:val="20"/>
          <w:color w:val="auto"/>
        </w:rPr>
      </w:pPr>
      <w:r>
        <w:rPr>
          <w:rFonts w:ascii="Arial" w:cs="Arial" w:eastAsia="Arial" w:hAnsi="Arial"/>
          <w:sz w:val="11"/>
          <w:szCs w:val="11"/>
          <w:b w:val="1"/>
          <w:bCs w:val="1"/>
          <w:color w:val="auto"/>
        </w:rPr>
        <w:t>END MARKETS (%)</w:t>
      </w:r>
      <w:r>
        <w:rPr>
          <w:sz w:val="20"/>
          <w:szCs w:val="20"/>
          <w:color w:val="auto"/>
        </w:rPr>
        <w:tab/>
      </w:r>
      <w:r>
        <w:rPr>
          <w:rFonts w:ascii="Arial" w:cs="Arial" w:eastAsia="Arial" w:hAnsi="Arial"/>
          <w:sz w:val="11"/>
          <w:szCs w:val="11"/>
          <w:b w:val="1"/>
          <w:bCs w:val="1"/>
          <w:color w:val="auto"/>
        </w:rPr>
        <w:t>GEOGRAPHY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266065</wp:posOffset>
            </wp:positionV>
            <wp:extent cx="104775" cy="104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020" w:type="dxa"/>
            <w:vAlign w:val="bottom"/>
          </w:tcPr>
          <w:p>
            <w:pPr>
              <w:spacing w:after="0"/>
              <w:rPr>
                <w:sz w:val="20"/>
                <w:szCs w:val="20"/>
                <w:color w:val="auto"/>
              </w:rPr>
            </w:pPr>
            <w:r>
              <w:rPr>
                <w:rFonts w:ascii="Arial" w:cs="Arial" w:eastAsia="Arial" w:hAnsi="Arial"/>
                <w:sz w:val="12"/>
                <w:szCs w:val="12"/>
                <w:color w:val="auto"/>
              </w:rPr>
              <w:t>Aerospace/</w:t>
            </w: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rPr>
                <w:sz w:val="20"/>
                <w:szCs w:val="20"/>
                <w:color w:val="auto"/>
              </w:rPr>
            </w:pPr>
            <w:r>
              <w:rPr>
                <w:rFonts w:ascii="Arial" w:cs="Arial" w:eastAsia="Arial" w:hAnsi="Arial"/>
                <w:sz w:val="12"/>
                <w:szCs w:val="12"/>
                <w:color w:val="auto"/>
              </w:rPr>
              <w:t>Defense (38%)</w:t>
            </w: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20" w:type="dxa"/>
            <w:vAlign w:val="bottom"/>
            <w:vMerge w:val="restart"/>
          </w:tcPr>
          <w:p>
            <w:pPr>
              <w:spacing w:after="0"/>
              <w:rPr>
                <w:sz w:val="20"/>
                <w:szCs w:val="20"/>
                <w:color w:val="auto"/>
              </w:rPr>
            </w:pPr>
            <w:r>
              <w:rPr>
                <w:rFonts w:ascii="Arial" w:cs="Arial" w:eastAsia="Arial" w:hAnsi="Arial"/>
                <w:sz w:val="12"/>
                <w:szCs w:val="12"/>
                <w:color w:val="auto"/>
              </w:rPr>
              <w:t>Networking (25%)</w:t>
            </w:r>
          </w:p>
        </w:tc>
        <w:tc>
          <w:tcPr>
            <w:tcW w:w="1880" w:type="dxa"/>
            <w:vAlign w:val="bottom"/>
          </w:tcPr>
          <w:p>
            <w:pPr>
              <w:ind w:left="960"/>
              <w:spacing w:after="0"/>
              <w:rPr>
                <w:sz w:val="20"/>
                <w:szCs w:val="20"/>
                <w:color w:val="auto"/>
              </w:rPr>
            </w:pPr>
            <w:r>
              <w:rPr>
                <w:rFonts w:ascii="Arial" w:cs="Arial" w:eastAsia="Arial" w:hAnsi="Arial"/>
                <w:sz w:val="12"/>
                <w:szCs w:val="12"/>
                <w:color w:val="auto"/>
              </w:rPr>
              <w:t>North</w:t>
            </w:r>
          </w:p>
        </w:tc>
        <w:tc>
          <w:tcPr>
            <w:tcW w:w="0" w:type="dxa"/>
            <w:vAlign w:val="bottom"/>
          </w:tcPr>
          <w:p>
            <w:pPr>
              <w:spacing w:after="0"/>
              <w:rPr>
                <w:sz w:val="1"/>
                <w:szCs w:val="1"/>
                <w:color w:val="auto"/>
              </w:rPr>
            </w:pPr>
          </w:p>
        </w:tc>
      </w:tr>
      <w:tr>
        <w:trPr>
          <w:trHeight w:val="50"/>
        </w:trPr>
        <w:tc>
          <w:tcPr>
            <w:tcW w:w="2020" w:type="dxa"/>
            <w:vAlign w:val="bottom"/>
            <w:vMerge w:val="continue"/>
          </w:tcPr>
          <w:p>
            <w:pPr>
              <w:spacing w:after="0"/>
              <w:rPr>
                <w:sz w:val="4"/>
                <w:szCs w:val="4"/>
                <w:color w:val="auto"/>
              </w:rPr>
            </w:pPr>
          </w:p>
        </w:tc>
        <w:tc>
          <w:tcPr>
            <w:tcW w:w="1880" w:type="dxa"/>
            <w:vAlign w:val="bottom"/>
            <w:vMerge w:val="restart"/>
          </w:tcPr>
          <w:p>
            <w:pPr>
              <w:ind w:left="960"/>
              <w:spacing w:after="0"/>
              <w:rPr>
                <w:sz w:val="20"/>
                <w:szCs w:val="20"/>
                <w:color w:val="auto"/>
              </w:rPr>
            </w:pPr>
            <w:r>
              <w:rPr>
                <w:rFonts w:ascii="Arial" w:cs="Arial" w:eastAsia="Arial" w:hAnsi="Arial"/>
                <w:sz w:val="12"/>
                <w:szCs w:val="12"/>
                <w:color w:val="auto"/>
              </w:rPr>
              <w:t>America (64%)</w:t>
            </w:r>
          </w:p>
        </w:tc>
        <w:tc>
          <w:tcPr>
            <w:tcW w:w="0" w:type="dxa"/>
            <w:vAlign w:val="bottom"/>
          </w:tcPr>
          <w:p>
            <w:pPr>
              <w:spacing w:after="0"/>
              <w:rPr>
                <w:sz w:val="1"/>
                <w:szCs w:val="1"/>
                <w:color w:val="auto"/>
              </w:rPr>
            </w:pPr>
          </w:p>
        </w:tc>
      </w:tr>
      <w:tr>
        <w:trPr>
          <w:trHeight w:val="94"/>
        </w:trPr>
        <w:tc>
          <w:tcPr>
            <w:tcW w:w="2020" w:type="dxa"/>
            <w:vAlign w:val="bottom"/>
            <w:vMerge w:val="restart"/>
          </w:tcPr>
          <w:p>
            <w:pPr>
              <w:spacing w:after="0"/>
              <w:rPr>
                <w:sz w:val="20"/>
                <w:szCs w:val="20"/>
                <w:color w:val="auto"/>
              </w:rPr>
            </w:pPr>
            <w:r>
              <w:rPr>
                <w:rFonts w:ascii="Arial" w:cs="Arial" w:eastAsia="Arial" w:hAnsi="Arial"/>
                <w:sz w:val="12"/>
                <w:szCs w:val="12"/>
                <w:color w:val="auto"/>
              </w:rPr>
              <w:t>Distribution (21%)</w:t>
            </w:r>
          </w:p>
        </w:tc>
        <w:tc>
          <w:tcPr>
            <w:tcW w:w="1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20" w:type="dxa"/>
            <w:vAlign w:val="bottom"/>
            <w:vMerge w:val="continue"/>
          </w:tcPr>
          <w:p>
            <w:pPr>
              <w:spacing w:after="0"/>
              <w:rPr>
                <w:sz w:val="10"/>
                <w:szCs w:val="10"/>
                <w:color w:val="auto"/>
              </w:rPr>
            </w:pPr>
          </w:p>
        </w:tc>
        <w:tc>
          <w:tcPr>
            <w:tcW w:w="1880" w:type="dxa"/>
            <w:vAlign w:val="bottom"/>
            <w:vMerge w:val="restart"/>
          </w:tcPr>
          <w:p>
            <w:pPr>
              <w:ind w:left="960"/>
              <w:spacing w:after="0"/>
              <w:rPr>
                <w:sz w:val="20"/>
                <w:szCs w:val="20"/>
                <w:color w:val="auto"/>
              </w:rPr>
            </w:pPr>
            <w:r>
              <w:rPr>
                <w:rFonts w:ascii="Arial" w:cs="Arial" w:eastAsia="Arial" w:hAnsi="Arial"/>
                <w:sz w:val="12"/>
                <w:szCs w:val="12"/>
                <w:color w:val="auto"/>
              </w:rPr>
              <w:t>APAC (20%)</w:t>
            </w:r>
          </w:p>
        </w:tc>
        <w:tc>
          <w:tcPr>
            <w:tcW w:w="0" w:type="dxa"/>
            <w:vAlign w:val="bottom"/>
          </w:tcPr>
          <w:p>
            <w:pPr>
              <w:spacing w:after="0"/>
              <w:rPr>
                <w:sz w:val="1"/>
                <w:szCs w:val="1"/>
                <w:color w:val="auto"/>
              </w:rPr>
            </w:pPr>
          </w:p>
        </w:tc>
      </w:tr>
      <w:tr>
        <w:trPr>
          <w:trHeight w:val="94"/>
        </w:trPr>
        <w:tc>
          <w:tcPr>
            <w:tcW w:w="2020" w:type="dxa"/>
            <w:vAlign w:val="bottom"/>
            <w:vMerge w:val="restart"/>
          </w:tcPr>
          <w:p>
            <w:pPr>
              <w:spacing w:after="0"/>
              <w:rPr>
                <w:sz w:val="20"/>
                <w:szCs w:val="20"/>
                <w:color w:val="auto"/>
              </w:rPr>
            </w:pPr>
            <w:r>
              <w:rPr>
                <w:rFonts w:ascii="Arial" w:cs="Arial" w:eastAsia="Arial" w:hAnsi="Arial"/>
                <w:sz w:val="12"/>
                <w:szCs w:val="12"/>
                <w:color w:val="auto"/>
              </w:rPr>
              <w:t>Rail (9%)</w:t>
            </w:r>
          </w:p>
        </w:tc>
        <w:tc>
          <w:tcPr>
            <w:tcW w:w="1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20" w:type="dxa"/>
            <w:vAlign w:val="bottom"/>
            <w:vMerge w:val="continue"/>
          </w:tcPr>
          <w:p>
            <w:pPr>
              <w:spacing w:after="0"/>
              <w:rPr>
                <w:sz w:val="10"/>
                <w:szCs w:val="10"/>
                <w:color w:val="auto"/>
              </w:rPr>
            </w:pPr>
          </w:p>
        </w:tc>
        <w:tc>
          <w:tcPr>
            <w:tcW w:w="1880" w:type="dxa"/>
            <w:vAlign w:val="bottom"/>
            <w:vMerge w:val="restart"/>
          </w:tcPr>
          <w:p>
            <w:pPr>
              <w:ind w:left="960"/>
              <w:spacing w:after="0"/>
              <w:rPr>
                <w:sz w:val="20"/>
                <w:szCs w:val="20"/>
                <w:color w:val="auto"/>
              </w:rPr>
            </w:pPr>
            <w:r>
              <w:rPr>
                <w:rFonts w:ascii="Arial" w:cs="Arial" w:eastAsia="Arial" w:hAnsi="Arial"/>
                <w:sz w:val="12"/>
                <w:szCs w:val="12"/>
                <w:color w:val="auto"/>
              </w:rPr>
              <w:t>EMEA (16%)</w:t>
            </w:r>
          </w:p>
        </w:tc>
        <w:tc>
          <w:tcPr>
            <w:tcW w:w="0" w:type="dxa"/>
            <w:vAlign w:val="bottom"/>
          </w:tcPr>
          <w:p>
            <w:pPr>
              <w:spacing w:after="0"/>
              <w:rPr>
                <w:sz w:val="1"/>
                <w:szCs w:val="1"/>
                <w:color w:val="auto"/>
              </w:rPr>
            </w:pPr>
          </w:p>
        </w:tc>
      </w:tr>
      <w:tr>
        <w:trPr>
          <w:trHeight w:val="94"/>
        </w:trPr>
        <w:tc>
          <w:tcPr>
            <w:tcW w:w="2020" w:type="dxa"/>
            <w:vAlign w:val="bottom"/>
            <w:vMerge w:val="restart"/>
          </w:tcPr>
          <w:p>
            <w:pPr>
              <w:spacing w:after="0"/>
              <w:rPr>
                <w:sz w:val="20"/>
                <w:szCs w:val="20"/>
                <w:color w:val="auto"/>
              </w:rPr>
            </w:pPr>
            <w:r>
              <w:rPr>
                <w:rFonts w:ascii="Arial" w:cs="Arial" w:eastAsia="Arial" w:hAnsi="Arial"/>
                <w:sz w:val="12"/>
                <w:szCs w:val="12"/>
                <w:color w:val="auto"/>
              </w:rPr>
              <w:t>Industrial (4%)</w:t>
            </w:r>
          </w:p>
        </w:tc>
        <w:tc>
          <w:tcPr>
            <w:tcW w:w="1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2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-708660</wp:posOffset>
            </wp:positionV>
            <wp:extent cx="2811780" cy="775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11780" cy="77533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-708660</wp:posOffset>
            </wp:positionV>
            <wp:extent cx="2811780" cy="775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11780" cy="775335"/>
                    </a:xfrm>
                    <a:prstGeom prst="rect">
                      <a:avLst/>
                    </a:prstGeom>
                    <a:noFill/>
                  </pic:spPr>
                </pic:pic>
              </a:graphicData>
            </a:graphic>
          </wp:anchor>
        </w:drawing>
      </w:r>
    </w:p>
    <w:p>
      <w:pPr>
        <w:spacing w:after="0" w:line="27" w:lineRule="exact"/>
        <w:rPr>
          <w:sz w:val="20"/>
          <w:szCs w:val="20"/>
          <w:color w:val="auto"/>
        </w:rPr>
      </w:pPr>
    </w:p>
    <w:p>
      <w:pPr>
        <w:ind w:left="1520"/>
        <w:spacing w:after="0"/>
        <w:rPr>
          <w:sz w:val="20"/>
          <w:szCs w:val="20"/>
          <w:color w:val="auto"/>
        </w:rPr>
      </w:pPr>
      <w:r>
        <w:rPr>
          <w:sz w:val="1"/>
          <w:szCs w:val="1"/>
          <w:color w:val="auto"/>
        </w:rPr>
        <w:drawing>
          <wp:inline distT="0" distB="0" distL="0" distR="0">
            <wp:extent cx="104775" cy="1047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r>
      <w:r>
        <w:rPr>
          <w:rFonts w:ascii="Arial" w:cs="Arial" w:eastAsia="Arial" w:hAnsi="Arial"/>
          <w:sz w:val="12"/>
          <w:szCs w:val="12"/>
          <w:color w:val="auto"/>
        </w:rPr>
        <w:t xml:space="preserve"> e-Mobility (3%)</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800" w:type="dxa"/>
            <w:vAlign w:val="bottom"/>
            <w:gridSpan w:val="3"/>
          </w:tcPr>
          <w:p>
            <w:pPr>
              <w:jc w:val="center"/>
              <w:ind w:right="265"/>
              <w:spacing w:after="0"/>
              <w:rPr>
                <w:sz w:val="20"/>
                <w:szCs w:val="20"/>
                <w:color w:val="auto"/>
              </w:rPr>
            </w:pPr>
            <w:r>
              <w:rPr>
                <w:rFonts w:ascii="Arial" w:cs="Arial" w:eastAsia="Arial" w:hAnsi="Arial"/>
                <w:sz w:val="11"/>
                <w:szCs w:val="11"/>
                <w:b w:val="1"/>
                <w:bCs w:val="1"/>
                <w:color w:val="auto"/>
              </w:rPr>
              <w:t>SALES ($ IN THOUSANDS)</w:t>
            </w:r>
          </w:p>
        </w:tc>
        <w:tc>
          <w:tcPr>
            <w:tcW w:w="1680" w:type="dxa"/>
            <w:vAlign w:val="bottom"/>
            <w:gridSpan w:val="3"/>
          </w:tcPr>
          <w:p>
            <w:pPr>
              <w:ind w:left="400"/>
              <w:spacing w:after="0"/>
              <w:rPr>
                <w:sz w:val="20"/>
                <w:szCs w:val="20"/>
                <w:color w:val="auto"/>
              </w:rPr>
            </w:pPr>
            <w:r>
              <w:rPr>
                <w:rFonts w:ascii="Arial" w:cs="Arial" w:eastAsia="Arial" w:hAnsi="Arial"/>
                <w:sz w:val="11"/>
                <w:szCs w:val="11"/>
                <w:b w:val="1"/>
                <w:bCs w:val="1"/>
                <w:color w:val="auto"/>
              </w:rPr>
              <w:t>GROSS MARGIN (%)</w:t>
            </w:r>
          </w:p>
        </w:tc>
      </w:tr>
      <w:tr>
        <w:trPr>
          <w:trHeight w:val="1342"/>
        </w:trPr>
        <w:tc>
          <w:tcPr>
            <w:tcW w:w="460" w:type="dxa"/>
            <w:vAlign w:val="bottom"/>
            <w:textDirection w:val="btLr"/>
          </w:tcPr>
          <w:p>
            <w:pPr>
              <w:ind w:right="157"/>
              <w:spacing w:after="0"/>
              <w:rPr>
                <w:sz w:val="20"/>
                <w:szCs w:val="20"/>
                <w:color w:val="auto"/>
              </w:rPr>
            </w:pPr>
            <w:r>
              <w:rPr>
                <w:rFonts w:ascii="Arial" w:cs="Arial" w:eastAsia="Arial" w:hAnsi="Arial"/>
                <w:sz w:val="12"/>
                <w:szCs w:val="12"/>
                <w:color w:val="FFFFFF"/>
              </w:rPr>
              <w:t>$314,105</w:t>
            </w:r>
          </w:p>
        </w:tc>
        <w:tc>
          <w:tcPr>
            <w:tcW w:w="560" w:type="dxa"/>
            <w:vAlign w:val="bottom"/>
            <w:textDirection w:val="btLr"/>
          </w:tcPr>
          <w:p>
            <w:pPr>
              <w:spacing w:after="0"/>
              <w:rPr>
                <w:sz w:val="20"/>
                <w:szCs w:val="20"/>
                <w:color w:val="auto"/>
              </w:rPr>
            </w:pPr>
            <w:r>
              <w:rPr>
                <w:rFonts w:ascii="Arial" w:cs="Arial" w:eastAsia="Arial" w:hAnsi="Arial"/>
                <w:sz w:val="12"/>
                <w:szCs w:val="12"/>
                <w:color w:val="FFFFFF"/>
              </w:rPr>
              <w:t>$245,551</w:t>
            </w:r>
          </w:p>
        </w:tc>
        <w:tc>
          <w:tcPr>
            <w:tcW w:w="780" w:type="dxa"/>
            <w:vAlign w:val="bottom"/>
            <w:textDirection w:val="btLr"/>
          </w:tcPr>
          <w:p>
            <w:pPr>
              <w:ind w:right="397"/>
              <w:spacing w:after="0" w:line="230" w:lineRule="auto"/>
              <w:rPr>
                <w:sz w:val="20"/>
                <w:szCs w:val="20"/>
                <w:color w:val="auto"/>
              </w:rPr>
            </w:pPr>
            <w:r>
              <w:rPr>
                <w:rFonts w:ascii="Arial" w:cs="Arial" w:eastAsia="Arial" w:hAnsi="Arial"/>
                <w:sz w:val="12"/>
                <w:szCs w:val="12"/>
                <w:b w:val="1"/>
                <w:bCs w:val="1"/>
                <w:color w:val="FFFFFF"/>
              </w:rPr>
              <w:t>$356,805</w:t>
            </w:r>
          </w:p>
        </w:tc>
        <w:tc>
          <w:tcPr>
            <w:tcW w:w="720" w:type="dxa"/>
            <w:vAlign w:val="bottom"/>
            <w:textDirection w:val="btLr"/>
          </w:tcPr>
          <w:p>
            <w:pPr>
              <w:ind w:right="158"/>
              <w:spacing w:after="0"/>
              <w:rPr>
                <w:sz w:val="20"/>
                <w:szCs w:val="20"/>
                <w:color w:val="auto"/>
              </w:rPr>
            </w:pPr>
            <w:r>
              <w:rPr>
                <w:rFonts w:ascii="Arial" w:cs="Arial" w:eastAsia="Arial" w:hAnsi="Arial"/>
                <w:sz w:val="12"/>
                <w:szCs w:val="12"/>
                <w:color w:val="FFFFFF"/>
                <w:w w:val="93"/>
              </w:rPr>
              <w:t>1%38.</w:t>
            </w:r>
          </w:p>
        </w:tc>
        <w:tc>
          <w:tcPr>
            <w:tcW w:w="560" w:type="dxa"/>
            <w:vAlign w:val="bottom"/>
            <w:textDirection w:val="btLr"/>
          </w:tcPr>
          <w:p>
            <w:pPr>
              <w:ind w:right="159"/>
              <w:spacing w:after="0"/>
              <w:rPr>
                <w:sz w:val="20"/>
                <w:szCs w:val="20"/>
                <w:color w:val="auto"/>
              </w:rPr>
            </w:pPr>
            <w:r>
              <w:rPr>
                <w:rFonts w:ascii="Arial" w:cs="Arial" w:eastAsia="Arial" w:hAnsi="Arial"/>
                <w:sz w:val="12"/>
                <w:szCs w:val="12"/>
                <w:color w:val="FFFFFF"/>
              </w:rPr>
              <w:t>42.4%</w:t>
            </w:r>
          </w:p>
        </w:tc>
        <w:tc>
          <w:tcPr>
            <w:tcW w:w="400" w:type="dxa"/>
            <w:vAlign w:val="bottom"/>
            <w:textDirection w:val="btLr"/>
          </w:tcPr>
          <w:p>
            <w:pPr>
              <w:ind w:right="18"/>
              <w:spacing w:after="0" w:line="230" w:lineRule="auto"/>
              <w:rPr>
                <w:sz w:val="20"/>
                <w:szCs w:val="20"/>
                <w:color w:val="auto"/>
              </w:rPr>
            </w:pPr>
            <w:r>
              <w:rPr>
                <w:rFonts w:ascii="Arial" w:cs="Arial" w:eastAsia="Arial" w:hAnsi="Arial"/>
                <w:sz w:val="12"/>
                <w:szCs w:val="12"/>
                <w:b w:val="1"/>
                <w:bCs w:val="1"/>
                <w:color w:val="FFFFFF"/>
              </w:rPr>
              <w:t>42.7%</w:t>
            </w:r>
          </w:p>
        </w:tc>
      </w:tr>
      <w:tr>
        <w:trPr>
          <w:trHeight w:val="568"/>
        </w:trPr>
        <w:tc>
          <w:tcPr>
            <w:tcW w:w="460" w:type="dxa"/>
            <w:vAlign w:val="bottom"/>
          </w:tcPr>
          <w:p>
            <w:pPr>
              <w:jc w:val="right"/>
              <w:ind w:right="86"/>
              <w:spacing w:after="0"/>
              <w:rPr>
                <w:sz w:val="20"/>
                <w:szCs w:val="20"/>
                <w:color w:val="auto"/>
              </w:rPr>
            </w:pPr>
            <w:r>
              <w:rPr>
                <w:rFonts w:ascii="Arial" w:cs="Arial" w:eastAsia="Arial" w:hAnsi="Arial"/>
                <w:sz w:val="10"/>
                <w:szCs w:val="10"/>
                <w:color w:val="auto"/>
              </w:rPr>
              <w:t>2023</w:t>
            </w:r>
          </w:p>
        </w:tc>
        <w:tc>
          <w:tcPr>
            <w:tcW w:w="560" w:type="dxa"/>
            <w:vAlign w:val="bottom"/>
          </w:tcPr>
          <w:p>
            <w:pPr>
              <w:jc w:val="center"/>
              <w:spacing w:after="0"/>
              <w:rPr>
                <w:sz w:val="20"/>
                <w:szCs w:val="20"/>
                <w:color w:val="auto"/>
              </w:rPr>
            </w:pPr>
            <w:r>
              <w:rPr>
                <w:rFonts w:ascii="Arial" w:cs="Arial" w:eastAsia="Arial" w:hAnsi="Arial"/>
                <w:sz w:val="10"/>
                <w:szCs w:val="10"/>
                <w:color w:val="auto"/>
              </w:rPr>
              <w:t>2024</w:t>
            </w:r>
          </w:p>
        </w:tc>
        <w:tc>
          <w:tcPr>
            <w:tcW w:w="780" w:type="dxa"/>
            <w:vAlign w:val="bottom"/>
          </w:tcPr>
          <w:p>
            <w:pPr>
              <w:jc w:val="right"/>
              <w:ind w:right="325"/>
              <w:spacing w:after="0"/>
              <w:rPr>
                <w:sz w:val="20"/>
                <w:szCs w:val="20"/>
                <w:color w:val="auto"/>
              </w:rPr>
            </w:pPr>
            <w:r>
              <w:rPr>
                <w:rFonts w:ascii="Arial" w:cs="Arial" w:eastAsia="Arial" w:hAnsi="Arial"/>
                <w:sz w:val="10"/>
                <w:szCs w:val="10"/>
                <w:b w:val="1"/>
                <w:bCs w:val="1"/>
                <w:color w:val="auto"/>
              </w:rPr>
              <w:t>2025</w:t>
            </w:r>
          </w:p>
        </w:tc>
        <w:tc>
          <w:tcPr>
            <w:tcW w:w="720" w:type="dxa"/>
            <w:vAlign w:val="bottom"/>
          </w:tcPr>
          <w:p>
            <w:pPr>
              <w:jc w:val="right"/>
              <w:ind w:right="86"/>
              <w:spacing w:after="0"/>
              <w:rPr>
                <w:sz w:val="20"/>
                <w:szCs w:val="20"/>
                <w:color w:val="auto"/>
              </w:rPr>
            </w:pPr>
            <w:r>
              <w:rPr>
                <w:rFonts w:ascii="Arial" w:cs="Arial" w:eastAsia="Arial" w:hAnsi="Arial"/>
                <w:sz w:val="10"/>
                <w:szCs w:val="10"/>
                <w:color w:val="auto"/>
              </w:rPr>
              <w:t>2023</w:t>
            </w:r>
          </w:p>
        </w:tc>
        <w:tc>
          <w:tcPr>
            <w:tcW w:w="560" w:type="dxa"/>
            <w:vAlign w:val="bottom"/>
          </w:tcPr>
          <w:p>
            <w:pPr>
              <w:jc w:val="right"/>
              <w:ind w:right="105"/>
              <w:spacing w:after="0"/>
              <w:rPr>
                <w:sz w:val="20"/>
                <w:szCs w:val="20"/>
                <w:color w:val="auto"/>
              </w:rPr>
            </w:pPr>
            <w:r>
              <w:rPr>
                <w:rFonts w:ascii="Arial" w:cs="Arial" w:eastAsia="Arial" w:hAnsi="Arial"/>
                <w:sz w:val="10"/>
                <w:szCs w:val="10"/>
                <w:color w:val="auto"/>
              </w:rPr>
              <w:t>2024</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-1093470</wp:posOffset>
            </wp:positionV>
            <wp:extent cx="2273935" cy="956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73935" cy="95631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5640" w:space="520"/>
            <w:col w:w="3560"/>
          </w:cols>
          <w:pgMar w:left="1440" w:top="1190" w:right="1080" w:bottom="66"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006691"/>
        </w:rPr>
        <w:t>M A G N E T I C S</w:t>
      </w:r>
    </w:p>
    <w:p>
      <w:pPr>
        <w:spacing w:after="0" w:line="54" w:lineRule="exact"/>
        <w:rPr>
          <w:sz w:val="20"/>
          <w:szCs w:val="20"/>
          <w:color w:val="auto"/>
        </w:rPr>
      </w:pPr>
    </w:p>
    <w:p>
      <w:pPr>
        <w:ind w:left="260" w:hanging="153"/>
        <w:spacing w:after="0"/>
        <w:tabs>
          <w:tab w:leader="none" w:pos="260" w:val="left"/>
        </w:tabs>
        <w:numPr>
          <w:ilvl w:val="0"/>
          <w:numId w:val="3"/>
        </w:numPr>
        <w:rPr>
          <w:rFonts w:ascii="Arial" w:cs="Arial" w:eastAsia="Arial" w:hAnsi="Arial"/>
          <w:sz w:val="24"/>
          <w:szCs w:val="24"/>
          <w:color w:val="006691"/>
        </w:rPr>
      </w:pPr>
      <w:r>
        <w:rPr>
          <w:rFonts w:ascii="Arial" w:cs="Arial" w:eastAsia="Arial" w:hAnsi="Arial"/>
          <w:sz w:val="15"/>
          <w:szCs w:val="15"/>
          <w:color w:val="auto"/>
        </w:rPr>
        <w:t>Magnetic sales increased 25%, or $17.5M, from 2024, driven by higher demand from networking customers</w:t>
      </w:r>
    </w:p>
    <w:p>
      <w:pPr>
        <w:spacing w:after="0" w:line="36" w:lineRule="exact"/>
        <w:rPr>
          <w:rFonts w:ascii="Arial" w:cs="Arial" w:eastAsia="Arial" w:hAnsi="Arial"/>
          <w:sz w:val="24"/>
          <w:szCs w:val="24"/>
          <w:color w:val="006691"/>
        </w:rPr>
      </w:pPr>
    </w:p>
    <w:p>
      <w:pPr>
        <w:ind w:left="260" w:hanging="153"/>
        <w:spacing w:after="0" w:line="185" w:lineRule="auto"/>
        <w:tabs>
          <w:tab w:leader="none" w:pos="260" w:val="left"/>
        </w:tabs>
        <w:numPr>
          <w:ilvl w:val="0"/>
          <w:numId w:val="3"/>
        </w:numPr>
        <w:rPr>
          <w:rFonts w:ascii="Arial" w:cs="Arial" w:eastAsia="Arial" w:hAnsi="Arial"/>
          <w:sz w:val="24"/>
          <w:szCs w:val="24"/>
          <w:color w:val="006691"/>
        </w:rPr>
      </w:pPr>
      <w:r>
        <w:rPr>
          <w:rFonts w:ascii="Arial" w:cs="Arial" w:eastAsia="Arial" w:hAnsi="Arial"/>
          <w:sz w:val="15"/>
          <w:szCs w:val="15"/>
          <w:color w:val="auto"/>
        </w:rPr>
        <w:t>Margin expansion due to higher sales, recent facility consolidations, and effective cost management</w:t>
      </w:r>
    </w:p>
    <w:p>
      <w:pPr>
        <w:sectPr>
          <w:pgSz w:w="12240" w:h="15840" w:orient="portrait"/>
          <w:cols w:equalWidth="0" w:num="1">
            <w:col w:w="9720"/>
          </w:cols>
          <w:pgMar w:left="1440" w:top="1190" w:right="1080" w:bottom="66" w:gutter="0" w:footer="0" w:header="0"/>
          <w:type w:val="continuous"/>
        </w:sectPr>
      </w:pPr>
    </w:p>
    <w:p>
      <w:pPr>
        <w:spacing w:after="0" w:line="280" w:lineRule="exact"/>
        <w:rPr>
          <w:sz w:val="20"/>
          <w:szCs w:val="20"/>
          <w:color w:val="auto"/>
        </w:rPr>
      </w:pPr>
    </w:p>
    <w:p>
      <w:pPr>
        <w:ind w:left="300"/>
        <w:spacing w:after="0"/>
        <w:tabs>
          <w:tab w:leader="none" w:pos="3320" w:val="left"/>
        </w:tabs>
        <w:rPr>
          <w:sz w:val="20"/>
          <w:szCs w:val="20"/>
          <w:color w:val="auto"/>
        </w:rPr>
      </w:pPr>
      <w:r>
        <w:rPr>
          <w:rFonts w:ascii="Arial" w:cs="Arial" w:eastAsia="Arial" w:hAnsi="Arial"/>
          <w:sz w:val="11"/>
          <w:szCs w:val="11"/>
          <w:b w:val="1"/>
          <w:bCs w:val="1"/>
          <w:color w:val="auto"/>
        </w:rPr>
        <w:t>END MARKETS (%)</w:t>
      </w:r>
      <w:r>
        <w:rPr>
          <w:sz w:val="20"/>
          <w:szCs w:val="20"/>
          <w:color w:val="auto"/>
        </w:rPr>
        <w:tab/>
      </w:r>
      <w:r>
        <w:rPr>
          <w:rFonts w:ascii="Arial" w:cs="Arial" w:eastAsia="Arial" w:hAnsi="Arial"/>
          <w:sz w:val="11"/>
          <w:szCs w:val="11"/>
          <w:b w:val="1"/>
          <w:bCs w:val="1"/>
          <w:color w:val="auto"/>
        </w:rPr>
        <w:t>GEOGRAPHY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297180</wp:posOffset>
            </wp:positionV>
            <wp:extent cx="2798445" cy="775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8445" cy="775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720"/>
        <w:spacing w:after="0"/>
        <w:rPr>
          <w:sz w:val="20"/>
          <w:szCs w:val="20"/>
          <w:color w:val="auto"/>
        </w:rPr>
      </w:pPr>
      <w:r>
        <w:rPr>
          <w:rFonts w:ascii="Arial" w:cs="Arial" w:eastAsia="Arial" w:hAnsi="Arial"/>
          <w:sz w:val="12"/>
          <w:szCs w:val="12"/>
          <w:color w:val="auto"/>
        </w:rPr>
        <w:t>APAC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-22860</wp:posOffset>
            </wp:positionV>
            <wp:extent cx="104775" cy="104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ind w:left="1740"/>
        <w:spacing w:after="0" w:line="197" w:lineRule="auto"/>
        <w:rPr>
          <w:sz w:val="20"/>
          <w:szCs w:val="20"/>
          <w:color w:val="auto"/>
        </w:rPr>
      </w:pPr>
      <w:r>
        <w:rPr>
          <w:rFonts w:ascii="Arial" w:cs="Arial" w:eastAsia="Arial" w:hAnsi="Arial"/>
          <w:sz w:val="12"/>
          <w:szCs w:val="12"/>
          <w:color w:val="auto"/>
        </w:rPr>
        <w:t>Networking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-16510</wp:posOffset>
            </wp:positionV>
            <wp:extent cx="104775" cy="104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tbl>
      <w:tblPr>
        <w:tblLayout w:type="fixed"/>
        <w:tblInd w:w="1740" w:type="dxa"/>
        <w:tblCellMar>
          <w:top w:w="0" w:type="dxa"/>
          <w:left w:w="0" w:type="dxa"/>
          <w:bottom w:w="0" w:type="dxa"/>
          <w:right w:w="0" w:type="dxa"/>
        </w:tblCellMar>
      </w:tblPr>
      <w:tr>
        <w:trPr>
          <w:trHeight w:val="127"/>
        </w:trPr>
        <w:tc>
          <w:tcPr>
            <w:tcW w:w="2040" w:type="dxa"/>
            <w:vAlign w:val="bottom"/>
            <w:vMerge w:val="restart"/>
          </w:tcPr>
          <w:p>
            <w:pPr>
              <w:spacing w:after="0"/>
              <w:rPr>
                <w:sz w:val="20"/>
                <w:szCs w:val="20"/>
                <w:color w:val="auto"/>
              </w:rPr>
            </w:pPr>
            <w:r>
              <w:rPr>
                <w:rFonts w:ascii="Arial" w:cs="Arial" w:eastAsia="Arial" w:hAnsi="Arial"/>
                <w:sz w:val="12"/>
                <w:szCs w:val="12"/>
                <w:color w:val="auto"/>
              </w:rPr>
              <w:t>Distribution (26%)</w:t>
            </w:r>
          </w:p>
        </w:tc>
        <w:tc>
          <w:tcPr>
            <w:tcW w:w="1820" w:type="dxa"/>
            <w:vAlign w:val="bottom"/>
          </w:tcPr>
          <w:p>
            <w:pPr>
              <w:ind w:left="940"/>
              <w:spacing w:after="0" w:line="127" w:lineRule="exact"/>
              <w:rPr>
                <w:sz w:val="20"/>
                <w:szCs w:val="20"/>
                <w:color w:val="auto"/>
              </w:rPr>
            </w:pPr>
            <w:r>
              <w:rPr>
                <w:rFonts w:ascii="Arial" w:cs="Arial" w:eastAsia="Arial" w:hAnsi="Arial"/>
                <w:sz w:val="12"/>
                <w:szCs w:val="12"/>
                <w:color w:val="auto"/>
              </w:rPr>
              <w:t>North</w:t>
            </w: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1820" w:type="dxa"/>
            <w:vAlign w:val="bottom"/>
            <w:vMerge w:val="restart"/>
          </w:tcPr>
          <w:p>
            <w:pPr>
              <w:ind w:left="940"/>
              <w:spacing w:after="0"/>
              <w:rPr>
                <w:sz w:val="20"/>
                <w:szCs w:val="20"/>
                <w:color w:val="auto"/>
              </w:rPr>
            </w:pPr>
            <w:r>
              <w:rPr>
                <w:rFonts w:ascii="Arial" w:cs="Arial" w:eastAsia="Arial" w:hAnsi="Arial"/>
                <w:sz w:val="12"/>
                <w:szCs w:val="12"/>
                <w:color w:val="auto"/>
              </w:rPr>
              <w:t>America (42%)</w:t>
            </w: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Arial" w:cs="Arial" w:eastAsia="Arial" w:hAnsi="Arial"/>
                <w:sz w:val="12"/>
                <w:szCs w:val="12"/>
                <w:color w:val="auto"/>
              </w:rPr>
              <w:t>Industrial (23%)</w:t>
            </w:r>
          </w:p>
        </w:tc>
        <w:tc>
          <w:tcPr>
            <w:tcW w:w="1820" w:type="dxa"/>
            <w:vAlign w:val="bottom"/>
            <w:vMerge w:val="restart"/>
          </w:tcPr>
          <w:p>
            <w:pPr>
              <w:ind w:left="940"/>
              <w:spacing w:after="0"/>
              <w:rPr>
                <w:sz w:val="20"/>
                <w:szCs w:val="20"/>
                <w:color w:val="auto"/>
              </w:rPr>
            </w:pPr>
            <w:r>
              <w:rPr>
                <w:rFonts w:ascii="Arial" w:cs="Arial" w:eastAsia="Arial" w:hAnsi="Arial"/>
                <w:sz w:val="12"/>
                <w:szCs w:val="12"/>
                <w:color w:val="auto"/>
              </w:rPr>
              <w:t>EMEA (4%)</w:t>
            </w: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-262890</wp:posOffset>
            </wp:positionV>
            <wp:extent cx="104775" cy="104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4775" cy="10477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-128905</wp:posOffset>
            </wp:positionV>
            <wp:extent cx="104775" cy="104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775" cy="104775"/>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-99060</wp:posOffset>
            </wp:positionV>
            <wp:extent cx="104775" cy="104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tabs>
          <w:tab w:leader="none" w:pos="2180" w:val="left"/>
        </w:tabs>
        <w:rPr>
          <w:sz w:val="20"/>
          <w:szCs w:val="20"/>
          <w:color w:val="auto"/>
        </w:rPr>
      </w:pPr>
      <w:r>
        <w:rPr>
          <w:rFonts w:ascii="Arial" w:cs="Arial" w:eastAsia="Arial" w:hAnsi="Arial"/>
          <w:sz w:val="11"/>
          <w:szCs w:val="11"/>
          <w:b w:val="1"/>
          <w:bCs w:val="1"/>
          <w:color w:val="auto"/>
        </w:rPr>
        <w:t>SALES ($ IN THOUSANDS)</w:t>
      </w:r>
      <w:r>
        <w:rPr>
          <w:sz w:val="20"/>
          <w:szCs w:val="20"/>
          <w:color w:val="auto"/>
        </w:rPr>
        <w:tab/>
      </w:r>
      <w:r>
        <w:rPr>
          <w:rFonts w:ascii="Arial" w:cs="Arial" w:eastAsia="Arial" w:hAnsi="Arial"/>
          <w:sz w:val="11"/>
          <w:szCs w:val="11"/>
          <w:b w:val="1"/>
          <w:bCs w:val="1"/>
          <w:color w:val="auto"/>
        </w:rPr>
        <w:t>GROSS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121285</wp:posOffset>
            </wp:positionV>
            <wp:extent cx="267335" cy="945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7335" cy="945515"/>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122555</wp:posOffset>
            </wp:positionV>
            <wp:extent cx="620395" cy="944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0395" cy="944880"/>
                    </a:xfrm>
                    <a:prstGeom prst="rect">
                      <a:avLst/>
                    </a:prstGeom>
                    <a:noFill/>
                  </pic:spPr>
                </pic:pic>
              </a:graphicData>
            </a:graphic>
          </wp:anchor>
        </w:drawing>
      </w: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1053"/>
        </w:trPr>
        <w:tc>
          <w:tcPr>
            <w:tcW w:w="320" w:type="dxa"/>
            <w:vAlign w:val="bottom"/>
            <w:textDirection w:val="btLr"/>
          </w:tcPr>
          <w:p>
            <w:pPr>
              <w:ind w:right="151"/>
              <w:spacing w:after="0" w:line="188" w:lineRule="auto"/>
              <w:rPr>
                <w:sz w:val="20"/>
                <w:szCs w:val="20"/>
                <w:color w:val="auto"/>
              </w:rPr>
            </w:pPr>
            <w:r>
              <w:rPr>
                <w:rFonts w:ascii="Arial" w:cs="Arial" w:eastAsia="Arial" w:hAnsi="Arial"/>
                <w:sz w:val="12"/>
                <w:szCs w:val="12"/>
                <w:color w:val="FFFFFF"/>
                <w:w w:val="87"/>
              </w:rPr>
              <w:t>$115,136</w:t>
            </w:r>
          </w:p>
        </w:tc>
        <w:tc>
          <w:tcPr>
            <w:tcW w:w="540" w:type="dxa"/>
            <w:vAlign w:val="bottom"/>
            <w:textDirection w:val="btLr"/>
          </w:tcPr>
          <w:p>
            <w:pPr>
              <w:ind w:right="133"/>
              <w:spacing w:after="0"/>
              <w:rPr>
                <w:sz w:val="20"/>
                <w:szCs w:val="20"/>
                <w:color w:val="auto"/>
              </w:rPr>
            </w:pPr>
            <w:r>
              <w:rPr>
                <w:rFonts w:ascii="Arial" w:cs="Arial" w:eastAsia="Arial" w:hAnsi="Arial"/>
                <w:sz w:val="12"/>
                <w:szCs w:val="12"/>
                <w:color w:val="FFFFFF"/>
              </w:rPr>
              <w:t>$68,871</w:t>
            </w:r>
          </w:p>
        </w:tc>
        <w:tc>
          <w:tcPr>
            <w:tcW w:w="760" w:type="dxa"/>
            <w:vAlign w:val="bottom"/>
            <w:textDirection w:val="btLr"/>
          </w:tcPr>
          <w:p>
            <w:pPr>
              <w:ind w:right="351"/>
              <w:spacing w:after="0" w:line="230" w:lineRule="auto"/>
              <w:rPr>
                <w:sz w:val="20"/>
                <w:szCs w:val="20"/>
                <w:color w:val="auto"/>
              </w:rPr>
            </w:pPr>
            <w:r>
              <w:rPr>
                <w:rFonts w:ascii="Arial" w:cs="Arial" w:eastAsia="Arial" w:hAnsi="Arial"/>
                <w:sz w:val="12"/>
                <w:szCs w:val="12"/>
                <w:b w:val="1"/>
                <w:bCs w:val="1"/>
                <w:color w:val="FFFFFF"/>
              </w:rPr>
              <w:t>$86,364</w:t>
            </w:r>
          </w:p>
        </w:tc>
        <w:tc>
          <w:tcPr>
            <w:tcW w:w="760" w:type="dxa"/>
            <w:vAlign w:val="bottom"/>
            <w:textDirection w:val="btLr"/>
          </w:tcPr>
          <w:p>
            <w:pPr>
              <w:ind w:right="151"/>
              <w:spacing w:after="0"/>
              <w:rPr>
                <w:sz w:val="20"/>
                <w:szCs w:val="20"/>
                <w:color w:val="auto"/>
              </w:rPr>
            </w:pPr>
            <w:r>
              <w:rPr>
                <w:rFonts w:ascii="Arial" w:cs="Arial" w:eastAsia="Arial" w:hAnsi="Arial"/>
                <w:sz w:val="12"/>
                <w:szCs w:val="12"/>
                <w:color w:val="FFFFFF"/>
              </w:rPr>
              <w:t>0%22.</w:t>
            </w:r>
          </w:p>
        </w:tc>
        <w:tc>
          <w:tcPr>
            <w:tcW w:w="540" w:type="dxa"/>
            <w:vAlign w:val="bottom"/>
            <w:textDirection w:val="btLr"/>
          </w:tcPr>
          <w:p>
            <w:pPr>
              <w:ind w:right="133"/>
              <w:spacing w:after="0"/>
              <w:rPr>
                <w:sz w:val="20"/>
                <w:szCs w:val="20"/>
                <w:color w:val="auto"/>
              </w:rPr>
            </w:pPr>
            <w:r>
              <w:rPr>
                <w:rFonts w:ascii="Arial" w:cs="Arial" w:eastAsia="Arial" w:hAnsi="Arial"/>
                <w:sz w:val="12"/>
                <w:szCs w:val="12"/>
                <w:color w:val="FFFFFF"/>
              </w:rPr>
              <w:t>3%25.</w:t>
            </w:r>
          </w:p>
        </w:tc>
        <w:tc>
          <w:tcPr>
            <w:tcW w:w="320" w:type="dxa"/>
            <w:vAlign w:val="bottom"/>
            <w:textDirection w:val="btLr"/>
          </w:tcPr>
          <w:p>
            <w:pPr>
              <w:spacing w:after="0" w:line="183" w:lineRule="auto"/>
              <w:rPr>
                <w:sz w:val="20"/>
                <w:szCs w:val="20"/>
                <w:color w:val="auto"/>
              </w:rPr>
            </w:pPr>
            <w:r>
              <w:rPr>
                <w:rFonts w:ascii="Arial" w:cs="Arial" w:eastAsia="Arial" w:hAnsi="Arial"/>
                <w:sz w:val="12"/>
                <w:szCs w:val="12"/>
                <w:b w:val="1"/>
                <w:bCs w:val="1"/>
                <w:color w:val="FFFFFF"/>
              </w:rPr>
              <w:t>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-527685</wp:posOffset>
            </wp:positionV>
            <wp:extent cx="620395" cy="710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0395" cy="7105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-571500</wp:posOffset>
            </wp:positionV>
            <wp:extent cx="267970" cy="754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7970" cy="754380"/>
                    </a:xfrm>
                    <a:prstGeom prst="rect">
                      <a:avLst/>
                    </a:prstGeom>
                    <a:noFill/>
                  </pic:spPr>
                </pic:pic>
              </a:graphicData>
            </a:graphic>
          </wp:anchor>
        </w:drawing>
      </w:r>
    </w:p>
    <w:p>
      <w:pPr>
        <w:spacing w:after="0" w:line="223" w:lineRule="exact"/>
        <w:rPr>
          <w:sz w:val="20"/>
          <w:szCs w:val="20"/>
          <w:color w:val="auto"/>
        </w:rPr>
      </w:pPr>
    </w:p>
    <w:p>
      <w:pPr>
        <w:sectPr>
          <w:pgSz w:w="12240" w:h="15840" w:orient="portrait"/>
          <w:cols w:equalWidth="0" w:num="2">
            <w:col w:w="5600" w:space="560"/>
            <w:col w:w="3560"/>
          </w:cols>
          <w:pgMar w:left="1440" w:top="1190" w:right="1080" w:bottom="66" w:gutter="0" w:footer="0" w:header="0"/>
          <w:type w:val="continuous"/>
        </w:sectPr>
      </w:pPr>
    </w:p>
    <w:p>
      <w:pPr>
        <w:spacing w:after="0" w:line="155" w:lineRule="exact"/>
        <w:rPr>
          <w:sz w:val="20"/>
          <w:szCs w:val="20"/>
          <w:color w:val="auto"/>
        </w:rPr>
      </w:pPr>
    </w:p>
    <w:p>
      <w:pPr>
        <w:ind w:left="6220"/>
        <w:spacing w:after="0"/>
        <w:tabs>
          <w:tab w:leader="none" w:pos="6740" w:val="left"/>
          <w:tab w:leader="none" w:pos="7300" w:val="left"/>
          <w:tab w:leader="none" w:pos="8260" w:val="left"/>
          <w:tab w:leader="none" w:pos="8800" w:val="left"/>
          <w:tab w:leader="none" w:pos="9360" w:val="left"/>
        </w:tabs>
        <w:rPr>
          <w:sz w:val="20"/>
          <w:szCs w:val="20"/>
          <w:color w:val="auto"/>
        </w:rPr>
      </w:pPr>
      <w:r>
        <w:rPr>
          <w:rFonts w:ascii="Arial" w:cs="Arial" w:eastAsia="Arial" w:hAnsi="Arial"/>
          <w:sz w:val="10"/>
          <w:szCs w:val="10"/>
          <w:color w:val="auto"/>
        </w:rPr>
        <w:t>2023</w:t>
      </w:r>
      <w:r>
        <w:rPr>
          <w:sz w:val="20"/>
          <w:szCs w:val="20"/>
          <w:color w:val="auto"/>
        </w:rPr>
        <w:tab/>
      </w:r>
      <w:r>
        <w:rPr>
          <w:rFonts w:ascii="Arial" w:cs="Arial" w:eastAsia="Arial" w:hAnsi="Arial"/>
          <w:sz w:val="10"/>
          <w:szCs w:val="10"/>
          <w:color w:val="auto"/>
        </w:rPr>
        <w:t>2024</w:t>
      </w:r>
      <w:r>
        <w:rPr>
          <w:sz w:val="20"/>
          <w:szCs w:val="20"/>
          <w:color w:val="auto"/>
        </w:rPr>
        <w:tab/>
      </w:r>
      <w:r>
        <w:rPr>
          <w:rFonts w:ascii="Arial" w:cs="Arial" w:eastAsia="Arial" w:hAnsi="Arial"/>
          <w:sz w:val="10"/>
          <w:szCs w:val="10"/>
          <w:b w:val="1"/>
          <w:bCs w:val="1"/>
          <w:color w:val="auto"/>
        </w:rPr>
        <w:t>2025</w:t>
      </w:r>
      <w:r>
        <w:rPr>
          <w:sz w:val="20"/>
          <w:szCs w:val="20"/>
          <w:color w:val="auto"/>
        </w:rPr>
        <w:tab/>
      </w:r>
      <w:r>
        <w:rPr>
          <w:rFonts w:ascii="Arial" w:cs="Arial" w:eastAsia="Arial" w:hAnsi="Arial"/>
          <w:sz w:val="10"/>
          <w:szCs w:val="10"/>
          <w:color w:val="auto"/>
        </w:rPr>
        <w:t>2023</w:t>
      </w:r>
      <w:r>
        <w:rPr>
          <w:sz w:val="20"/>
          <w:szCs w:val="20"/>
          <w:color w:val="auto"/>
        </w:rPr>
        <w:tab/>
      </w:r>
      <w:r>
        <w:rPr>
          <w:rFonts w:ascii="Arial" w:cs="Arial" w:eastAsia="Arial" w:hAnsi="Arial"/>
          <w:sz w:val="10"/>
          <w:szCs w:val="10"/>
          <w:color w:val="auto"/>
        </w:rPr>
        <w:t>2024</w:t>
      </w:r>
      <w:r>
        <w:rPr>
          <w:sz w:val="20"/>
          <w:szCs w:val="20"/>
          <w:color w:val="auto"/>
        </w:rPr>
        <w:tab/>
      </w:r>
      <w:r>
        <w:rPr>
          <w:rFonts w:ascii="Arial" w:cs="Arial" w:eastAsia="Arial" w:hAnsi="Arial"/>
          <w:sz w:val="10"/>
          <w:szCs w:val="10"/>
          <w:b w:val="1"/>
          <w:bCs w:val="1"/>
          <w:color w:val="auto"/>
        </w:rPr>
        <w:t>2025</w:t>
      </w:r>
    </w:p>
    <w:p>
      <w:pPr>
        <w:sectPr>
          <w:pgSz w:w="12240" w:h="15840" w:orient="portrait"/>
          <w:cols w:equalWidth="0" w:num="1">
            <w:col w:w="9720"/>
          </w:cols>
          <w:pgMar w:left="1440" w:top="1190" w:right="1080" w:bottom="6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660"/>
        <w:spacing w:after="0"/>
        <w:rPr>
          <w:sz w:val="20"/>
          <w:szCs w:val="20"/>
          <w:color w:val="auto"/>
        </w:rPr>
      </w:pPr>
      <w:r>
        <w:rPr>
          <w:rFonts w:ascii="Arial" w:cs="Arial" w:eastAsia="Arial" w:hAnsi="Arial"/>
          <w:sz w:val="10"/>
          <w:szCs w:val="10"/>
          <w:color w:val="0086B7"/>
        </w:rPr>
        <w:t>1</w:t>
      </w:r>
    </w:p>
    <w:p>
      <w:pPr>
        <w:sectPr>
          <w:pgSz w:w="12240" w:h="15840" w:orient="portrait"/>
          <w:cols w:equalWidth="0" w:num="1">
            <w:col w:w="9720"/>
          </w:cols>
          <w:pgMar w:left="1440" w:top="1190" w:right="1080" w:bottom="66" w:gutter="0" w:footer="0" w:header="0"/>
          <w:type w:val="continuous"/>
        </w:sectPr>
      </w:pPr>
    </w:p>
    <w:bookmarkStart w:id="3" w:name="page4"/>
    <w:bookmarkEnd w:id="3"/>
    <w:p>
      <w:pPr>
        <w:spacing w:after="0"/>
        <w:rPr>
          <w:sz w:val="20"/>
          <w:szCs w:val="20"/>
          <w:color w:val="auto"/>
        </w:rPr>
      </w:pPr>
      <w:r>
        <w:rPr>
          <w:rFonts w:ascii="Arial" w:cs="Arial" w:eastAsia="Arial" w:hAnsi="Arial"/>
          <w:sz w:val="20"/>
          <w:szCs w:val="20"/>
          <w:b w:val="1"/>
          <w:bCs w:val="1"/>
          <w:color w:val="auto"/>
        </w:rPr>
        <w:t>D E A R F E L L O W S H A R E H O L D E R 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60"/>
        <w:spacing w:after="0" w:line="444" w:lineRule="auto"/>
        <w:rPr>
          <w:sz w:val="20"/>
          <w:szCs w:val="20"/>
          <w:color w:val="auto"/>
        </w:rPr>
      </w:pPr>
      <w:r>
        <w:rPr>
          <w:rFonts w:ascii="Arial" w:cs="Arial" w:eastAsia="Arial" w:hAnsi="Arial"/>
          <w:sz w:val="19"/>
          <w:szCs w:val="19"/>
          <w:b w:val="1"/>
          <w:bCs w:val="1"/>
          <w:color w:val="00001F"/>
        </w:rPr>
        <w:t>I am truly humbled to address you for the first time as CEO of Bel Fuse after stepping into the role in May 2025. While new to this role, I have been with Bel slightly over five years and it has been an honor to work with and now lead such a dynamic and innovative company with a long history of serving our clients and help them push the boundaries of technology. From my first days, I have been deeply impressed by the dedication, resilience, and ingenuity of our 5,000+ global team, who have made our successes in 2025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-1508760</wp:posOffset>
            </wp:positionV>
            <wp:extent cx="1929130" cy="2114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29130" cy="211455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006691"/>
        </w:rPr>
        <w:t>A Y E A R O F R E C O R D S , C H A N G E A N D G R AT I T U D E</w:t>
      </w:r>
    </w:p>
    <w:p>
      <w:pPr>
        <w:spacing w:after="0" w:line="263" w:lineRule="exact"/>
        <w:rPr>
          <w:sz w:val="20"/>
          <w:szCs w:val="20"/>
          <w:color w:val="auto"/>
        </w:rPr>
      </w:pPr>
    </w:p>
    <w:p>
      <w:pPr>
        <w:ind w:right="2500"/>
        <w:spacing w:after="0" w:line="241" w:lineRule="exact"/>
        <w:rPr>
          <w:sz w:val="20"/>
          <w:szCs w:val="20"/>
          <w:color w:val="auto"/>
        </w:rPr>
      </w:pPr>
      <w:r>
        <w:rPr>
          <w:rFonts w:ascii="Arial" w:cs="Arial" w:eastAsia="Arial" w:hAnsi="Arial"/>
          <w:sz w:val="16"/>
          <w:szCs w:val="16"/>
          <w:color w:val="auto"/>
        </w:rPr>
        <w:t>2025 was a landmark year for Bel thanks to the team that made it look easy GHVSLWH</w:t>
      </w:r>
      <w:r>
        <w:rPr>
          <w:rFonts w:ascii="PMingLiU" w:cs="PMingLiU" w:eastAsia="PMingLiU" w:hAnsi="PMingLiU"/>
          <w:sz w:val="16"/>
          <w:szCs w:val="16"/>
          <w:color w:val="auto"/>
        </w:rPr>
        <w:t/>
      </w:r>
      <w:r>
        <w:rPr>
          <w:rFonts w:ascii="Arial" w:cs="Arial" w:eastAsia="Arial" w:hAnsi="Arial"/>
          <w:sz w:val="16"/>
          <w:szCs w:val="16"/>
          <w:color w:val="auto"/>
        </w:rPr>
        <w:t>QXPHURXV</w:t>
      </w:r>
      <w:r>
        <w:rPr>
          <w:rFonts w:ascii="PMingLiU" w:cs="PMingLiU" w:eastAsia="PMingLiU" w:hAnsi="PMingLiU"/>
          <w:sz w:val="16"/>
          <w:szCs w:val="16"/>
          <w:color w:val="auto"/>
        </w:rPr>
        <w:t/>
      </w:r>
      <w:r>
        <w:rPr>
          <w:rFonts w:ascii="Arial" w:cs="Arial" w:eastAsia="Arial" w:hAnsi="Arial"/>
          <w:sz w:val="16"/>
          <w:szCs w:val="16"/>
          <w:color w:val="auto"/>
        </w:rPr>
        <w:t>FKDOOHQJHV</w:t>
      </w:r>
      <w:r>
        <w:rPr>
          <w:rFonts w:ascii="PMingLiU" w:cs="PMingLiU" w:eastAsia="PMingLiU" w:hAnsi="PMingLiU"/>
          <w:sz w:val="16"/>
          <w:szCs w:val="16"/>
          <w:color w:val="auto"/>
        </w:rPr>
        <w:t/>
      </w:r>
      <w:r>
        <w:rPr>
          <w:rFonts w:ascii="Arial" w:cs="Arial" w:eastAsia="Arial" w:hAnsi="Arial"/>
          <w:sz w:val="16"/>
          <w:szCs w:val="16"/>
          <w:color w:val="auto"/>
        </w:rPr>
        <w:t>IURP</w:t>
      </w:r>
      <w:r>
        <w:rPr>
          <w:rFonts w:ascii="PMingLiU" w:cs="PMingLiU" w:eastAsia="PMingLiU" w:hAnsi="PMingLiU"/>
          <w:sz w:val="16"/>
          <w:szCs w:val="16"/>
          <w:color w:val="auto"/>
        </w:rPr>
        <w:t/>
      </w:r>
      <w:r>
        <w:rPr>
          <w:rFonts w:ascii="Arial" w:cs="Arial" w:eastAsia="Arial" w:hAnsi="Arial"/>
          <w:sz w:val="16"/>
          <w:szCs w:val="16"/>
          <w:color w:val="auto"/>
        </w:rPr>
        <w:t>LQµDWLRQ</w:t>
      </w:r>
      <w:r>
        <w:rPr>
          <w:rFonts w:ascii="PMingLiU" w:cs="PMingLiU" w:eastAsia="PMingLiU" w:hAnsi="PMingLiU"/>
          <w:sz w:val="16"/>
          <w:szCs w:val="16"/>
          <w:color w:val="auto"/>
        </w:rPr>
        <w:t/>
      </w:r>
      <w:r>
        <w:rPr>
          <w:rFonts w:ascii="Arial" w:cs="Arial" w:eastAsia="Arial" w:hAnsi="Arial"/>
          <w:sz w:val="16"/>
          <w:szCs w:val="16"/>
          <w:color w:val="auto"/>
        </w:rPr>
        <w:t>UDZ</w:t>
      </w:r>
      <w:r>
        <w:rPr>
          <w:rFonts w:ascii="PMingLiU" w:cs="PMingLiU" w:eastAsia="PMingLiU" w:hAnsi="PMingLiU"/>
          <w:sz w:val="16"/>
          <w:szCs w:val="16"/>
          <w:color w:val="auto"/>
        </w:rPr>
        <w:t/>
      </w:r>
      <w:r>
        <w:rPr>
          <w:rFonts w:ascii="Arial" w:cs="Arial" w:eastAsia="Arial" w:hAnsi="Arial"/>
          <w:sz w:val="16"/>
          <w:szCs w:val="16"/>
          <w:color w:val="auto"/>
        </w:rPr>
        <w:t>PDWHULDO</w:t>
      </w:r>
      <w:r>
        <w:rPr>
          <w:rFonts w:ascii="PMingLiU" w:cs="PMingLiU" w:eastAsia="PMingLiU" w:hAnsi="PMingLiU"/>
          <w:sz w:val="16"/>
          <w:szCs w:val="16"/>
          <w:color w:val="auto"/>
        </w:rPr>
        <w:t/>
      </w:r>
      <w:r>
        <w:rPr>
          <w:rFonts w:ascii="Arial" w:cs="Arial" w:eastAsia="Arial" w:hAnsi="Arial"/>
          <w:sz w:val="16"/>
          <w:szCs w:val="16"/>
          <w:color w:val="auto"/>
        </w:rPr>
        <w:t>FRVW</w:t>
      </w:r>
      <w:r>
        <w:rPr>
          <w:rFonts w:ascii="PMingLiU" w:cs="PMingLiU" w:eastAsia="PMingLiU" w:hAnsi="PMingLiU"/>
          <w:sz w:val="16"/>
          <w:szCs w:val="16"/>
          <w:color w:val="auto"/>
        </w:rPr>
        <w:t/>
      </w:r>
      <w:r>
        <w:rPr>
          <w:rFonts w:ascii="Arial" w:cs="Arial" w:eastAsia="Arial" w:hAnsi="Arial"/>
          <w:sz w:val="16"/>
          <w:szCs w:val="16"/>
          <w:color w:val="auto"/>
        </w:rPr>
        <w:t>LQFUHDVHV</w:t>
      </w:r>
      <w:r>
        <w:rPr>
          <w:rFonts w:ascii="PMingLiU" w:cs="PMingLiU" w:eastAsia="PMingLiU" w:hAnsi="PMingLiU"/>
          <w:sz w:val="16"/>
          <w:szCs w:val="16"/>
          <w:color w:val="auto"/>
        </w:rPr>
        <w:t/>
      </w:r>
    </w:p>
    <w:p>
      <w:pPr>
        <w:spacing w:after="0" w:line="86" w:lineRule="exact"/>
        <w:rPr>
          <w:sz w:val="20"/>
          <w:szCs w:val="20"/>
          <w:color w:val="auto"/>
        </w:rPr>
      </w:pPr>
    </w:p>
    <w:p>
      <w:pPr>
        <w:ind w:right="2040"/>
        <w:spacing w:after="0" w:line="255" w:lineRule="exact"/>
        <w:rPr>
          <w:sz w:val="20"/>
          <w:szCs w:val="20"/>
          <w:color w:val="auto"/>
        </w:rPr>
      </w:pPr>
      <w:r>
        <w:rPr>
          <w:rFonts w:ascii="Arial" w:cs="Arial" w:eastAsia="Arial" w:hAnsi="Arial"/>
          <w:sz w:val="17"/>
          <w:szCs w:val="17"/>
          <w:color w:val="auto"/>
        </w:rPr>
        <w:t>JHRSROLWLFDO</w:t>
      </w:r>
      <w:r>
        <w:rPr>
          <w:rFonts w:ascii="PMingLiU" w:cs="PMingLiU" w:eastAsia="PMingLiU" w:hAnsi="PMingLiU"/>
          <w:sz w:val="17"/>
          <w:szCs w:val="17"/>
          <w:color w:val="auto"/>
        </w:rPr>
        <w:t/>
      </w:r>
      <w:r>
        <w:rPr>
          <w:rFonts w:ascii="Arial" w:cs="Arial" w:eastAsia="Arial" w:hAnsi="Arial"/>
          <w:sz w:val="17"/>
          <w:szCs w:val="17"/>
          <w:color w:val="auto"/>
        </w:rPr>
        <w:t>WHQVLRQV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JOREDO</w:t>
      </w:r>
      <w:r>
        <w:rPr>
          <w:rFonts w:ascii="PMingLiU" w:cs="PMingLiU" w:eastAsia="PMingLiU" w:hAnsi="PMingLiU"/>
          <w:sz w:val="17"/>
          <w:szCs w:val="17"/>
          <w:color w:val="auto"/>
        </w:rPr>
        <w:t/>
      </w:r>
      <w:r>
        <w:rPr>
          <w:rFonts w:ascii="Arial" w:cs="Arial" w:eastAsia="Arial" w:hAnsi="Arial"/>
          <w:sz w:val="17"/>
          <w:szCs w:val="17"/>
          <w:color w:val="auto"/>
        </w:rPr>
        <w:t>WDULIIV</w:t>
      </w:r>
      <w:r>
        <w:rPr>
          <w:rFonts w:ascii="PMingLiU" w:cs="PMingLiU" w:eastAsia="PMingLiU" w:hAnsi="PMingLiU"/>
          <w:sz w:val="17"/>
          <w:szCs w:val="17"/>
          <w:color w:val="auto"/>
        </w:rPr>
        <w:t/>
      </w:r>
      <w:r>
        <w:rPr>
          <w:rFonts w:ascii="Arial" w:cs="Arial" w:eastAsia="Arial" w:hAnsi="Arial"/>
          <w:sz w:val="17"/>
          <w:szCs w:val="17"/>
          <w:color w:val="auto"/>
        </w:rPr>
        <w:t>5HFRUG</w:t>
      </w:r>
      <w:r>
        <w:rPr>
          <w:rFonts w:ascii="PMingLiU" w:cs="PMingLiU" w:eastAsia="PMingLiU" w:hAnsi="PMingLiU"/>
          <w:sz w:val="17"/>
          <w:szCs w:val="17"/>
          <w:color w:val="auto"/>
        </w:rPr>
        <w:t/>
      </w:r>
      <w:r>
        <w:rPr>
          <w:rFonts w:ascii="Arial" w:cs="Arial" w:eastAsia="Arial" w:hAnsi="Arial"/>
          <w:sz w:val="17"/>
          <w:szCs w:val="17"/>
          <w:color w:val="auto"/>
        </w:rPr>
        <w:t>UHYHQXH</w:t>
      </w:r>
      <w:r>
        <w:rPr>
          <w:rFonts w:ascii="PMingLiU" w:cs="PMingLiU" w:eastAsia="PMingLiU" w:hAnsi="PMingLiU"/>
          <w:sz w:val="17"/>
          <w:szCs w:val="17"/>
          <w:color w:val="auto"/>
        </w:rPr>
        <w:t/>
      </w:r>
      <w:r>
        <w:rPr>
          <w:rFonts w:ascii="Arial" w:cs="Arial" w:eastAsia="Arial" w:hAnsi="Arial"/>
          <w:sz w:val="17"/>
          <w:szCs w:val="17"/>
          <w:color w:val="auto"/>
        </w:rPr>
        <w:t>SUR´W</w:t>
      </w:r>
      <w:r>
        <w:rPr>
          <w:rFonts w:ascii="PMingLiU" w:cs="PMingLiU" w:eastAsia="PMingLiU" w:hAnsi="PMingLiU"/>
          <w:sz w:val="17"/>
          <w:szCs w:val="17"/>
          <w:color w:val="auto"/>
        </w:rPr>
        <w:t/>
      </w:r>
      <w:r>
        <w:rPr>
          <w:rFonts w:ascii="Arial" w:cs="Arial" w:eastAsia="Arial" w:hAnsi="Arial"/>
          <w:sz w:val="17"/>
          <w:szCs w:val="17"/>
          <w:color w:val="auto"/>
        </w:rPr>
        <w:t>PDUJLQV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 xml:space="preserve"> (36</w:t>
      </w:r>
      <w:r>
        <w:rPr>
          <w:rFonts w:ascii="PMingLiU" w:cs="PMingLiU" w:eastAsia="PMingLiU" w:hAnsi="PMingLiU"/>
          <w:sz w:val="17"/>
          <w:szCs w:val="17"/>
          <w:color w:val="auto"/>
        </w:rPr>
        <w:t/>
      </w:r>
      <w:r>
        <w:rPr>
          <w:rFonts w:ascii="Arial" w:cs="Arial" w:eastAsia="Arial" w:hAnsi="Arial"/>
          <w:sz w:val="17"/>
          <w:szCs w:val="17"/>
          <w:color w:val="auto"/>
        </w:rPr>
        <w:t>ZHUH</w:t>
      </w:r>
      <w:r>
        <w:rPr>
          <w:rFonts w:ascii="PMingLiU" w:cs="PMingLiU" w:eastAsia="PMingLiU" w:hAnsi="PMingLiU"/>
          <w:sz w:val="17"/>
          <w:szCs w:val="17"/>
          <w:color w:val="auto"/>
        </w:rPr>
        <w:t/>
      </w:r>
      <w:r>
        <w:rPr>
          <w:rFonts w:ascii="Arial" w:cs="Arial" w:eastAsia="Arial" w:hAnsi="Arial"/>
          <w:sz w:val="17"/>
          <w:szCs w:val="17"/>
          <w:color w:val="auto"/>
        </w:rPr>
        <w:t>VHW</w:t>
      </w:r>
      <w:r>
        <w:rPr>
          <w:rFonts w:ascii="PMingLiU" w:cs="PMingLiU" w:eastAsia="PMingLiU" w:hAnsi="PMingLiU"/>
          <w:sz w:val="17"/>
          <w:szCs w:val="17"/>
          <w:color w:val="auto"/>
        </w:rPr>
        <w:t/>
      </w:r>
      <w:r>
        <w:rPr>
          <w:rFonts w:ascii="Arial" w:cs="Arial" w:eastAsia="Arial" w:hAnsi="Arial"/>
          <w:sz w:val="17"/>
          <w:szCs w:val="17"/>
          <w:color w:val="auto"/>
        </w:rPr>
        <w:t>DORQJ</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KLJKHVW</w:t>
      </w:r>
      <w:r>
        <w:rPr>
          <w:rFonts w:ascii="PMingLiU" w:cs="PMingLiU" w:eastAsia="PMingLiU" w:hAnsi="PMingLiU"/>
          <w:sz w:val="17"/>
          <w:szCs w:val="17"/>
          <w:color w:val="auto"/>
        </w:rPr>
        <w:t/>
      </w:r>
      <w:r>
        <w:rPr>
          <w:rFonts w:ascii="Arial" w:cs="Arial" w:eastAsia="Arial" w:hAnsi="Arial"/>
          <w:sz w:val="17"/>
          <w:szCs w:val="17"/>
          <w:color w:val="auto"/>
        </w:rPr>
        <w:t>FDVK</w:t>
      </w:r>
      <w:r>
        <w:rPr>
          <w:rFonts w:ascii="PMingLiU" w:cs="PMingLiU" w:eastAsia="PMingLiU" w:hAnsi="PMingLiU"/>
          <w:sz w:val="17"/>
          <w:szCs w:val="17"/>
          <w:color w:val="auto"/>
        </w:rPr>
        <w:t/>
      </w:r>
      <w:r>
        <w:rPr>
          <w:rFonts w:ascii="Arial" w:cs="Arial" w:eastAsia="Arial" w:hAnsi="Arial"/>
          <w:sz w:val="17"/>
          <w:szCs w:val="17"/>
          <w:color w:val="auto"/>
        </w:rPr>
        <w:t>µRZ</w:t>
      </w:r>
      <w:r>
        <w:rPr>
          <w:rFonts w:ascii="PMingLiU" w:cs="PMingLiU" w:eastAsia="PMingLiU" w:hAnsi="PMingLiU"/>
          <w:sz w:val="17"/>
          <w:szCs w:val="17"/>
          <w:color w:val="auto"/>
        </w:rPr>
        <w:t/>
      </w:r>
      <w:r>
        <w:rPr>
          <w:rFonts w:ascii="Arial" w:cs="Arial" w:eastAsia="Arial" w:hAnsi="Arial"/>
          <w:sz w:val="17"/>
          <w:szCs w:val="17"/>
          <w:color w:val="auto"/>
        </w:rPr>
        <w:t>JHQHUDWLRQ</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KLVWRU\</w:t>
      </w:r>
      <w:r>
        <w:rPr>
          <w:rFonts w:ascii="PMingLiU" w:cs="PMingLiU" w:eastAsia="PMingLiU" w:hAnsi="PMingLiU"/>
          <w:sz w:val="17"/>
          <w:szCs w:val="17"/>
          <w:color w:val="auto"/>
        </w:rPr>
        <w:t/>
      </w:r>
      <w:r>
        <w:rPr>
          <w:rFonts w:ascii="Arial" w:cs="Arial" w:eastAsia="Arial" w:hAnsi="Arial"/>
          <w:sz w:val="17"/>
          <w:szCs w:val="17"/>
          <w:color w:val="auto"/>
        </w:rPr>
        <w:t xml:space="preserve"> DOORZLQJ</w:t>
      </w:r>
      <w:r>
        <w:rPr>
          <w:rFonts w:ascii="PMingLiU" w:cs="PMingLiU" w:eastAsia="PMingLiU" w:hAnsi="PMingLiU"/>
          <w:sz w:val="17"/>
          <w:szCs w:val="17"/>
          <w:color w:val="auto"/>
        </w:rPr>
        <w:t/>
      </w:r>
      <w:r>
        <w:rPr>
          <w:rFonts w:ascii="Arial" w:cs="Arial" w:eastAsia="Arial" w:hAnsi="Arial"/>
          <w:sz w:val="17"/>
          <w:szCs w:val="17"/>
          <w:color w:val="auto"/>
        </w:rPr>
        <w:t>XV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SD\</w:t>
      </w:r>
      <w:r>
        <w:rPr>
          <w:rFonts w:ascii="PMingLiU" w:cs="PMingLiU" w:eastAsia="PMingLiU" w:hAnsi="PMingLiU"/>
          <w:sz w:val="17"/>
          <w:szCs w:val="17"/>
          <w:color w:val="auto"/>
        </w:rPr>
        <w:t/>
      </w:r>
      <w:r>
        <w:rPr>
          <w:rFonts w:ascii="Arial" w:cs="Arial" w:eastAsia="Arial" w:hAnsi="Arial"/>
          <w:sz w:val="17"/>
          <w:szCs w:val="17"/>
          <w:color w:val="auto"/>
        </w:rPr>
        <w:t>GRZQ</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PDWHULDO</w:t>
      </w:r>
      <w:r>
        <w:rPr>
          <w:rFonts w:ascii="PMingLiU" w:cs="PMingLiU" w:eastAsia="PMingLiU" w:hAnsi="PMingLiU"/>
          <w:sz w:val="17"/>
          <w:szCs w:val="17"/>
          <w:color w:val="auto"/>
        </w:rPr>
        <w:t/>
      </w:r>
      <w:r>
        <w:rPr>
          <w:rFonts w:ascii="Arial" w:cs="Arial" w:eastAsia="Arial" w:hAnsi="Arial"/>
          <w:sz w:val="17"/>
          <w:szCs w:val="17"/>
          <w:color w:val="auto"/>
        </w:rPr>
        <w:t>SRUWLRQ</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GHEW</w:t>
      </w:r>
      <w:r>
        <w:rPr>
          <w:rFonts w:ascii="PMingLiU" w:cs="PMingLiU" w:eastAsia="PMingLiU" w:hAnsi="PMingLiU"/>
          <w:sz w:val="17"/>
          <w:szCs w:val="17"/>
          <w:color w:val="auto"/>
        </w:rPr>
        <w:t/>
      </w:r>
      <w:r>
        <w:rPr>
          <w:rFonts w:ascii="Arial" w:cs="Arial" w:eastAsia="Arial" w:hAnsi="Arial"/>
          <w:sz w:val="17"/>
          <w:szCs w:val="17"/>
          <w:color w:val="auto"/>
        </w:rPr>
        <w:t>4XLWH</w:t>
      </w:r>
      <w:r>
        <w:rPr>
          <w:rFonts w:ascii="PMingLiU" w:cs="PMingLiU" w:eastAsia="PMingLiU" w:hAnsi="PMingLiU"/>
          <w:sz w:val="17"/>
          <w:szCs w:val="17"/>
          <w:color w:val="auto"/>
        </w:rPr>
        <w:t/>
      </w:r>
      <w:r>
        <w:rPr>
          <w:rFonts w:ascii="Arial" w:cs="Arial" w:eastAsia="Arial" w:hAnsi="Arial"/>
          <w:sz w:val="17"/>
          <w:szCs w:val="17"/>
          <w:color w:val="auto"/>
        </w:rPr>
        <w:t>VLPSO\</w:t>
      </w:r>
      <w:r>
        <w:rPr>
          <w:rFonts w:ascii="PMingLiU" w:cs="PMingLiU" w:eastAsia="PMingLiU" w:hAnsi="PMingLiU"/>
          <w:sz w:val="17"/>
          <w:szCs w:val="17"/>
          <w:color w:val="auto"/>
        </w:rPr>
        <w:t/>
      </w:r>
      <w:r>
        <w:rPr>
          <w:rFonts w:ascii="Arial" w:cs="Arial" w:eastAsia="Arial" w:hAnsi="Arial"/>
          <w:sz w:val="17"/>
          <w:szCs w:val="17"/>
          <w:color w:val="auto"/>
        </w:rPr>
        <w:t>WKDQN</w:t>
      </w:r>
      <w:r>
        <w:rPr>
          <w:rFonts w:ascii="PMingLiU" w:cs="PMingLiU" w:eastAsia="PMingLiU" w:hAnsi="PMingLiU"/>
          <w:sz w:val="17"/>
          <w:szCs w:val="17"/>
          <w:color w:val="auto"/>
        </w:rPr>
        <w:t/>
      </w:r>
      <w:r>
        <w:rPr>
          <w:rFonts w:ascii="Arial" w:cs="Arial" w:eastAsia="Arial" w:hAnsi="Arial"/>
          <w:sz w:val="17"/>
          <w:szCs w:val="17"/>
          <w:color w:val="auto"/>
        </w:rPr>
        <w:t>\RX</w:t>
      </w:r>
      <w:r>
        <w:rPr>
          <w:rFonts w:ascii="PMingLiU" w:cs="PMingLiU" w:eastAsia="PMingLiU" w:hAnsi="PMingLiU"/>
          <w:sz w:val="17"/>
          <w:szCs w:val="17"/>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-405130</wp:posOffset>
            </wp:positionV>
            <wp:extent cx="1929130" cy="2114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29130" cy="2114550"/>
                    </a:xfrm>
                    <a:prstGeom prst="rect">
                      <a:avLst/>
                    </a:prstGeom>
                    <a:noFill/>
                  </pic:spPr>
                </pic:pic>
              </a:graphicData>
            </a:graphic>
          </wp:anchor>
        </w:drawing>
      </w:r>
    </w:p>
    <w:p>
      <w:pPr>
        <w:spacing w:after="0" w:line="247" w:lineRule="exact"/>
        <w:rPr>
          <w:sz w:val="20"/>
          <w:szCs w:val="20"/>
          <w:color w:val="auto"/>
        </w:rPr>
      </w:pPr>
    </w:p>
    <w:p>
      <w:pPr>
        <w:ind w:right="2060"/>
        <w:spacing w:after="0" w:line="267" w:lineRule="exact"/>
        <w:rPr>
          <w:sz w:val="20"/>
          <w:szCs w:val="20"/>
          <w:color w:val="auto"/>
        </w:rPr>
      </w:pP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ZRXOG</w:t>
      </w:r>
      <w:r>
        <w:rPr>
          <w:rFonts w:ascii="PMingLiU" w:cs="PMingLiU" w:eastAsia="PMingLiU" w:hAnsi="PMingLiU"/>
          <w:sz w:val="15"/>
          <w:szCs w:val="15"/>
          <w:color w:val="auto"/>
        </w:rPr>
        <w:t/>
      </w:r>
      <w:r>
        <w:rPr>
          <w:rFonts w:ascii="Arial" w:cs="Arial" w:eastAsia="Arial" w:hAnsi="Arial"/>
          <w:sz w:val="15"/>
          <w:szCs w:val="15"/>
          <w:color w:val="auto"/>
        </w:rPr>
        <w:t>OLNH</w:t>
      </w:r>
      <w:r>
        <w:rPr>
          <w:rFonts w:ascii="PMingLiU" w:cs="PMingLiU" w:eastAsia="PMingLiU" w:hAnsi="PMingLiU"/>
          <w:sz w:val="15"/>
          <w:szCs w:val="15"/>
          <w:color w:val="auto"/>
        </w:rPr>
        <w:t/>
      </w:r>
      <w:r>
        <w:rPr>
          <w:rFonts w:ascii="Arial" w:cs="Arial" w:eastAsia="Arial" w:hAnsi="Arial"/>
          <w:sz w:val="15"/>
          <w:szCs w:val="15"/>
          <w:color w:val="auto"/>
        </w:rPr>
        <w:t>WR</w:t>
      </w:r>
      <w:r>
        <w:rPr>
          <w:rFonts w:ascii="PMingLiU" w:cs="PMingLiU" w:eastAsia="PMingLiU" w:hAnsi="PMingLiU"/>
          <w:sz w:val="15"/>
          <w:szCs w:val="15"/>
          <w:color w:val="auto"/>
        </w:rPr>
        <w:t/>
      </w:r>
      <w:r>
        <w:rPr>
          <w:rFonts w:ascii="Arial" w:cs="Arial" w:eastAsia="Arial" w:hAnsi="Arial"/>
          <w:sz w:val="15"/>
          <w:szCs w:val="15"/>
          <w:color w:val="auto"/>
        </w:rPr>
        <w:t>WDNH</w:t>
      </w:r>
      <w:r>
        <w:rPr>
          <w:rFonts w:ascii="PMingLiU" w:cs="PMingLiU" w:eastAsia="PMingLiU" w:hAnsi="PMingLiU"/>
          <w:sz w:val="15"/>
          <w:szCs w:val="15"/>
          <w:color w:val="auto"/>
        </w:rPr>
        <w:t/>
      </w:r>
      <w:r>
        <w:rPr>
          <w:rFonts w:ascii="Arial" w:cs="Arial" w:eastAsia="Arial" w:hAnsi="Arial"/>
          <w:sz w:val="15"/>
          <w:szCs w:val="15"/>
          <w:color w:val="auto"/>
        </w:rPr>
        <w:t>WKLV</w:t>
      </w:r>
      <w:r>
        <w:rPr>
          <w:rFonts w:ascii="PMingLiU" w:cs="PMingLiU" w:eastAsia="PMingLiU" w:hAnsi="PMingLiU"/>
          <w:sz w:val="15"/>
          <w:szCs w:val="15"/>
          <w:color w:val="auto"/>
        </w:rPr>
        <w:t/>
      </w:r>
      <w:r>
        <w:rPr>
          <w:rFonts w:ascii="Arial" w:cs="Arial" w:eastAsia="Arial" w:hAnsi="Arial"/>
          <w:sz w:val="15"/>
          <w:szCs w:val="15"/>
          <w:color w:val="auto"/>
        </w:rPr>
        <w:t>RSSRUWXQLW\</w:t>
      </w:r>
      <w:r>
        <w:rPr>
          <w:rFonts w:ascii="PMingLiU" w:cs="PMingLiU" w:eastAsia="PMingLiU" w:hAnsi="PMingLiU"/>
          <w:sz w:val="15"/>
          <w:szCs w:val="15"/>
          <w:color w:val="auto"/>
        </w:rPr>
        <w:t/>
      </w:r>
      <w:r>
        <w:rPr>
          <w:rFonts w:ascii="Arial" w:cs="Arial" w:eastAsia="Arial" w:hAnsi="Arial"/>
          <w:sz w:val="15"/>
          <w:szCs w:val="15"/>
          <w:color w:val="auto"/>
        </w:rPr>
        <w:t>WR</w:t>
      </w:r>
      <w:r>
        <w:rPr>
          <w:rFonts w:ascii="PMingLiU" w:cs="PMingLiU" w:eastAsia="PMingLiU" w:hAnsi="PMingLiU"/>
          <w:sz w:val="15"/>
          <w:szCs w:val="15"/>
          <w:color w:val="auto"/>
        </w:rPr>
        <w:t/>
      </w:r>
      <w:r>
        <w:rPr>
          <w:rFonts w:ascii="Arial" w:cs="Arial" w:eastAsia="Arial" w:hAnsi="Arial"/>
          <w:sz w:val="15"/>
          <w:szCs w:val="15"/>
          <w:color w:val="auto"/>
        </w:rPr>
        <w:t>UHFRJQL]H</w:t>
      </w:r>
      <w:r>
        <w:rPr>
          <w:rFonts w:ascii="PMingLiU" w:cs="PMingLiU" w:eastAsia="PMingLiU" w:hAnsi="PMingLiU"/>
          <w:sz w:val="15"/>
          <w:szCs w:val="15"/>
          <w:color w:val="auto"/>
        </w:rPr>
        <w:t/>
      </w:r>
      <w:r>
        <w:rPr>
          <w:rFonts w:ascii="Arial" w:cs="Arial" w:eastAsia="Arial" w:hAnsi="Arial"/>
          <w:sz w:val="15"/>
          <w:szCs w:val="15"/>
          <w:color w:val="auto"/>
        </w:rPr>
        <w:t>'DQ</w:t>
      </w:r>
      <w:r>
        <w:rPr>
          <w:rFonts w:ascii="PMingLiU" w:cs="PMingLiU" w:eastAsia="PMingLiU" w:hAnsi="PMingLiU"/>
          <w:sz w:val="15"/>
          <w:szCs w:val="15"/>
          <w:color w:val="auto"/>
        </w:rPr>
        <w:t/>
      </w:r>
      <w:r>
        <w:rPr>
          <w:rFonts w:ascii="Arial" w:cs="Arial" w:eastAsia="Arial" w:hAnsi="Arial"/>
          <w:sz w:val="15"/>
          <w:szCs w:val="15"/>
          <w:color w:val="auto"/>
        </w:rPr>
        <w:t>%HUQVWHLQ</w:t>
      </w:r>
      <w:r>
        <w:rPr>
          <w:rFonts w:ascii="PMingLiU" w:cs="PMingLiU" w:eastAsia="PMingLiU" w:hAnsi="PMingLiU"/>
          <w:sz w:val="15"/>
          <w:szCs w:val="15"/>
          <w:color w:val="auto"/>
        </w:rPr>
        <w:t/>
      </w:r>
      <w:r>
        <w:rPr>
          <w:rFonts w:ascii="Arial" w:cs="Arial" w:eastAsia="Arial" w:hAnsi="Arial"/>
          <w:sz w:val="15"/>
          <w:szCs w:val="15"/>
          <w:color w:val="auto"/>
        </w:rPr>
        <w:t>ZKR</w:t>
      </w:r>
      <w:r>
        <w:rPr>
          <w:rFonts w:ascii="PMingLiU" w:cs="PMingLiU" w:eastAsia="PMingLiU" w:hAnsi="PMingLiU"/>
          <w:sz w:val="15"/>
          <w:szCs w:val="15"/>
          <w:color w:val="auto"/>
        </w:rPr>
        <w:t/>
      </w:r>
      <w:r>
        <w:rPr>
          <w:rFonts w:ascii="Arial" w:cs="Arial" w:eastAsia="Arial" w:hAnsi="Arial"/>
          <w:sz w:val="15"/>
          <w:szCs w:val="15"/>
          <w:color w:val="auto"/>
        </w:rPr>
        <w:t>WUDQVLWLRQHG</w:t>
      </w:r>
      <w:r>
        <w:rPr>
          <w:rFonts w:ascii="PMingLiU" w:cs="PMingLiU" w:eastAsia="PMingLiU" w:hAnsi="PMingLiU"/>
          <w:sz w:val="15"/>
          <w:szCs w:val="15"/>
          <w:color w:val="auto"/>
        </w:rPr>
        <w:t/>
      </w:r>
      <w:r>
        <w:rPr>
          <w:rFonts w:ascii="Arial" w:cs="Arial" w:eastAsia="Arial" w:hAnsi="Arial"/>
          <w:sz w:val="15"/>
          <w:szCs w:val="15"/>
          <w:color w:val="auto"/>
        </w:rPr>
        <w:t xml:space="preserve"> from the role of CEO in May 2025 to Chairman of the Board. This transition UHSUHVHQWHG</w:t>
      </w:r>
      <w:r>
        <w:rPr>
          <w:rFonts w:ascii="PMingLiU" w:cs="PMingLiU" w:eastAsia="PMingLiU" w:hAnsi="PMingLiU"/>
          <w:sz w:val="15"/>
          <w:szCs w:val="15"/>
          <w:color w:val="auto"/>
        </w:rPr>
        <w:t/>
      </w:r>
      <w:r>
        <w:rPr>
          <w:rFonts w:ascii="Arial" w:cs="Arial" w:eastAsia="Arial" w:hAnsi="Arial"/>
          <w:sz w:val="15"/>
          <w:szCs w:val="15"/>
          <w:color w:val="auto"/>
        </w:rPr>
        <w:t>WKH</w:t>
      </w:r>
      <w:r>
        <w:rPr>
          <w:rFonts w:ascii="PMingLiU" w:cs="PMingLiU" w:eastAsia="PMingLiU" w:hAnsi="PMingLiU"/>
          <w:sz w:val="15"/>
          <w:szCs w:val="15"/>
          <w:color w:val="auto"/>
        </w:rPr>
        <w:t/>
      </w:r>
      <w:r>
        <w:rPr>
          <w:rFonts w:ascii="Arial" w:cs="Arial" w:eastAsia="Arial" w:hAnsi="Arial"/>
          <w:sz w:val="15"/>
          <w:szCs w:val="15"/>
          <w:color w:val="auto"/>
        </w:rPr>
        <w:t>VHFRQG</w:t>
      </w:r>
      <w:r>
        <w:rPr>
          <w:rFonts w:ascii="PMingLiU" w:cs="PMingLiU" w:eastAsia="PMingLiU" w:hAnsi="PMingLiU"/>
          <w:sz w:val="15"/>
          <w:szCs w:val="15"/>
          <w:color w:val="auto"/>
        </w:rPr>
        <w:t/>
      </w:r>
      <w:r>
        <w:rPr>
          <w:rFonts w:ascii="Arial" w:cs="Arial" w:eastAsia="Arial" w:hAnsi="Arial"/>
          <w:sz w:val="15"/>
          <w:szCs w:val="15"/>
          <w:color w:val="auto"/>
        </w:rPr>
        <w:t>VXFK</w:t>
      </w:r>
      <w:r>
        <w:rPr>
          <w:rFonts w:ascii="PMingLiU" w:cs="PMingLiU" w:eastAsia="PMingLiU" w:hAnsi="PMingLiU"/>
          <w:sz w:val="15"/>
          <w:szCs w:val="15"/>
          <w:color w:val="auto"/>
        </w:rPr>
        <w:t/>
      </w:r>
      <w:r>
        <w:rPr>
          <w:rFonts w:ascii="Arial" w:cs="Arial" w:eastAsia="Arial" w:hAnsi="Arial"/>
          <w:sz w:val="15"/>
          <w:szCs w:val="15"/>
          <w:color w:val="auto"/>
        </w:rPr>
        <w:t>HYHQW</w:t>
      </w:r>
      <w:r>
        <w:rPr>
          <w:rFonts w:ascii="PMingLiU" w:cs="PMingLiU" w:eastAsia="PMingLiU" w:hAnsi="PMingLiU"/>
          <w:sz w:val="15"/>
          <w:szCs w:val="15"/>
          <w:color w:val="auto"/>
        </w:rPr>
        <w:t/>
      </w:r>
      <w:r>
        <w:rPr>
          <w:rFonts w:ascii="Arial" w:cs="Arial" w:eastAsia="Arial" w:hAnsi="Arial"/>
          <w:sz w:val="15"/>
          <w:szCs w:val="15"/>
          <w:color w:val="auto"/>
        </w:rPr>
        <w:t>VLQFH</w:t>
      </w:r>
      <w:r>
        <w:rPr>
          <w:rFonts w:ascii="PMingLiU" w:cs="PMingLiU" w:eastAsia="PMingLiU" w:hAnsi="PMingLiU"/>
          <w:sz w:val="15"/>
          <w:szCs w:val="15"/>
          <w:color w:val="auto"/>
        </w:rPr>
        <w:t/>
      </w:r>
      <w:r>
        <w:rPr>
          <w:rFonts w:ascii="Arial" w:cs="Arial" w:eastAsia="Arial" w:hAnsi="Arial"/>
          <w:sz w:val="15"/>
          <w:szCs w:val="15"/>
          <w:color w:val="auto"/>
        </w:rPr>
        <w:t>%HO­V</w:t>
      </w:r>
      <w:r>
        <w:rPr>
          <w:rFonts w:ascii="PMingLiU" w:cs="PMingLiU" w:eastAsia="PMingLiU" w:hAnsi="PMingLiU"/>
          <w:sz w:val="15"/>
          <w:szCs w:val="15"/>
          <w:color w:val="auto"/>
        </w:rPr>
        <w:t/>
      </w:r>
      <w:r>
        <w:rPr>
          <w:rFonts w:ascii="Arial" w:cs="Arial" w:eastAsia="Arial" w:hAnsi="Arial"/>
          <w:sz w:val="15"/>
          <w:szCs w:val="15"/>
          <w:color w:val="auto"/>
        </w:rPr>
        <w:t>IRXQGLQJ</w:t>
      </w:r>
      <w:r>
        <w:rPr>
          <w:rFonts w:ascii="PMingLiU" w:cs="PMingLiU" w:eastAsia="PMingLiU" w:hAnsi="PMingLiU"/>
          <w:sz w:val="15"/>
          <w:szCs w:val="15"/>
          <w:color w:val="auto"/>
        </w:rPr>
        <w:t/>
      </w:r>
      <w:r>
        <w:rPr>
          <w:rFonts w:ascii="Arial" w:cs="Arial" w:eastAsia="Arial" w:hAnsi="Arial"/>
          <w:sz w:val="15"/>
          <w:szCs w:val="15"/>
          <w:color w:val="auto"/>
        </w:rPr>
        <w:t>LQ</w:t>
      </w:r>
      <w:r>
        <w:rPr>
          <w:rFonts w:ascii="PMingLiU" w:cs="PMingLiU" w:eastAsia="PMingLiU" w:hAnsi="PMingLiU"/>
          <w:sz w:val="15"/>
          <w:szCs w:val="15"/>
          <w:color w:val="auto"/>
        </w:rPr>
        <w:t/>
      </w:r>
      <w:r>
        <w:rPr>
          <w:rFonts w:ascii="Arial" w:cs="Arial" w:eastAsia="Arial" w:hAnsi="Arial"/>
          <w:sz w:val="15"/>
          <w:szCs w:val="15"/>
          <w:color w:val="auto"/>
        </w:rPr>
        <w:t>DQG</w:t>
      </w:r>
      <w:r>
        <w:rPr>
          <w:rFonts w:ascii="PMingLiU" w:cs="PMingLiU" w:eastAsia="PMingLiU" w:hAnsi="PMingLiU"/>
          <w:sz w:val="15"/>
          <w:szCs w:val="15"/>
          <w:color w:val="auto"/>
        </w:rPr>
        <w:t/>
      </w:r>
      <w:r>
        <w:rPr>
          <w:rFonts w:ascii="Arial" w:cs="Arial" w:eastAsia="Arial" w:hAnsi="Arial"/>
          <w:sz w:val="15"/>
          <w:szCs w:val="15"/>
          <w:color w:val="auto"/>
        </w:rPr>
        <w:t>WKH</w:t>
      </w:r>
      <w:r>
        <w:rPr>
          <w:rFonts w:ascii="PMingLiU" w:cs="PMingLiU" w:eastAsia="PMingLiU" w:hAnsi="PMingLiU"/>
          <w:sz w:val="15"/>
          <w:szCs w:val="15"/>
          <w:color w:val="auto"/>
        </w:rPr>
        <w:t/>
      </w:r>
      <w:r>
        <w:rPr>
          <w:rFonts w:ascii="Arial" w:cs="Arial" w:eastAsia="Arial" w:hAnsi="Arial"/>
          <w:sz w:val="15"/>
          <w:szCs w:val="15"/>
          <w:color w:val="auto"/>
        </w:rPr>
        <w:t>´UVW</w:t>
      </w:r>
      <w:r>
        <w:rPr>
          <w:rFonts w:ascii="PMingLiU" w:cs="PMingLiU" w:eastAsia="PMingLiU" w:hAnsi="PMingLiU"/>
          <w:sz w:val="15"/>
          <w:szCs w:val="15"/>
          <w:color w:val="auto"/>
        </w:rPr>
        <w:t/>
      </w:r>
      <w:r>
        <w:rPr>
          <w:rFonts w:ascii="Arial" w:cs="Arial" w:eastAsia="Arial" w:hAnsi="Arial"/>
          <w:sz w:val="15"/>
          <w:szCs w:val="15"/>
          <w:color w:val="auto"/>
        </w:rPr>
        <w:t xml:space="preserve"> RXWVLGH</w:t>
      </w:r>
      <w:r>
        <w:rPr>
          <w:rFonts w:ascii="PMingLiU" w:cs="PMingLiU" w:eastAsia="PMingLiU" w:hAnsi="PMingLiU"/>
          <w:sz w:val="15"/>
          <w:szCs w:val="15"/>
          <w:color w:val="auto"/>
        </w:rPr>
        <w:t/>
      </w:r>
      <w:r>
        <w:rPr>
          <w:rFonts w:ascii="Arial" w:cs="Arial" w:eastAsia="Arial" w:hAnsi="Arial"/>
          <w:sz w:val="15"/>
          <w:szCs w:val="15"/>
          <w:color w:val="auto"/>
        </w:rPr>
        <w:t>RI</w:t>
      </w:r>
      <w:r>
        <w:rPr>
          <w:rFonts w:ascii="PMingLiU" w:cs="PMingLiU" w:eastAsia="PMingLiU" w:hAnsi="PMingLiU"/>
          <w:sz w:val="15"/>
          <w:szCs w:val="15"/>
          <w:color w:val="auto"/>
        </w:rPr>
        <w:t/>
      </w:r>
      <w:r>
        <w:rPr>
          <w:rFonts w:ascii="Arial" w:cs="Arial" w:eastAsia="Arial" w:hAnsi="Arial"/>
          <w:sz w:val="15"/>
          <w:szCs w:val="15"/>
          <w:color w:val="auto"/>
        </w:rPr>
        <w:t>WKH</w:t>
      </w:r>
      <w:r>
        <w:rPr>
          <w:rFonts w:ascii="PMingLiU" w:cs="PMingLiU" w:eastAsia="PMingLiU" w:hAnsi="PMingLiU"/>
          <w:sz w:val="15"/>
          <w:szCs w:val="15"/>
          <w:color w:val="auto"/>
        </w:rPr>
        <w:t/>
      </w:r>
      <w:r>
        <w:rPr>
          <w:rFonts w:ascii="Arial" w:cs="Arial" w:eastAsia="Arial" w:hAnsi="Arial"/>
          <w:sz w:val="15"/>
          <w:szCs w:val="15"/>
          <w:color w:val="auto"/>
        </w:rPr>
        <w:t>%HUQVWHLQ</w:t>
      </w:r>
      <w:r>
        <w:rPr>
          <w:rFonts w:ascii="PMingLiU" w:cs="PMingLiU" w:eastAsia="PMingLiU" w:hAnsi="PMingLiU"/>
          <w:sz w:val="15"/>
          <w:szCs w:val="15"/>
          <w:color w:val="auto"/>
        </w:rPr>
        <w:t/>
      </w:r>
      <w:r>
        <w:rPr>
          <w:rFonts w:ascii="Arial" w:cs="Arial" w:eastAsia="Arial" w:hAnsi="Arial"/>
          <w:sz w:val="15"/>
          <w:szCs w:val="15"/>
          <w:color w:val="auto"/>
        </w:rPr>
        <w:t>IDPLO\</w:t>
      </w:r>
      <w:r>
        <w:rPr>
          <w:rFonts w:ascii="PMingLiU" w:cs="PMingLiU" w:eastAsia="PMingLiU" w:hAnsi="PMingLiU"/>
          <w:sz w:val="15"/>
          <w:szCs w:val="15"/>
          <w:color w:val="auto"/>
        </w:rPr>
        <w:t/>
      </w:r>
      <w:r>
        <w:rPr>
          <w:rFonts w:ascii="Arial" w:cs="Arial" w:eastAsia="Arial" w:hAnsi="Arial"/>
          <w:sz w:val="15"/>
          <w:szCs w:val="15"/>
          <w:color w:val="auto"/>
        </w:rPr>
        <w:t>7KH</w:t>
      </w:r>
      <w:r>
        <w:rPr>
          <w:rFonts w:ascii="PMingLiU" w:cs="PMingLiU" w:eastAsia="PMingLiU" w:hAnsi="PMingLiU"/>
          <w:sz w:val="15"/>
          <w:szCs w:val="15"/>
          <w:color w:val="auto"/>
        </w:rPr>
        <w:t/>
      </w:r>
      <w:r>
        <w:rPr>
          <w:rFonts w:ascii="Arial" w:cs="Arial" w:eastAsia="Arial" w:hAnsi="Arial"/>
          <w:sz w:val="15"/>
          <w:szCs w:val="15"/>
          <w:color w:val="auto"/>
        </w:rPr>
        <w:t>VLJQL´FDQFH</w:t>
      </w:r>
      <w:r>
        <w:rPr>
          <w:rFonts w:ascii="PMingLiU" w:cs="PMingLiU" w:eastAsia="PMingLiU" w:hAnsi="PMingLiU"/>
          <w:sz w:val="15"/>
          <w:szCs w:val="15"/>
          <w:color w:val="auto"/>
        </w:rPr>
        <w:t/>
      </w:r>
      <w:r>
        <w:rPr>
          <w:rFonts w:ascii="Arial" w:cs="Arial" w:eastAsia="Arial" w:hAnsi="Arial"/>
          <w:sz w:val="15"/>
          <w:szCs w:val="15"/>
          <w:color w:val="auto"/>
        </w:rPr>
        <w:t>RI</w:t>
      </w:r>
      <w:r>
        <w:rPr>
          <w:rFonts w:ascii="PMingLiU" w:cs="PMingLiU" w:eastAsia="PMingLiU" w:hAnsi="PMingLiU"/>
          <w:sz w:val="15"/>
          <w:szCs w:val="15"/>
          <w:color w:val="auto"/>
        </w:rPr>
        <w:t/>
      </w:r>
      <w:r>
        <w:rPr>
          <w:rFonts w:ascii="Arial" w:cs="Arial" w:eastAsia="Arial" w:hAnsi="Arial"/>
          <w:sz w:val="15"/>
          <w:szCs w:val="15"/>
          <w:color w:val="auto"/>
        </w:rPr>
        <w:t>WKLV</w:t>
      </w:r>
      <w:r>
        <w:rPr>
          <w:rFonts w:ascii="PMingLiU" w:cs="PMingLiU" w:eastAsia="PMingLiU" w:hAnsi="PMingLiU"/>
          <w:sz w:val="15"/>
          <w:szCs w:val="15"/>
          <w:color w:val="auto"/>
        </w:rPr>
        <w:t/>
      </w:r>
      <w:r>
        <w:rPr>
          <w:rFonts w:ascii="Arial" w:cs="Arial" w:eastAsia="Arial" w:hAnsi="Arial"/>
          <w:sz w:val="15"/>
          <w:szCs w:val="15"/>
          <w:color w:val="auto"/>
        </w:rPr>
        <w:t>HYHQW</w:t>
      </w:r>
      <w:r>
        <w:rPr>
          <w:rFonts w:ascii="PMingLiU" w:cs="PMingLiU" w:eastAsia="PMingLiU" w:hAnsi="PMingLiU"/>
          <w:sz w:val="15"/>
          <w:szCs w:val="15"/>
          <w:color w:val="auto"/>
        </w:rPr>
        <w:t/>
      </w:r>
      <w:r>
        <w:rPr>
          <w:rFonts w:ascii="Arial" w:cs="Arial" w:eastAsia="Arial" w:hAnsi="Arial"/>
          <w:sz w:val="15"/>
          <w:szCs w:val="15"/>
          <w:color w:val="auto"/>
        </w:rPr>
        <w:t>LV</w:t>
      </w:r>
      <w:r>
        <w:rPr>
          <w:rFonts w:ascii="PMingLiU" w:cs="PMingLiU" w:eastAsia="PMingLiU" w:hAnsi="PMingLiU"/>
          <w:sz w:val="15"/>
          <w:szCs w:val="15"/>
          <w:color w:val="auto"/>
        </w:rPr>
        <w:t/>
      </w:r>
      <w:r>
        <w:rPr>
          <w:rFonts w:ascii="Arial" w:cs="Arial" w:eastAsia="Arial" w:hAnsi="Arial"/>
          <w:sz w:val="15"/>
          <w:szCs w:val="15"/>
          <w:color w:val="auto"/>
        </w:rPr>
        <w:t>QRW</w:t>
      </w:r>
      <w:r>
        <w:rPr>
          <w:rFonts w:ascii="PMingLiU" w:cs="PMingLiU" w:eastAsia="PMingLiU" w:hAnsi="PMingLiU"/>
          <w:sz w:val="15"/>
          <w:szCs w:val="15"/>
          <w:color w:val="auto"/>
        </w:rPr>
        <w:t/>
      </w:r>
      <w:r>
        <w:rPr>
          <w:rFonts w:ascii="Arial" w:cs="Arial" w:eastAsia="Arial" w:hAnsi="Arial"/>
          <w:sz w:val="15"/>
          <w:szCs w:val="15"/>
          <w:color w:val="auto"/>
        </w:rPr>
        <w:t>ORVW</w:t>
      </w:r>
      <w:r>
        <w:rPr>
          <w:rFonts w:ascii="PMingLiU" w:cs="PMingLiU" w:eastAsia="PMingLiU" w:hAnsi="PMingLiU"/>
          <w:sz w:val="15"/>
          <w:szCs w:val="15"/>
          <w:color w:val="auto"/>
        </w:rPr>
        <w:t/>
      </w:r>
      <w:r>
        <w:rPr>
          <w:rFonts w:ascii="Arial" w:cs="Arial" w:eastAsia="Arial" w:hAnsi="Arial"/>
          <w:sz w:val="15"/>
          <w:szCs w:val="15"/>
          <w:color w:val="auto"/>
        </w:rPr>
        <w:t>RQ</w:t>
      </w:r>
      <w:r>
        <w:rPr>
          <w:rFonts w:ascii="PMingLiU" w:cs="PMingLiU" w:eastAsia="PMingLiU" w:hAnsi="PMingLiU"/>
          <w:sz w:val="15"/>
          <w:szCs w:val="15"/>
          <w:color w:val="auto"/>
        </w:rPr>
        <w:t/>
      </w:r>
      <w:r>
        <w:rPr>
          <w:rFonts w:ascii="Arial" w:cs="Arial" w:eastAsia="Arial" w:hAnsi="Arial"/>
          <w:sz w:val="15"/>
          <w:szCs w:val="15"/>
          <w:color w:val="auto"/>
        </w:rPr>
        <w:t>PH</w:t>
      </w:r>
      <w:r>
        <w:rPr>
          <w:rFonts w:ascii="PMingLiU" w:cs="PMingLiU" w:eastAsia="PMingLiU" w:hAnsi="PMingLiU"/>
          <w:sz w:val="15"/>
          <w:szCs w:val="15"/>
          <w:color w:val="auto"/>
        </w:rPr>
        <w:t/>
      </w:r>
      <w:r>
        <w:rPr>
          <w:rFonts w:ascii="Arial" w:cs="Arial" w:eastAsia="Arial" w:hAnsi="Arial"/>
          <w:sz w:val="15"/>
          <w:szCs w:val="15"/>
          <w:color w:val="auto"/>
        </w:rPr>
        <w:t xml:space="preserve"> The transformational journey that began under Dan’s guidance laid a strong</w:t>
      </w:r>
    </w:p>
    <w:p>
      <w:pPr>
        <w:spacing w:after="0" w:line="88" w:lineRule="exact"/>
        <w:rPr>
          <w:sz w:val="20"/>
          <w:szCs w:val="20"/>
          <w:color w:val="auto"/>
        </w:rPr>
      </w:pPr>
    </w:p>
    <w:p>
      <w:pPr>
        <w:ind w:right="2060"/>
        <w:spacing w:after="0" w:line="267" w:lineRule="exact"/>
        <w:rPr>
          <w:sz w:val="20"/>
          <w:szCs w:val="20"/>
          <w:color w:val="auto"/>
        </w:rPr>
      </w:pPr>
      <w:r>
        <w:rPr>
          <w:rFonts w:ascii="Arial" w:cs="Arial" w:eastAsia="Arial" w:hAnsi="Arial"/>
          <w:sz w:val="16"/>
          <w:szCs w:val="16"/>
          <w:color w:val="auto"/>
        </w:rPr>
        <w:t>IRXQGDWLRQ</w:t>
      </w:r>
      <w:r>
        <w:rPr>
          <w:rFonts w:ascii="PMingLiU" w:cs="PMingLiU" w:eastAsia="PMingLiU" w:hAnsi="PMingLiU"/>
          <w:sz w:val="16"/>
          <w:szCs w:val="16"/>
          <w:color w:val="auto"/>
        </w:rPr>
        <w:t/>
      </w:r>
      <w:r>
        <w:rPr>
          <w:rFonts w:ascii="Arial" w:cs="Arial" w:eastAsia="Arial" w:hAnsi="Arial"/>
          <w:sz w:val="16"/>
          <w:szCs w:val="16"/>
          <w:color w:val="auto"/>
        </w:rPr>
        <w:t>IRU</w:t>
      </w:r>
      <w:r>
        <w:rPr>
          <w:rFonts w:ascii="PMingLiU" w:cs="PMingLiU" w:eastAsia="PMingLiU" w:hAnsi="PMingLiU"/>
          <w:sz w:val="16"/>
          <w:szCs w:val="16"/>
          <w:color w:val="auto"/>
        </w:rPr>
        <w:t/>
      </w:r>
      <w:r>
        <w:rPr>
          <w:rFonts w:ascii="Arial" w:cs="Arial" w:eastAsia="Arial" w:hAnsi="Arial"/>
          <w:sz w:val="16"/>
          <w:szCs w:val="16"/>
          <w:color w:val="auto"/>
        </w:rPr>
        <w:t>%HO­V</w:t>
      </w:r>
      <w:r>
        <w:rPr>
          <w:rFonts w:ascii="PMingLiU" w:cs="PMingLiU" w:eastAsia="PMingLiU" w:hAnsi="PMingLiU"/>
          <w:sz w:val="16"/>
          <w:szCs w:val="16"/>
          <w:color w:val="auto"/>
        </w:rPr>
        <w:t/>
      </w:r>
      <w:r>
        <w:rPr>
          <w:rFonts w:ascii="Arial" w:cs="Arial" w:eastAsia="Arial" w:hAnsi="Arial"/>
          <w:sz w:val="16"/>
          <w:szCs w:val="16"/>
          <w:color w:val="auto"/>
        </w:rPr>
        <w:t>RQJRLQJ</w:t>
      </w:r>
      <w:r>
        <w:rPr>
          <w:rFonts w:ascii="PMingLiU" w:cs="PMingLiU" w:eastAsia="PMingLiU" w:hAnsi="PMingLiU"/>
          <w:sz w:val="16"/>
          <w:szCs w:val="16"/>
          <w:color w:val="auto"/>
        </w:rPr>
        <w:t/>
      </w:r>
      <w:r>
        <w:rPr>
          <w:rFonts w:ascii="Arial" w:cs="Arial" w:eastAsia="Arial" w:hAnsi="Arial"/>
          <w:sz w:val="16"/>
          <w:szCs w:val="16"/>
          <w:color w:val="auto"/>
        </w:rPr>
        <w:t>VXFFHVV</w:t>
      </w:r>
      <w:r>
        <w:rPr>
          <w:rFonts w:ascii="PMingLiU" w:cs="PMingLiU" w:eastAsia="PMingLiU" w:hAnsi="PMingLiU"/>
          <w:sz w:val="16"/>
          <w:szCs w:val="16"/>
          <w:color w:val="auto"/>
        </w:rPr>
        <w:t/>
      </w:r>
      <w:r>
        <w:rPr>
          <w:rFonts w:ascii="Arial" w:cs="Arial" w:eastAsia="Arial" w:hAnsi="Arial"/>
          <w:sz w:val="16"/>
          <w:szCs w:val="16"/>
          <w:color w:val="auto"/>
        </w:rPr>
        <w:t>WKDW</w:t>
      </w:r>
      <w:r>
        <w:rPr>
          <w:rFonts w:ascii="PMingLiU" w:cs="PMingLiU" w:eastAsia="PMingLiU" w:hAnsi="PMingLiU"/>
          <w:sz w:val="16"/>
          <w:szCs w:val="16"/>
          <w:color w:val="auto"/>
        </w:rPr>
        <w:t/>
      </w:r>
      <w:r>
        <w:rPr>
          <w:rFonts w:ascii="Arial" w:cs="Arial" w:eastAsia="Arial" w:hAnsi="Arial"/>
          <w:sz w:val="16"/>
          <w:szCs w:val="16"/>
          <w:color w:val="auto"/>
        </w:rPr>
        <w:t>VKRXOG</w:t>
      </w:r>
      <w:r>
        <w:rPr>
          <w:rFonts w:ascii="PMingLiU" w:cs="PMingLiU" w:eastAsia="PMingLiU" w:hAnsi="PMingLiU"/>
          <w:sz w:val="16"/>
          <w:szCs w:val="16"/>
          <w:color w:val="auto"/>
        </w:rPr>
        <w:t/>
      </w:r>
      <w:r>
        <w:rPr>
          <w:rFonts w:ascii="Arial" w:cs="Arial" w:eastAsia="Arial" w:hAnsi="Arial"/>
          <w:sz w:val="16"/>
          <w:szCs w:val="16"/>
          <w:color w:val="auto"/>
        </w:rPr>
        <w:t>LQVSLUH</w:t>
      </w:r>
      <w:r>
        <w:rPr>
          <w:rFonts w:ascii="PMingLiU" w:cs="PMingLiU" w:eastAsia="PMingLiU" w:hAnsi="PMingLiU"/>
          <w:sz w:val="16"/>
          <w:szCs w:val="16"/>
          <w:color w:val="auto"/>
        </w:rPr>
        <w:t/>
      </w:r>
      <w:r>
        <w:rPr>
          <w:rFonts w:ascii="Arial" w:cs="Arial" w:eastAsia="Arial" w:hAnsi="Arial"/>
          <w:sz w:val="16"/>
          <w:szCs w:val="16"/>
          <w:color w:val="auto"/>
        </w:rPr>
        <w:t>FRQ´GHQFH</w:t>
      </w:r>
      <w:r>
        <w:rPr>
          <w:rFonts w:ascii="PMingLiU" w:cs="PMingLiU" w:eastAsia="PMingLiU" w:hAnsi="PMingLiU"/>
          <w:sz w:val="16"/>
          <w:szCs w:val="16"/>
          <w:color w:val="auto"/>
        </w:rPr>
        <w:t/>
      </w:r>
      <w:r>
        <w:rPr>
          <w:rFonts w:ascii="Arial" w:cs="Arial" w:eastAsia="Arial" w:hAnsi="Arial"/>
          <w:sz w:val="16"/>
          <w:szCs w:val="16"/>
          <w:color w:val="auto"/>
        </w:rPr>
        <w:t>LQ</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 xml:space="preserve"> IXWXUH</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DUH</w:t>
      </w:r>
      <w:r>
        <w:rPr>
          <w:rFonts w:ascii="PMingLiU" w:cs="PMingLiU" w:eastAsia="PMingLiU" w:hAnsi="PMingLiU"/>
          <w:sz w:val="16"/>
          <w:szCs w:val="16"/>
          <w:color w:val="auto"/>
        </w:rPr>
        <w:t/>
      </w:r>
      <w:r>
        <w:rPr>
          <w:rFonts w:ascii="Arial" w:cs="Arial" w:eastAsia="Arial" w:hAnsi="Arial"/>
          <w:sz w:val="16"/>
          <w:szCs w:val="16"/>
          <w:color w:val="auto"/>
        </w:rPr>
        <w:t>GHHSO\</w:t>
      </w:r>
      <w:r>
        <w:rPr>
          <w:rFonts w:ascii="PMingLiU" w:cs="PMingLiU" w:eastAsia="PMingLiU" w:hAnsi="PMingLiU"/>
          <w:sz w:val="16"/>
          <w:szCs w:val="16"/>
          <w:color w:val="auto"/>
        </w:rPr>
        <w:t/>
      </w:r>
      <w:r>
        <w:rPr>
          <w:rFonts w:ascii="Arial" w:cs="Arial" w:eastAsia="Arial" w:hAnsi="Arial"/>
          <w:sz w:val="16"/>
          <w:szCs w:val="16"/>
          <w:color w:val="auto"/>
        </w:rPr>
        <w:t>DSSUHFLDWLYH</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'DQ­V</w:t>
      </w:r>
      <w:r>
        <w:rPr>
          <w:rFonts w:ascii="PMingLiU" w:cs="PMingLiU" w:eastAsia="PMingLiU" w:hAnsi="PMingLiU"/>
          <w:sz w:val="16"/>
          <w:szCs w:val="16"/>
          <w:color w:val="auto"/>
        </w:rPr>
        <w:t/>
      </w:r>
      <w:r>
        <w:rPr>
          <w:rFonts w:ascii="Arial" w:cs="Arial" w:eastAsia="Arial" w:hAnsi="Arial"/>
          <w:sz w:val="16"/>
          <w:szCs w:val="16"/>
          <w:color w:val="auto"/>
        </w:rPr>
        <w:t>YLVLRQDU\</w:t>
      </w:r>
      <w:r>
        <w:rPr>
          <w:rFonts w:ascii="PMingLiU" w:cs="PMingLiU" w:eastAsia="PMingLiU" w:hAnsi="PMingLiU"/>
          <w:sz w:val="16"/>
          <w:szCs w:val="16"/>
          <w:color w:val="auto"/>
        </w:rPr>
        <w:t/>
      </w:r>
      <w:r>
        <w:rPr>
          <w:rFonts w:ascii="Arial" w:cs="Arial" w:eastAsia="Arial" w:hAnsi="Arial"/>
          <w:sz w:val="16"/>
          <w:szCs w:val="16"/>
          <w:color w:val="auto"/>
        </w:rPr>
        <w:t>OHDGHUVKLS</w:t>
      </w:r>
      <w:r>
        <w:rPr>
          <w:rFonts w:ascii="PMingLiU" w:cs="PMingLiU" w:eastAsia="PMingLiU" w:hAnsi="PMingLiU"/>
          <w:sz w:val="16"/>
          <w:szCs w:val="16"/>
          <w:color w:val="auto"/>
        </w:rPr>
        <w:t/>
      </w:r>
      <w:r>
        <w:rPr>
          <w:rFonts w:ascii="Arial" w:cs="Arial" w:eastAsia="Arial" w:hAnsi="Arial"/>
          <w:sz w:val="16"/>
          <w:szCs w:val="16"/>
          <w:color w:val="auto"/>
        </w:rPr>
        <w:t>XQZDYHULQJ</w:t>
      </w:r>
      <w:r>
        <w:rPr>
          <w:rFonts w:ascii="PMingLiU" w:cs="PMingLiU" w:eastAsia="PMingLiU" w:hAnsi="PMingLiU"/>
          <w:sz w:val="16"/>
          <w:szCs w:val="16"/>
          <w:color w:val="auto"/>
        </w:rPr>
        <w:t/>
      </w:r>
      <w:r>
        <w:rPr>
          <w:rFonts w:ascii="Arial" w:cs="Arial" w:eastAsia="Arial" w:hAnsi="Arial"/>
          <w:sz w:val="16"/>
          <w:szCs w:val="16"/>
          <w:color w:val="auto"/>
        </w:rPr>
        <w:t xml:space="preserve"> FRPPLWPHQW</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VLJQL´FDQW</w:t>
      </w:r>
      <w:r>
        <w:rPr>
          <w:rFonts w:ascii="PMingLiU" w:cs="PMingLiU" w:eastAsia="PMingLiU" w:hAnsi="PMingLiU"/>
          <w:sz w:val="16"/>
          <w:szCs w:val="16"/>
          <w:color w:val="auto"/>
        </w:rPr>
        <w:t/>
      </w:r>
      <w:r>
        <w:rPr>
          <w:rFonts w:ascii="Arial" w:cs="Arial" w:eastAsia="Arial" w:hAnsi="Arial"/>
          <w:sz w:val="16"/>
          <w:szCs w:val="16"/>
          <w:color w:val="auto"/>
        </w:rPr>
        <w:t>FRQWULEXWLRQV</w:t>
      </w:r>
      <w:r>
        <w:rPr>
          <w:rFonts w:ascii="PMingLiU" w:cs="PMingLiU" w:eastAsia="PMingLiU" w:hAnsi="PMingLiU"/>
          <w:sz w:val="16"/>
          <w:szCs w:val="16"/>
          <w:color w:val="auto"/>
        </w:rPr>
        <w:t/>
      </w:r>
      <w:r>
        <w:rPr>
          <w:rFonts w:ascii="Arial" w:cs="Arial" w:eastAsia="Arial" w:hAnsi="Arial"/>
          <w:sz w:val="16"/>
          <w:szCs w:val="16"/>
          <w:color w:val="auto"/>
        </w:rPr>
        <w:t>WKDW</w:t>
      </w:r>
      <w:r>
        <w:rPr>
          <w:rFonts w:ascii="PMingLiU" w:cs="PMingLiU" w:eastAsia="PMingLiU" w:hAnsi="PMingLiU"/>
          <w:sz w:val="16"/>
          <w:szCs w:val="16"/>
          <w:color w:val="auto"/>
        </w:rPr>
        <w:t/>
      </w:r>
      <w:r>
        <w:rPr>
          <w:rFonts w:ascii="Arial" w:cs="Arial" w:eastAsia="Arial" w:hAnsi="Arial"/>
          <w:sz w:val="16"/>
          <w:szCs w:val="16"/>
          <w:color w:val="auto"/>
        </w:rPr>
        <w:t>KH</w:t>
      </w:r>
      <w:r>
        <w:rPr>
          <w:rFonts w:ascii="PMingLiU" w:cs="PMingLiU" w:eastAsia="PMingLiU" w:hAnsi="PMingLiU"/>
          <w:sz w:val="16"/>
          <w:szCs w:val="16"/>
          <w:color w:val="auto"/>
        </w:rPr>
        <w:t/>
      </w:r>
      <w:r>
        <w:rPr>
          <w:rFonts w:ascii="Arial" w:cs="Arial" w:eastAsia="Arial" w:hAnsi="Arial"/>
          <w:sz w:val="16"/>
          <w:szCs w:val="16"/>
          <w:color w:val="auto"/>
        </w:rPr>
        <w:t>KDV</w:t>
      </w:r>
      <w:r>
        <w:rPr>
          <w:rFonts w:ascii="PMingLiU" w:cs="PMingLiU" w:eastAsia="PMingLiU" w:hAnsi="PMingLiU"/>
          <w:sz w:val="16"/>
          <w:szCs w:val="16"/>
          <w:color w:val="auto"/>
        </w:rPr>
        <w:t/>
      </w:r>
      <w:r>
        <w:rPr>
          <w:rFonts w:ascii="Arial" w:cs="Arial" w:eastAsia="Arial" w:hAnsi="Arial"/>
          <w:sz w:val="16"/>
          <w:szCs w:val="16"/>
          <w:color w:val="auto"/>
        </w:rPr>
        <w:t>PDGH</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FRPSDQ\</w:t>
      </w:r>
      <w:r>
        <w:rPr>
          <w:rFonts w:ascii="PMingLiU" w:cs="PMingLiU" w:eastAsia="PMingLiU" w:hAnsi="PMingLiU"/>
          <w:sz w:val="16"/>
          <w:szCs w:val="16"/>
          <w:color w:val="auto"/>
        </w:rPr>
        <w:t/>
      </w:r>
      <w:r>
        <w:rPr>
          <w:rFonts w:ascii="Arial" w:cs="Arial" w:eastAsia="Arial" w:hAnsi="Arial"/>
          <w:sz w:val="16"/>
          <w:szCs w:val="16"/>
          <w:color w:val="auto"/>
        </w:rPr>
        <w:t xml:space="preserve"> 2Q</w:t>
      </w:r>
      <w:r>
        <w:rPr>
          <w:rFonts w:ascii="PMingLiU" w:cs="PMingLiU" w:eastAsia="PMingLiU" w:hAnsi="PMingLiU"/>
          <w:sz w:val="16"/>
          <w:szCs w:val="16"/>
          <w:color w:val="auto"/>
        </w:rPr>
        <w:t/>
      </w:r>
      <w:r>
        <w:rPr>
          <w:rFonts w:ascii="Arial" w:cs="Arial" w:eastAsia="Arial" w:hAnsi="Arial"/>
          <w:sz w:val="16"/>
          <w:szCs w:val="16"/>
          <w:color w:val="auto"/>
        </w:rPr>
        <w:t>EHKDOI</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HQWLUH</w:t>
      </w:r>
      <w:r>
        <w:rPr>
          <w:rFonts w:ascii="PMingLiU" w:cs="PMingLiU" w:eastAsia="PMingLiU" w:hAnsi="PMingLiU"/>
          <w:sz w:val="16"/>
          <w:szCs w:val="16"/>
          <w:color w:val="auto"/>
        </w:rPr>
        <w:t/>
      </w:r>
      <w:r>
        <w:rPr>
          <w:rFonts w:ascii="Arial" w:cs="Arial" w:eastAsia="Arial" w:hAnsi="Arial"/>
          <w:sz w:val="16"/>
          <w:szCs w:val="16"/>
          <w:color w:val="auto"/>
        </w:rPr>
        <w:t>RUJDQL]DWLRQ</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VKDUHKROGHUV</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ZLVK</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H[WHQG</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 xml:space="preserve"> sincerest thanks to Dan for his dedication to Bel over the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135255</wp:posOffset>
            </wp:positionV>
            <wp:extent cx="1929130" cy="2114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9130" cy="2114550"/>
                    </a:xfrm>
                    <a:prstGeom prst="rect">
                      <a:avLst/>
                    </a:prstGeom>
                    <a:noFill/>
                  </pic:spPr>
                </pic:pic>
              </a:graphicData>
            </a:graphic>
          </wp:anchor>
        </w:drawing>
      </w:r>
    </w:p>
    <w:p>
      <w:pPr>
        <w:spacing w:after="0" w:line="249" w:lineRule="exact"/>
        <w:rPr>
          <w:sz w:val="20"/>
          <w:szCs w:val="20"/>
          <w:color w:val="auto"/>
        </w:rPr>
      </w:pPr>
    </w:p>
    <w:p>
      <w:pPr>
        <w:ind w:right="2080"/>
        <w:spacing w:after="0" w:line="270" w:lineRule="exact"/>
        <w:rPr>
          <w:sz w:val="20"/>
          <w:szCs w:val="20"/>
          <w:color w:val="auto"/>
        </w:rPr>
      </w:pP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DUH</w:t>
      </w:r>
      <w:r>
        <w:rPr>
          <w:rFonts w:ascii="PMingLiU" w:cs="PMingLiU" w:eastAsia="PMingLiU" w:hAnsi="PMingLiU"/>
          <w:sz w:val="16"/>
          <w:szCs w:val="16"/>
          <w:color w:val="auto"/>
        </w:rPr>
        <w:t/>
      </w:r>
      <w:r>
        <w:rPr>
          <w:rFonts w:ascii="Arial" w:cs="Arial" w:eastAsia="Arial" w:hAnsi="Arial"/>
          <w:sz w:val="16"/>
          <w:szCs w:val="16"/>
          <w:color w:val="auto"/>
        </w:rPr>
        <w:t>DOVR</w:t>
      </w:r>
      <w:r>
        <w:rPr>
          <w:rFonts w:ascii="PMingLiU" w:cs="PMingLiU" w:eastAsia="PMingLiU" w:hAnsi="PMingLiU"/>
          <w:sz w:val="16"/>
          <w:szCs w:val="16"/>
          <w:color w:val="auto"/>
        </w:rPr>
        <w:t/>
      </w:r>
      <w:r>
        <w:rPr>
          <w:rFonts w:ascii="Arial" w:cs="Arial" w:eastAsia="Arial" w:hAnsi="Arial"/>
          <w:sz w:val="16"/>
          <w:szCs w:val="16"/>
          <w:color w:val="auto"/>
        </w:rPr>
        <w:t>SURXG</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UHFRJQL]H</w:t>
      </w:r>
      <w:r>
        <w:rPr>
          <w:rFonts w:ascii="PMingLiU" w:cs="PMingLiU" w:eastAsia="PMingLiU" w:hAnsi="PMingLiU"/>
          <w:sz w:val="16"/>
          <w:szCs w:val="16"/>
          <w:color w:val="auto"/>
        </w:rPr>
        <w:t/>
      </w:r>
      <w:r>
        <w:rPr>
          <w:rFonts w:ascii="Arial" w:cs="Arial" w:eastAsia="Arial" w:hAnsi="Arial"/>
          <w:sz w:val="16"/>
          <w:szCs w:val="16"/>
          <w:color w:val="auto"/>
        </w:rPr>
        <w:t>3HWH</w:t>
      </w:r>
      <w:r>
        <w:rPr>
          <w:rFonts w:ascii="PMingLiU" w:cs="PMingLiU" w:eastAsia="PMingLiU" w:hAnsi="PMingLiU"/>
          <w:sz w:val="16"/>
          <w:szCs w:val="16"/>
          <w:color w:val="auto"/>
        </w:rPr>
        <w:t/>
      </w:r>
      <w:r>
        <w:rPr>
          <w:rFonts w:ascii="Arial" w:cs="Arial" w:eastAsia="Arial" w:hAnsi="Arial"/>
          <w:sz w:val="16"/>
          <w:szCs w:val="16"/>
          <w:color w:val="auto"/>
        </w:rPr>
        <w:t>%LWWQHU</w:t>
      </w:r>
      <w:r>
        <w:rPr>
          <w:rFonts w:ascii="PMingLiU" w:cs="PMingLiU" w:eastAsia="PMingLiU" w:hAnsi="PMingLiU"/>
          <w:sz w:val="16"/>
          <w:szCs w:val="16"/>
          <w:color w:val="auto"/>
        </w:rPr>
        <w:t/>
      </w:r>
      <w:r>
        <w:rPr>
          <w:rFonts w:ascii="Arial" w:cs="Arial" w:eastAsia="Arial" w:hAnsi="Arial"/>
          <w:sz w:val="16"/>
          <w:szCs w:val="16"/>
          <w:color w:val="auto"/>
        </w:rPr>
        <w:t>IRUPHU</w:t>
      </w:r>
      <w:r>
        <w:rPr>
          <w:rFonts w:ascii="PMingLiU" w:cs="PMingLiU" w:eastAsia="PMingLiU" w:hAnsi="PMingLiU"/>
          <w:sz w:val="16"/>
          <w:szCs w:val="16"/>
          <w:color w:val="auto"/>
        </w:rPr>
        <w:t/>
      </w:r>
      <w:r>
        <w:rPr>
          <w:rFonts w:ascii="Arial" w:cs="Arial" w:eastAsia="Arial" w:hAnsi="Arial"/>
          <w:sz w:val="16"/>
          <w:szCs w:val="16"/>
          <w:color w:val="auto"/>
        </w:rPr>
        <w:t>3UHVLGHQW</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&amp;RQQHFWLYLW\</w:t>
      </w:r>
      <w:r>
        <w:rPr>
          <w:rFonts w:ascii="PMingLiU" w:cs="PMingLiU" w:eastAsia="PMingLiU" w:hAnsi="PMingLiU"/>
          <w:sz w:val="16"/>
          <w:szCs w:val="16"/>
          <w:color w:val="auto"/>
        </w:rPr>
        <w:t/>
      </w:r>
      <w:r>
        <w:rPr>
          <w:rFonts w:ascii="Arial" w:cs="Arial" w:eastAsia="Arial" w:hAnsi="Arial"/>
          <w:sz w:val="16"/>
          <w:szCs w:val="16"/>
          <w:color w:val="auto"/>
        </w:rPr>
        <w:t xml:space="preserve"> 6ROXWLRQV</w:t>
      </w:r>
      <w:r>
        <w:rPr>
          <w:rFonts w:ascii="PMingLiU" w:cs="PMingLiU" w:eastAsia="PMingLiU" w:hAnsi="PMingLiU"/>
          <w:sz w:val="16"/>
          <w:szCs w:val="16"/>
          <w:color w:val="auto"/>
        </w:rPr>
        <w:t/>
      </w:r>
      <w:r>
        <w:rPr>
          <w:rFonts w:ascii="Arial" w:cs="Arial" w:eastAsia="Arial" w:hAnsi="Arial"/>
          <w:sz w:val="16"/>
          <w:szCs w:val="16"/>
          <w:color w:val="auto"/>
        </w:rPr>
        <w:t>ZKR</w:t>
      </w:r>
      <w:r>
        <w:rPr>
          <w:rFonts w:ascii="PMingLiU" w:cs="PMingLiU" w:eastAsia="PMingLiU" w:hAnsi="PMingLiU"/>
          <w:sz w:val="16"/>
          <w:szCs w:val="16"/>
          <w:color w:val="auto"/>
        </w:rPr>
        <w:t/>
      </w:r>
      <w:r>
        <w:rPr>
          <w:rFonts w:ascii="Arial" w:cs="Arial" w:eastAsia="Arial" w:hAnsi="Arial"/>
          <w:sz w:val="16"/>
          <w:szCs w:val="16"/>
          <w:color w:val="auto"/>
        </w:rPr>
        <w:t>UHWLUHG</w:t>
      </w:r>
      <w:r>
        <w:rPr>
          <w:rFonts w:ascii="PMingLiU" w:cs="PMingLiU" w:eastAsia="PMingLiU" w:hAnsi="PMingLiU"/>
          <w:sz w:val="16"/>
          <w:szCs w:val="16"/>
          <w:color w:val="auto"/>
        </w:rPr>
        <w:t/>
      </w:r>
      <w:r>
        <w:rPr>
          <w:rFonts w:ascii="Arial" w:cs="Arial" w:eastAsia="Arial" w:hAnsi="Arial"/>
          <w:sz w:val="16"/>
          <w:szCs w:val="16"/>
          <w:color w:val="auto"/>
        </w:rPr>
        <w:t>LQ</w:t>
      </w:r>
      <w:r>
        <w:rPr>
          <w:rFonts w:ascii="PMingLiU" w:cs="PMingLiU" w:eastAsia="PMingLiU" w:hAnsi="PMingLiU"/>
          <w:sz w:val="16"/>
          <w:szCs w:val="16"/>
          <w:color w:val="auto"/>
        </w:rPr>
        <w:t/>
      </w:r>
      <w:r>
        <w:rPr>
          <w:rFonts w:ascii="Arial" w:cs="Arial" w:eastAsia="Arial" w:hAnsi="Arial"/>
          <w:sz w:val="16"/>
          <w:szCs w:val="16"/>
          <w:color w:val="auto"/>
        </w:rPr>
        <w:t>HDUO\</w:t>
      </w:r>
      <w:r>
        <w:rPr>
          <w:rFonts w:ascii="PMingLiU" w:cs="PMingLiU" w:eastAsia="PMingLiU" w:hAnsi="PMingLiU"/>
          <w:sz w:val="16"/>
          <w:szCs w:val="16"/>
          <w:color w:val="auto"/>
        </w:rPr>
        <w:t/>
      </w:r>
      <w:r>
        <w:rPr>
          <w:rFonts w:ascii="Arial" w:cs="Arial" w:eastAsia="Arial" w:hAnsi="Arial"/>
          <w:sz w:val="16"/>
          <w:szCs w:val="16"/>
          <w:color w:val="auto"/>
        </w:rPr>
        <w:t>$SULO</w:t>
      </w:r>
      <w:r>
        <w:rPr>
          <w:rFonts w:ascii="PMingLiU" w:cs="PMingLiU" w:eastAsia="PMingLiU" w:hAnsi="PMingLiU"/>
          <w:sz w:val="16"/>
          <w:szCs w:val="16"/>
          <w:color w:val="auto"/>
        </w:rPr>
        <w:t/>
      </w:r>
      <w:r>
        <w:rPr>
          <w:rFonts w:ascii="Arial" w:cs="Arial" w:eastAsia="Arial" w:hAnsi="Arial"/>
          <w:sz w:val="16"/>
          <w:szCs w:val="16"/>
          <w:color w:val="auto"/>
        </w:rPr>
        <w:t>DIWHU</w:t>
      </w:r>
      <w:r>
        <w:rPr>
          <w:rFonts w:ascii="PMingLiU" w:cs="PMingLiU" w:eastAsia="PMingLiU" w:hAnsi="PMingLiU"/>
          <w:sz w:val="16"/>
          <w:szCs w:val="16"/>
          <w:color w:val="auto"/>
        </w:rPr>
        <w:t/>
      </w:r>
      <w:r>
        <w:rPr>
          <w:rFonts w:ascii="Arial" w:cs="Arial" w:eastAsia="Arial" w:hAnsi="Arial"/>
          <w:sz w:val="16"/>
          <w:szCs w:val="16"/>
          <w:color w:val="auto"/>
        </w:rPr>
        <w:t>\HDUV</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GLVWLQJXLVKHG</w:t>
      </w:r>
      <w:r>
        <w:rPr>
          <w:rFonts w:ascii="PMingLiU" w:cs="PMingLiU" w:eastAsia="PMingLiU" w:hAnsi="PMingLiU"/>
          <w:sz w:val="16"/>
          <w:szCs w:val="16"/>
          <w:color w:val="auto"/>
        </w:rPr>
        <w:t/>
      </w:r>
      <w:r>
        <w:rPr>
          <w:rFonts w:ascii="Arial" w:cs="Arial" w:eastAsia="Arial" w:hAnsi="Arial"/>
          <w:sz w:val="16"/>
          <w:szCs w:val="16"/>
          <w:color w:val="auto"/>
        </w:rPr>
        <w:t>VHUYLFH</w:t>
      </w:r>
      <w:r>
        <w:rPr>
          <w:rFonts w:ascii="PMingLiU" w:cs="PMingLiU" w:eastAsia="PMingLiU" w:hAnsi="PMingLiU"/>
          <w:sz w:val="16"/>
          <w:szCs w:val="16"/>
          <w:color w:val="auto"/>
        </w:rPr>
        <w:t/>
      </w:r>
      <w:r>
        <w:rPr>
          <w:rFonts w:ascii="Arial" w:cs="Arial" w:eastAsia="Arial" w:hAnsi="Arial"/>
          <w:sz w:val="16"/>
          <w:szCs w:val="16"/>
          <w:color w:val="auto"/>
        </w:rPr>
        <w:t xml:space="preserve"> ZLWK</w:t>
      </w:r>
      <w:r>
        <w:rPr>
          <w:rFonts w:ascii="PMingLiU" w:cs="PMingLiU" w:eastAsia="PMingLiU" w:hAnsi="PMingLiU"/>
          <w:sz w:val="16"/>
          <w:szCs w:val="16"/>
          <w:color w:val="auto"/>
        </w:rPr>
        <w:t/>
      </w:r>
      <w:r>
        <w:rPr>
          <w:rFonts w:ascii="Arial" w:cs="Arial" w:eastAsia="Arial" w:hAnsi="Arial"/>
          <w:sz w:val="16"/>
          <w:szCs w:val="16"/>
          <w:color w:val="auto"/>
        </w:rPr>
        <w:t>%HO</w:t>
      </w:r>
      <w:r>
        <w:rPr>
          <w:rFonts w:ascii="PMingLiU" w:cs="PMingLiU" w:eastAsia="PMingLiU" w:hAnsi="PMingLiU"/>
          <w:sz w:val="16"/>
          <w:szCs w:val="16"/>
          <w:color w:val="auto"/>
        </w:rPr>
        <w:t/>
      </w:r>
      <w:r>
        <w:rPr>
          <w:rFonts w:ascii="Arial" w:cs="Arial" w:eastAsia="Arial" w:hAnsi="Arial"/>
          <w:sz w:val="16"/>
          <w:szCs w:val="16"/>
          <w:color w:val="auto"/>
        </w:rPr>
        <w:t>3HWH­V</w:t>
      </w:r>
      <w:r>
        <w:rPr>
          <w:rFonts w:ascii="PMingLiU" w:cs="PMingLiU" w:eastAsia="PMingLiU" w:hAnsi="PMingLiU"/>
          <w:sz w:val="16"/>
          <w:szCs w:val="16"/>
          <w:color w:val="auto"/>
        </w:rPr>
        <w:t/>
      </w:r>
      <w:r>
        <w:rPr>
          <w:rFonts w:ascii="Arial" w:cs="Arial" w:eastAsia="Arial" w:hAnsi="Arial"/>
          <w:sz w:val="16"/>
          <w:szCs w:val="16"/>
          <w:color w:val="auto"/>
        </w:rPr>
        <w:t>OHDGHUVKLS</w:t>
      </w:r>
      <w:r>
        <w:rPr>
          <w:rFonts w:ascii="PMingLiU" w:cs="PMingLiU" w:eastAsia="PMingLiU" w:hAnsi="PMingLiU"/>
          <w:sz w:val="16"/>
          <w:szCs w:val="16"/>
          <w:color w:val="auto"/>
        </w:rPr>
        <w:t/>
      </w:r>
      <w:r>
        <w:rPr>
          <w:rFonts w:ascii="Arial" w:cs="Arial" w:eastAsia="Arial" w:hAnsi="Arial"/>
          <w:sz w:val="16"/>
          <w:szCs w:val="16"/>
          <w:color w:val="auto"/>
        </w:rPr>
        <w:t>YLVLRQ</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PDQ\</w:t>
      </w:r>
      <w:r>
        <w:rPr>
          <w:rFonts w:ascii="PMingLiU" w:cs="PMingLiU" w:eastAsia="PMingLiU" w:hAnsi="PMingLiU"/>
          <w:sz w:val="16"/>
          <w:szCs w:val="16"/>
          <w:color w:val="auto"/>
        </w:rPr>
        <w:t/>
      </w:r>
      <w:r>
        <w:rPr>
          <w:rFonts w:ascii="Arial" w:cs="Arial" w:eastAsia="Arial" w:hAnsi="Arial"/>
          <w:sz w:val="16"/>
          <w:szCs w:val="16"/>
          <w:color w:val="auto"/>
        </w:rPr>
        <w:t>FRQWULEXWLRQV</w:t>
      </w:r>
      <w:r>
        <w:rPr>
          <w:rFonts w:ascii="PMingLiU" w:cs="PMingLiU" w:eastAsia="PMingLiU" w:hAnsi="PMingLiU"/>
          <w:sz w:val="16"/>
          <w:szCs w:val="16"/>
          <w:color w:val="auto"/>
        </w:rPr>
        <w:t/>
      </w:r>
      <w:r>
        <w:rPr>
          <w:rFonts w:ascii="Arial" w:cs="Arial" w:eastAsia="Arial" w:hAnsi="Arial"/>
          <w:sz w:val="16"/>
          <w:szCs w:val="16"/>
          <w:color w:val="auto"/>
        </w:rPr>
        <w:t>KDYH</w:t>
      </w:r>
      <w:r>
        <w:rPr>
          <w:rFonts w:ascii="PMingLiU" w:cs="PMingLiU" w:eastAsia="PMingLiU" w:hAnsi="PMingLiU"/>
          <w:sz w:val="16"/>
          <w:szCs w:val="16"/>
          <w:color w:val="auto"/>
        </w:rPr>
        <w:t/>
      </w:r>
      <w:r>
        <w:rPr>
          <w:rFonts w:ascii="Arial" w:cs="Arial" w:eastAsia="Arial" w:hAnsi="Arial"/>
          <w:sz w:val="16"/>
          <w:szCs w:val="16"/>
          <w:color w:val="auto"/>
        </w:rPr>
        <w:t>VKDSHG</w:t>
      </w:r>
      <w:r>
        <w:rPr>
          <w:rFonts w:ascii="PMingLiU" w:cs="PMingLiU" w:eastAsia="PMingLiU" w:hAnsi="PMingLiU"/>
          <w:sz w:val="16"/>
          <w:szCs w:val="16"/>
          <w:color w:val="auto"/>
        </w:rPr>
        <w:t/>
      </w:r>
      <w:r>
        <w:rPr>
          <w:rFonts w:ascii="Arial" w:cs="Arial" w:eastAsia="Arial" w:hAnsi="Arial"/>
          <w:sz w:val="16"/>
          <w:szCs w:val="16"/>
          <w:color w:val="auto"/>
        </w:rPr>
        <w:t>ZKR</w:t>
      </w:r>
      <w:r>
        <w:rPr>
          <w:rFonts w:ascii="PMingLiU" w:cs="PMingLiU" w:eastAsia="PMingLiU" w:hAnsi="PMingLiU"/>
          <w:sz w:val="16"/>
          <w:szCs w:val="16"/>
          <w:color w:val="auto"/>
        </w:rPr>
        <w:t/>
      </w:r>
      <w:r>
        <w:rPr>
          <w:rFonts w:ascii="Arial" w:cs="Arial" w:eastAsia="Arial" w:hAnsi="Arial"/>
          <w:sz w:val="16"/>
          <w:szCs w:val="16"/>
          <w:color w:val="auto"/>
        </w:rPr>
        <w:t xml:space="preserve"> ZH</w:t>
      </w:r>
      <w:r>
        <w:rPr>
          <w:rFonts w:ascii="PMingLiU" w:cs="PMingLiU" w:eastAsia="PMingLiU" w:hAnsi="PMingLiU"/>
          <w:sz w:val="16"/>
          <w:szCs w:val="16"/>
          <w:color w:val="auto"/>
        </w:rPr>
        <w:t/>
      </w:r>
      <w:r>
        <w:rPr>
          <w:rFonts w:ascii="Arial" w:cs="Arial" w:eastAsia="Arial" w:hAnsi="Arial"/>
          <w:sz w:val="16"/>
          <w:szCs w:val="16"/>
          <w:color w:val="auto"/>
        </w:rPr>
        <w:t>DUH</w:t>
      </w:r>
      <w:r>
        <w:rPr>
          <w:rFonts w:ascii="PMingLiU" w:cs="PMingLiU" w:eastAsia="PMingLiU" w:hAnsi="PMingLiU"/>
          <w:sz w:val="16"/>
          <w:szCs w:val="16"/>
          <w:color w:val="auto"/>
        </w:rPr>
        <w:t/>
      </w:r>
      <w:r>
        <w:rPr>
          <w:rFonts w:ascii="Arial" w:cs="Arial" w:eastAsia="Arial" w:hAnsi="Arial"/>
          <w:sz w:val="16"/>
          <w:szCs w:val="16"/>
          <w:color w:val="auto"/>
        </w:rPr>
        <w:t>WRGD\</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ZH</w:t>
      </w:r>
      <w:r>
        <w:rPr>
          <w:rFonts w:ascii="PMingLiU" w:cs="PMingLiU" w:eastAsia="PMingLiU" w:hAnsi="PMingLiU"/>
          <w:sz w:val="16"/>
          <w:szCs w:val="16"/>
          <w:color w:val="auto"/>
        </w:rPr>
        <w:t/>
      </w:r>
      <w:r>
        <w:rPr>
          <w:rFonts w:ascii="Arial" w:cs="Arial" w:eastAsia="Arial" w:hAnsi="Arial"/>
          <w:sz w:val="16"/>
          <w:szCs w:val="16"/>
          <w:color w:val="auto"/>
        </w:rPr>
        <w:t>DUH</w:t>
      </w:r>
      <w:r>
        <w:rPr>
          <w:rFonts w:ascii="PMingLiU" w:cs="PMingLiU" w:eastAsia="PMingLiU" w:hAnsi="PMingLiU"/>
          <w:sz w:val="16"/>
          <w:szCs w:val="16"/>
          <w:color w:val="auto"/>
        </w:rPr>
        <w:t/>
      </w:r>
      <w:r>
        <w:rPr>
          <w:rFonts w:ascii="Arial" w:cs="Arial" w:eastAsia="Arial" w:hAnsi="Arial"/>
          <w:sz w:val="16"/>
          <w:szCs w:val="16"/>
          <w:color w:val="auto"/>
        </w:rPr>
        <w:t>JUDWHIXO</w:t>
      </w:r>
      <w:r>
        <w:rPr>
          <w:rFonts w:ascii="PMingLiU" w:cs="PMingLiU" w:eastAsia="PMingLiU" w:hAnsi="PMingLiU"/>
          <w:sz w:val="16"/>
          <w:szCs w:val="16"/>
          <w:color w:val="auto"/>
        </w:rPr>
        <w:t/>
      </w:r>
      <w:r>
        <w:rPr>
          <w:rFonts w:ascii="Arial" w:cs="Arial" w:eastAsia="Arial" w:hAnsi="Arial"/>
          <w:sz w:val="16"/>
          <w:szCs w:val="16"/>
          <w:color w:val="auto"/>
        </w:rPr>
        <w:t>IRU</w:t>
      </w:r>
      <w:r>
        <w:rPr>
          <w:rFonts w:ascii="PMingLiU" w:cs="PMingLiU" w:eastAsia="PMingLiU" w:hAnsi="PMingLiU"/>
          <w:sz w:val="16"/>
          <w:szCs w:val="16"/>
          <w:color w:val="auto"/>
        </w:rPr>
        <w:t/>
      </w:r>
      <w:r>
        <w:rPr>
          <w:rFonts w:ascii="Arial" w:cs="Arial" w:eastAsia="Arial" w:hAnsi="Arial"/>
          <w:sz w:val="16"/>
          <w:szCs w:val="16"/>
          <w:color w:val="auto"/>
        </w:rPr>
        <w:t>KLV</w:t>
      </w:r>
      <w:r>
        <w:rPr>
          <w:rFonts w:ascii="PMingLiU" w:cs="PMingLiU" w:eastAsia="PMingLiU" w:hAnsi="PMingLiU"/>
          <w:sz w:val="16"/>
          <w:szCs w:val="16"/>
          <w:color w:val="auto"/>
        </w:rPr>
        <w:t/>
      </w:r>
      <w:r>
        <w:rPr>
          <w:rFonts w:ascii="Arial" w:cs="Arial" w:eastAsia="Arial" w:hAnsi="Arial"/>
          <w:sz w:val="16"/>
          <w:szCs w:val="16"/>
          <w:color w:val="auto"/>
        </w:rPr>
        <w:t>XQZDYHULQJ</w:t>
      </w:r>
      <w:r>
        <w:rPr>
          <w:rFonts w:ascii="PMingLiU" w:cs="PMingLiU" w:eastAsia="PMingLiU" w:hAnsi="PMingLiU"/>
          <w:sz w:val="16"/>
          <w:szCs w:val="16"/>
          <w:color w:val="auto"/>
        </w:rPr>
        <w:t/>
      </w:r>
      <w:r>
        <w:rPr>
          <w:rFonts w:ascii="Arial" w:cs="Arial" w:eastAsia="Arial" w:hAnsi="Arial"/>
          <w:sz w:val="16"/>
          <w:szCs w:val="16"/>
          <w:color w:val="auto"/>
        </w:rPr>
        <w:t>FRPPLWPHQW</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ZLOO</w:t>
      </w:r>
      <w:r>
        <w:rPr>
          <w:rFonts w:ascii="PMingLiU" w:cs="PMingLiU" w:eastAsia="PMingLiU" w:hAnsi="PMingLiU"/>
          <w:sz w:val="16"/>
          <w:szCs w:val="16"/>
          <w:color w:val="auto"/>
        </w:rPr>
        <w:t/>
      </w:r>
      <w:r>
        <w:rPr>
          <w:rFonts w:ascii="Arial" w:cs="Arial" w:eastAsia="Arial" w:hAnsi="Arial"/>
          <w:sz w:val="16"/>
          <w:szCs w:val="16"/>
          <w:color w:val="auto"/>
        </w:rPr>
        <w:t>PLVV</w:t>
      </w:r>
      <w:r>
        <w:rPr>
          <w:rFonts w:ascii="PMingLiU" w:cs="PMingLiU" w:eastAsia="PMingLiU" w:hAnsi="PMingLiU"/>
          <w:sz w:val="16"/>
          <w:szCs w:val="16"/>
          <w:color w:val="auto"/>
        </w:rPr>
        <w:t/>
      </w:r>
      <w:r>
        <w:rPr>
          <w:rFonts w:ascii="Arial" w:cs="Arial" w:eastAsia="Arial" w:hAnsi="Arial"/>
          <w:sz w:val="16"/>
          <w:szCs w:val="16"/>
          <w:color w:val="auto"/>
        </w:rPr>
        <w:t xml:space="preserve"> Pete as he was always a person of high integrity who was focused on the FROOHFWLYH</w:t>
      </w:r>
      <w:r>
        <w:rPr>
          <w:rFonts w:ascii="PMingLiU" w:cs="PMingLiU" w:eastAsia="PMingLiU" w:hAnsi="PMingLiU"/>
          <w:sz w:val="16"/>
          <w:szCs w:val="16"/>
          <w:color w:val="auto"/>
        </w:rPr>
        <w:t/>
      </w:r>
      <w:r>
        <w:rPr>
          <w:rFonts w:ascii="Arial" w:cs="Arial" w:eastAsia="Arial" w:hAnsi="Arial"/>
          <w:sz w:val="16"/>
          <w:szCs w:val="16"/>
          <w:color w:val="auto"/>
        </w:rPr>
        <w:t>JRRG</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ZLVK</w:t>
      </w:r>
      <w:r>
        <w:rPr>
          <w:rFonts w:ascii="PMingLiU" w:cs="PMingLiU" w:eastAsia="PMingLiU" w:hAnsi="PMingLiU"/>
          <w:sz w:val="16"/>
          <w:szCs w:val="16"/>
          <w:color w:val="auto"/>
        </w:rPr>
        <w:t/>
      </w:r>
      <w:r>
        <w:rPr>
          <w:rFonts w:ascii="Arial" w:cs="Arial" w:eastAsia="Arial" w:hAnsi="Arial"/>
          <w:sz w:val="16"/>
          <w:szCs w:val="16"/>
          <w:color w:val="auto"/>
        </w:rPr>
        <w:t>3HWH</w:t>
      </w:r>
      <w:r>
        <w:rPr>
          <w:rFonts w:ascii="PMingLiU" w:cs="PMingLiU" w:eastAsia="PMingLiU" w:hAnsi="PMingLiU"/>
          <w:sz w:val="16"/>
          <w:szCs w:val="16"/>
          <w:color w:val="auto"/>
        </w:rPr>
        <w:t/>
      </w:r>
      <w:r>
        <w:rPr>
          <w:rFonts w:ascii="Arial" w:cs="Arial" w:eastAsia="Arial" w:hAnsi="Arial"/>
          <w:sz w:val="16"/>
          <w:szCs w:val="16"/>
          <w:color w:val="auto"/>
        </w:rPr>
        <w:t>DOO</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EHVW</w:t>
      </w:r>
      <w:r>
        <w:rPr>
          <w:rFonts w:ascii="PMingLiU" w:cs="PMingLiU" w:eastAsia="PMingLiU" w:hAnsi="PMingLiU"/>
          <w:sz w:val="16"/>
          <w:szCs w:val="16"/>
          <w:color w:val="auto"/>
        </w:rPr>
        <w:t/>
      </w:r>
      <w:r>
        <w:rPr>
          <w:rFonts w:ascii="Arial" w:cs="Arial" w:eastAsia="Arial" w:hAnsi="Arial"/>
          <w:sz w:val="16"/>
          <w:szCs w:val="16"/>
          <w:color w:val="auto"/>
        </w:rPr>
        <w:t>LQ</w:t>
      </w:r>
      <w:r>
        <w:rPr>
          <w:rFonts w:ascii="PMingLiU" w:cs="PMingLiU" w:eastAsia="PMingLiU" w:hAnsi="PMingLiU"/>
          <w:sz w:val="16"/>
          <w:szCs w:val="16"/>
          <w:color w:val="auto"/>
        </w:rPr>
        <w:t/>
      </w:r>
      <w:r>
        <w:rPr>
          <w:rFonts w:ascii="Arial" w:cs="Arial" w:eastAsia="Arial" w:hAnsi="Arial"/>
          <w:sz w:val="16"/>
          <w:szCs w:val="16"/>
          <w:color w:val="auto"/>
        </w:rPr>
        <w:t>WKLV</w:t>
      </w:r>
      <w:r>
        <w:rPr>
          <w:rFonts w:ascii="PMingLiU" w:cs="PMingLiU" w:eastAsia="PMingLiU" w:hAnsi="PMingLiU"/>
          <w:sz w:val="16"/>
          <w:szCs w:val="16"/>
          <w:color w:val="auto"/>
        </w:rPr>
        <w:t/>
      </w:r>
      <w:r>
        <w:rPr>
          <w:rFonts w:ascii="Arial" w:cs="Arial" w:eastAsia="Arial" w:hAnsi="Arial"/>
          <w:sz w:val="16"/>
          <w:szCs w:val="16"/>
          <w:color w:val="auto"/>
        </w:rPr>
        <w:t>H[FLWLQJ</w:t>
      </w:r>
      <w:r>
        <w:rPr>
          <w:rFonts w:ascii="PMingLiU" w:cs="PMingLiU" w:eastAsia="PMingLiU" w:hAnsi="PMingLiU"/>
          <w:sz w:val="16"/>
          <w:szCs w:val="16"/>
          <w:color w:val="auto"/>
        </w:rPr>
        <w:t/>
      </w:r>
      <w:r>
        <w:rPr>
          <w:rFonts w:ascii="Arial" w:cs="Arial" w:eastAsia="Arial" w:hAnsi="Arial"/>
          <w:sz w:val="16"/>
          <w:szCs w:val="16"/>
          <w:color w:val="auto"/>
        </w:rPr>
        <w:t>QHZ</w:t>
      </w:r>
      <w:r>
        <w:rPr>
          <w:rFonts w:ascii="PMingLiU" w:cs="PMingLiU" w:eastAsia="PMingLiU" w:hAnsi="PMingLiU"/>
          <w:sz w:val="16"/>
          <w:szCs w:val="16"/>
          <w:color w:val="auto"/>
        </w:rPr>
        <w:t/>
      </w:r>
      <w:r>
        <w:rPr>
          <w:rFonts w:ascii="Arial" w:cs="Arial" w:eastAsia="Arial" w:hAnsi="Arial"/>
          <w:sz w:val="16"/>
          <w:szCs w:val="16"/>
          <w:color w:val="auto"/>
        </w:rPr>
        <w:t>FKDSWHU</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KLV</w:t>
      </w:r>
      <w:r>
        <w:rPr>
          <w:rFonts w:ascii="PMingLiU" w:cs="PMingLiU" w:eastAsia="PMingLiU" w:hAnsi="PMingLiU"/>
          <w:sz w:val="16"/>
          <w:szCs w:val="16"/>
          <w:color w:val="auto"/>
        </w:rPr>
        <w:t/>
      </w:r>
      <w:r>
        <w:rPr>
          <w:rFonts w:ascii="Arial" w:cs="Arial" w:eastAsia="Arial" w:hAnsi="Arial"/>
          <w:sz w:val="16"/>
          <w:szCs w:val="16"/>
          <w:color w:val="auto"/>
        </w:rPr>
        <w:t>OLIH</w:t>
      </w:r>
      <w:r>
        <w:rPr>
          <w:rFonts w:ascii="PMingLiU" w:cs="PMingLiU" w:eastAsia="PMingLiU" w:hAnsi="PMingLiU"/>
          <w:sz w:val="16"/>
          <w:szCs w:val="16"/>
          <w:color w:val="auto"/>
        </w:rPr>
        <w:t/>
      </w:r>
    </w:p>
    <w:p>
      <w:pPr>
        <w:spacing w:after="0" w:line="269" w:lineRule="exact"/>
        <w:rPr>
          <w:sz w:val="20"/>
          <w:szCs w:val="20"/>
          <w:color w:val="auto"/>
        </w:rPr>
      </w:pPr>
    </w:p>
    <w:p>
      <w:pPr>
        <w:ind w:right="2400"/>
        <w:spacing w:after="0" w:line="256" w:lineRule="exact"/>
        <w:rPr>
          <w:sz w:val="20"/>
          <w:szCs w:val="20"/>
          <w:color w:val="auto"/>
        </w:rPr>
      </w:pPr>
      <w:r>
        <w:rPr>
          <w:rFonts w:ascii="Arial" w:cs="Arial" w:eastAsia="Arial" w:hAnsi="Arial"/>
          <w:sz w:val="18"/>
          <w:szCs w:val="18"/>
          <w:color w:val="auto"/>
        </w:rPr>
        <w:t>$W</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VDPH</w:t>
      </w:r>
      <w:r>
        <w:rPr>
          <w:rFonts w:ascii="PMingLiU" w:cs="PMingLiU" w:eastAsia="PMingLiU" w:hAnsi="PMingLiU"/>
          <w:sz w:val="18"/>
          <w:szCs w:val="18"/>
          <w:color w:val="auto"/>
        </w:rPr>
        <w:t/>
      </w:r>
      <w:r>
        <w:rPr>
          <w:rFonts w:ascii="Arial" w:cs="Arial" w:eastAsia="Arial" w:hAnsi="Arial"/>
          <w:sz w:val="18"/>
          <w:szCs w:val="18"/>
          <w:color w:val="auto"/>
        </w:rPr>
        <w:t>WLPH</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ZHOFRPH</w:t>
      </w:r>
      <w:r>
        <w:rPr>
          <w:rFonts w:ascii="PMingLiU" w:cs="PMingLiU" w:eastAsia="PMingLiU" w:hAnsi="PMingLiU"/>
          <w:sz w:val="18"/>
          <w:szCs w:val="18"/>
          <w:color w:val="auto"/>
        </w:rPr>
        <w:t/>
      </w:r>
      <w:r>
        <w:rPr>
          <w:rFonts w:ascii="Arial" w:cs="Arial" w:eastAsia="Arial" w:hAnsi="Arial"/>
          <w:sz w:val="18"/>
          <w:szCs w:val="18"/>
          <w:color w:val="auto"/>
        </w:rPr>
        <w:t>7RP</w:t>
      </w:r>
      <w:r>
        <w:rPr>
          <w:rFonts w:ascii="PMingLiU" w:cs="PMingLiU" w:eastAsia="PMingLiU" w:hAnsi="PMingLiU"/>
          <w:sz w:val="18"/>
          <w:szCs w:val="18"/>
          <w:color w:val="auto"/>
        </w:rPr>
        <w:t/>
      </w:r>
      <w:r>
        <w:rPr>
          <w:rFonts w:ascii="Arial" w:cs="Arial" w:eastAsia="Arial" w:hAnsi="Arial"/>
          <w:sz w:val="18"/>
          <w:szCs w:val="18"/>
          <w:color w:val="auto"/>
        </w:rPr>
        <w:t>6PHONHU</w:t>
      </w:r>
      <w:r>
        <w:rPr>
          <w:rFonts w:ascii="PMingLiU" w:cs="PMingLiU" w:eastAsia="PMingLiU" w:hAnsi="PMingLiU"/>
          <w:sz w:val="18"/>
          <w:szCs w:val="18"/>
          <w:color w:val="auto"/>
        </w:rPr>
        <w:t/>
      </w:r>
      <w:r>
        <w:rPr>
          <w:rFonts w:ascii="Arial" w:cs="Arial" w:eastAsia="Arial" w:hAnsi="Arial"/>
          <w:sz w:val="18"/>
          <w:szCs w:val="18"/>
          <w:color w:val="auto"/>
        </w:rPr>
        <w:t>ZKR</w:t>
      </w:r>
      <w:r>
        <w:rPr>
          <w:rFonts w:ascii="PMingLiU" w:cs="PMingLiU" w:eastAsia="PMingLiU" w:hAnsi="PMingLiU"/>
          <w:sz w:val="18"/>
          <w:szCs w:val="18"/>
          <w:color w:val="auto"/>
        </w:rPr>
        <w:t/>
      </w:r>
      <w:r>
        <w:rPr>
          <w:rFonts w:ascii="Arial" w:cs="Arial" w:eastAsia="Arial" w:hAnsi="Arial"/>
          <w:sz w:val="18"/>
          <w:szCs w:val="18"/>
          <w:color w:val="auto"/>
        </w:rPr>
        <w:t>MRLQHG</w:t>
      </w:r>
      <w:r>
        <w:rPr>
          <w:rFonts w:ascii="PMingLiU" w:cs="PMingLiU" w:eastAsia="PMingLiU" w:hAnsi="PMingLiU"/>
          <w:sz w:val="18"/>
          <w:szCs w:val="18"/>
          <w:color w:val="auto"/>
        </w:rPr>
        <w:t/>
      </w:r>
      <w:r>
        <w:rPr>
          <w:rFonts w:ascii="Arial" w:cs="Arial" w:eastAsia="Arial" w:hAnsi="Arial"/>
          <w:sz w:val="18"/>
          <w:szCs w:val="18"/>
          <w:color w:val="auto"/>
        </w:rPr>
        <w:t>%HO</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-DQXDU\</w:t>
      </w:r>
      <w:r>
        <w:rPr>
          <w:rFonts w:ascii="PMingLiU" w:cs="PMingLiU" w:eastAsia="PMingLiU" w:hAnsi="PMingLiU"/>
          <w:sz w:val="18"/>
          <w:szCs w:val="18"/>
          <w:color w:val="auto"/>
        </w:rPr>
        <w:t/>
      </w:r>
      <w:r>
        <w:rPr>
          <w:rFonts w:ascii="Arial" w:cs="Arial" w:eastAsia="Arial" w:hAnsi="Arial"/>
          <w:sz w:val="18"/>
          <w:szCs w:val="18"/>
          <w:color w:val="auto"/>
        </w:rPr>
        <w:t xml:space="preserve"> 7RP</w:t>
      </w:r>
      <w:r>
        <w:rPr>
          <w:rFonts w:ascii="PMingLiU" w:cs="PMingLiU" w:eastAsia="PMingLiU" w:hAnsi="PMingLiU"/>
          <w:sz w:val="18"/>
          <w:szCs w:val="18"/>
          <w:color w:val="auto"/>
        </w:rPr>
        <w:t/>
      </w:r>
      <w:r>
        <w:rPr>
          <w:rFonts w:ascii="Arial" w:cs="Arial" w:eastAsia="Arial" w:hAnsi="Arial"/>
          <w:sz w:val="18"/>
          <w:szCs w:val="18"/>
          <w:color w:val="auto"/>
        </w:rPr>
        <w:t>EULQJV</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ZHDOWK</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H[SHULHQFH</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DHURVSDFH</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GHIHQVH</w:t>
      </w:r>
      <w:r>
        <w:rPr>
          <w:rFonts w:ascii="PMingLiU" w:cs="PMingLiU" w:eastAsia="PMingLiU" w:hAnsi="PMingLiU"/>
          <w:sz w:val="18"/>
          <w:szCs w:val="18"/>
          <w:color w:val="auto"/>
        </w:rPr>
        <w:t/>
      </w:r>
      <w:r>
        <w:rPr>
          <w:rFonts w:ascii="Arial" w:cs="Arial" w:eastAsia="Arial" w:hAnsi="Arial"/>
          <w:sz w:val="18"/>
          <w:szCs w:val="18"/>
          <w:color w:val="auto"/>
        </w:rPr>
        <w:t>VHFWRU</w:t>
      </w:r>
      <w:r>
        <w:rPr>
          <w:rFonts w:ascii="PMingLiU" w:cs="PMingLiU" w:eastAsia="PMingLiU" w:hAnsi="PMingLiU"/>
          <w:sz w:val="18"/>
          <w:szCs w:val="18"/>
          <w:color w:val="auto"/>
        </w:rPr>
        <w:t/>
      </w:r>
      <w:r>
        <w:rPr>
          <w:rFonts w:ascii="Arial" w:cs="Arial" w:eastAsia="Arial" w:hAnsi="Arial"/>
          <w:sz w:val="18"/>
          <w:szCs w:val="18"/>
          <w:color w:val="auto"/>
        </w:rPr>
        <w:t xml:space="preserve"> ZLWK</w:t>
      </w:r>
      <w:r>
        <w:rPr>
          <w:rFonts w:ascii="PMingLiU" w:cs="PMingLiU" w:eastAsia="PMingLiU" w:hAnsi="PMingLiU"/>
          <w:sz w:val="18"/>
          <w:szCs w:val="18"/>
          <w:color w:val="auto"/>
        </w:rPr>
        <w:t/>
      </w:r>
      <w:r>
        <w:rPr>
          <w:rFonts w:ascii="Arial" w:cs="Arial" w:eastAsia="Arial" w:hAnsi="Arial"/>
          <w:sz w:val="18"/>
          <w:szCs w:val="18"/>
          <w:color w:val="auto"/>
        </w:rPr>
        <w:t>PDQ\</w:t>
      </w:r>
      <w:r>
        <w:rPr>
          <w:rFonts w:ascii="PMingLiU" w:cs="PMingLiU" w:eastAsia="PMingLiU" w:hAnsi="PMingLiU"/>
          <w:sz w:val="18"/>
          <w:szCs w:val="18"/>
          <w:color w:val="auto"/>
        </w:rPr>
        <w:t/>
      </w:r>
      <w:r>
        <w:rPr>
          <w:rFonts w:ascii="Arial" w:cs="Arial" w:eastAsia="Arial" w:hAnsi="Arial"/>
          <w:sz w:val="18"/>
          <w:szCs w:val="18"/>
          <w:color w:val="auto"/>
        </w:rPr>
        <w:t>\HDUV</w:t>
      </w:r>
      <w:r>
        <w:rPr>
          <w:rFonts w:ascii="PMingLiU" w:cs="PMingLiU" w:eastAsia="PMingLiU" w:hAnsi="PMingLiU"/>
          <w:sz w:val="18"/>
          <w:szCs w:val="18"/>
          <w:color w:val="auto"/>
        </w:rPr>
        <w:t/>
      </w:r>
      <w:r>
        <w:rPr>
          <w:rFonts w:ascii="Arial" w:cs="Arial" w:eastAsia="Arial" w:hAnsi="Arial"/>
          <w:sz w:val="18"/>
          <w:szCs w:val="18"/>
          <w:color w:val="auto"/>
        </w:rPr>
        <w:t>DW</w:t>
      </w:r>
      <w:r>
        <w:rPr>
          <w:rFonts w:ascii="PMingLiU" w:cs="PMingLiU" w:eastAsia="PMingLiU" w:hAnsi="PMingLiU"/>
          <w:sz w:val="18"/>
          <w:szCs w:val="18"/>
          <w:color w:val="auto"/>
        </w:rPr>
        <w:t/>
      </w:r>
      <w:r>
        <w:rPr>
          <w:rFonts w:ascii="Arial" w:cs="Arial" w:eastAsia="Arial" w:hAnsi="Arial"/>
          <w:sz w:val="18"/>
          <w:szCs w:val="18"/>
          <w:color w:val="auto"/>
        </w:rPr>
        <w:t>5D\WKHRQ</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PRVW</w:t>
      </w:r>
      <w:r>
        <w:rPr>
          <w:rFonts w:ascii="PMingLiU" w:cs="PMingLiU" w:eastAsia="PMingLiU" w:hAnsi="PMingLiU"/>
          <w:sz w:val="18"/>
          <w:szCs w:val="18"/>
          <w:color w:val="auto"/>
        </w:rPr>
        <w:t/>
      </w:r>
      <w:r>
        <w:rPr>
          <w:rFonts w:ascii="Arial" w:cs="Arial" w:eastAsia="Arial" w:hAnsi="Arial"/>
          <w:sz w:val="18"/>
          <w:szCs w:val="18"/>
          <w:color w:val="auto"/>
        </w:rPr>
        <w:t>UHFHQWO\</w:t>
      </w:r>
      <w:r>
        <w:rPr>
          <w:rFonts w:ascii="PMingLiU" w:cs="PMingLiU" w:eastAsia="PMingLiU" w:hAnsi="PMingLiU"/>
          <w:sz w:val="18"/>
          <w:szCs w:val="18"/>
          <w:color w:val="auto"/>
        </w:rPr>
        <w:t/>
      </w:r>
      <w:r>
        <w:rPr>
          <w:rFonts w:ascii="Arial" w:cs="Arial" w:eastAsia="Arial" w:hAnsi="Arial"/>
          <w:sz w:val="18"/>
          <w:szCs w:val="18"/>
          <w:color w:val="auto"/>
        </w:rPr>
        <w:t>DW</w:t>
      </w:r>
      <w:r>
        <w:rPr>
          <w:rFonts w:ascii="PMingLiU" w:cs="PMingLiU" w:eastAsia="PMingLiU" w:hAnsi="PMingLiU"/>
          <w:sz w:val="18"/>
          <w:szCs w:val="18"/>
          <w:color w:val="auto"/>
        </w:rPr>
        <w:t/>
      </w:r>
      <w:r>
        <w:rPr>
          <w:rFonts w:ascii="Arial" w:cs="Arial" w:eastAsia="Arial" w:hAnsi="Arial"/>
          <w:sz w:val="18"/>
          <w:szCs w:val="18"/>
          <w:color w:val="auto"/>
        </w:rPr>
        <w:t>0HUFXU\</w:t>
      </w:r>
      <w:r>
        <w:rPr>
          <w:rFonts w:ascii="PMingLiU" w:cs="PMingLiU" w:eastAsia="PMingLiU" w:hAnsi="PMingLiU"/>
          <w:sz w:val="18"/>
          <w:szCs w:val="18"/>
          <w:color w:val="auto"/>
        </w:rPr>
        <w:t/>
      </w:r>
      <w:r>
        <w:rPr>
          <w:rFonts w:ascii="Arial" w:cs="Arial" w:eastAsia="Arial" w:hAnsi="Arial"/>
          <w:sz w:val="18"/>
          <w:szCs w:val="18"/>
          <w:color w:val="auto"/>
        </w:rPr>
        <w:t>6\VWHPV</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p>
    <w:p>
      <w:pPr>
        <w:spacing w:after="0" w:line="86" w:lineRule="exact"/>
        <w:rPr>
          <w:sz w:val="20"/>
          <w:szCs w:val="20"/>
          <w:color w:val="auto"/>
        </w:rPr>
      </w:pPr>
    </w:p>
    <w:p>
      <w:pPr>
        <w:ind w:right="2300"/>
        <w:spacing w:after="0" w:line="256" w:lineRule="exact"/>
        <w:rPr>
          <w:sz w:val="20"/>
          <w:szCs w:val="20"/>
          <w:color w:val="auto"/>
        </w:rPr>
      </w:pP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DUH</w:t>
      </w:r>
      <w:r>
        <w:rPr>
          <w:rFonts w:ascii="PMingLiU" w:cs="PMingLiU" w:eastAsia="PMingLiU" w:hAnsi="PMingLiU"/>
          <w:sz w:val="17"/>
          <w:szCs w:val="17"/>
          <w:color w:val="auto"/>
        </w:rPr>
        <w:t/>
      </w:r>
      <w:r>
        <w:rPr>
          <w:rFonts w:ascii="Arial" w:cs="Arial" w:eastAsia="Arial" w:hAnsi="Arial"/>
          <w:sz w:val="17"/>
          <w:szCs w:val="17"/>
          <w:color w:val="auto"/>
        </w:rPr>
        <w:t>H[FLWHG</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QHZ</w:t>
      </w:r>
      <w:r>
        <w:rPr>
          <w:rFonts w:ascii="PMingLiU" w:cs="PMingLiU" w:eastAsia="PMingLiU" w:hAnsi="PMingLiU"/>
          <w:sz w:val="17"/>
          <w:szCs w:val="17"/>
          <w:color w:val="auto"/>
        </w:rPr>
        <w:t/>
      </w:r>
      <w:r>
        <w:rPr>
          <w:rFonts w:ascii="Arial" w:cs="Arial" w:eastAsia="Arial" w:hAnsi="Arial"/>
          <w:sz w:val="17"/>
          <w:szCs w:val="17"/>
          <w:color w:val="auto"/>
        </w:rPr>
        <w:t>SHUVSHFWLYHV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VWUDWHJLF</w:t>
      </w:r>
      <w:r>
        <w:rPr>
          <w:rFonts w:ascii="PMingLiU" w:cs="PMingLiU" w:eastAsia="PMingLiU" w:hAnsi="PMingLiU"/>
          <w:sz w:val="17"/>
          <w:szCs w:val="17"/>
          <w:color w:val="auto"/>
        </w:rPr>
        <w:t/>
      </w:r>
      <w:r>
        <w:rPr>
          <w:rFonts w:ascii="Arial" w:cs="Arial" w:eastAsia="Arial" w:hAnsi="Arial"/>
          <w:sz w:val="17"/>
          <w:szCs w:val="17"/>
          <w:color w:val="auto"/>
        </w:rPr>
        <w:t>LQVLJKWV</w:t>
      </w:r>
      <w:r>
        <w:rPr>
          <w:rFonts w:ascii="PMingLiU" w:cs="PMingLiU" w:eastAsia="PMingLiU" w:hAnsi="PMingLiU"/>
          <w:sz w:val="17"/>
          <w:szCs w:val="17"/>
          <w:color w:val="auto"/>
        </w:rPr>
        <w:t/>
      </w:r>
      <w:r>
        <w:rPr>
          <w:rFonts w:ascii="Arial" w:cs="Arial" w:eastAsia="Arial" w:hAnsi="Arial"/>
          <w:sz w:val="17"/>
          <w:szCs w:val="17"/>
          <w:color w:val="auto"/>
        </w:rPr>
        <w:t>KH</w:t>
      </w:r>
      <w:r>
        <w:rPr>
          <w:rFonts w:ascii="PMingLiU" w:cs="PMingLiU" w:eastAsia="PMingLiU" w:hAnsi="PMingLiU"/>
          <w:sz w:val="17"/>
          <w:szCs w:val="17"/>
          <w:color w:val="auto"/>
        </w:rPr>
        <w:t/>
      </w:r>
      <w:r>
        <w:rPr>
          <w:rFonts w:ascii="Arial" w:cs="Arial" w:eastAsia="Arial" w:hAnsi="Arial"/>
          <w:sz w:val="17"/>
          <w:szCs w:val="17"/>
          <w:color w:val="auto"/>
        </w:rPr>
        <w:t>EULQJV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 xml:space="preserve"> our leadership team —particularly as we continue to invest in growth initiatives across our end markets.</w:t>
      </w:r>
    </w:p>
    <w:p>
      <w:pPr>
        <w:sectPr>
          <w:pgSz w:w="12240" w:h="15840" w:orient="portrait"/>
          <w:cols w:equalWidth="0" w:num="1">
            <w:col w:w="9720"/>
          </w:cols>
          <w:pgMar w:left="1080" w:top="1190" w:right="1440" w:bottom="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0086B7"/>
        </w:rPr>
        <w:t>2</w:t>
      </w:r>
    </w:p>
    <w:p>
      <w:pPr>
        <w:sectPr>
          <w:pgSz w:w="12240" w:h="15840" w:orient="portrait"/>
          <w:cols w:equalWidth="0" w:num="1">
            <w:col w:w="9720"/>
          </w:cols>
          <w:pgMar w:left="1080" w:top="1190" w:right="1440" w:bottom="82"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80"/>
        <w:spacing w:after="0"/>
        <w:rPr>
          <w:sz w:val="20"/>
          <w:szCs w:val="20"/>
          <w:color w:val="auto"/>
        </w:rPr>
      </w:pPr>
      <w:r>
        <w:rPr>
          <w:rFonts w:ascii="Arial" w:cs="Arial" w:eastAsia="Arial" w:hAnsi="Arial"/>
          <w:sz w:val="19"/>
          <w:szCs w:val="19"/>
          <w:b w:val="1"/>
          <w:bCs w:val="1"/>
          <w:color w:val="006691"/>
        </w:rPr>
        <w:t>E N D M A R K E T R E V I E W A N D O P E R AT I O N S</w:t>
      </w:r>
    </w:p>
    <w:p>
      <w:pPr>
        <w:spacing w:after="0" w:line="239" w:lineRule="exact"/>
        <w:rPr>
          <w:sz w:val="20"/>
          <w:szCs w:val="20"/>
          <w:color w:val="auto"/>
        </w:rPr>
      </w:pPr>
    </w:p>
    <w:p>
      <w:pPr>
        <w:ind w:left="3280"/>
        <w:spacing w:after="0"/>
        <w:rPr>
          <w:sz w:val="20"/>
          <w:szCs w:val="20"/>
          <w:color w:val="auto"/>
        </w:rPr>
      </w:pPr>
      <w:r>
        <w:rPr>
          <w:rFonts w:ascii="Arial" w:cs="Arial" w:eastAsia="Arial" w:hAnsi="Arial"/>
          <w:sz w:val="19"/>
          <w:szCs w:val="19"/>
          <w:b w:val="1"/>
          <w:bCs w:val="1"/>
          <w:color w:val="00001F"/>
        </w:rPr>
        <w:t>Aerospace &amp;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-103505</wp:posOffset>
            </wp:positionV>
            <wp:extent cx="2623820" cy="2114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23820" cy="2114550"/>
                    </a:xfrm>
                    <a:prstGeom prst="rect">
                      <a:avLst/>
                    </a:prstGeom>
                    <a:noFill/>
                  </pic:spPr>
                </pic:pic>
              </a:graphicData>
            </a:graphic>
          </wp:anchor>
        </w:drawing>
      </w:r>
    </w:p>
    <w:p>
      <w:pPr>
        <w:spacing w:after="0" w:line="70" w:lineRule="exact"/>
        <w:rPr>
          <w:sz w:val="20"/>
          <w:szCs w:val="20"/>
          <w:color w:val="auto"/>
        </w:rPr>
      </w:pPr>
    </w:p>
    <w:p>
      <w:pPr>
        <w:jc w:val="both"/>
        <w:ind w:left="3280" w:right="300"/>
        <w:spacing w:after="0" w:line="255" w:lineRule="exact"/>
        <w:rPr>
          <w:sz w:val="20"/>
          <w:szCs w:val="20"/>
          <w:color w:val="auto"/>
        </w:rPr>
      </w:pPr>
      <w:r>
        <w:rPr>
          <w:rFonts w:ascii="Arial" w:cs="Arial" w:eastAsia="Arial" w:hAnsi="Arial"/>
          <w:sz w:val="16"/>
          <w:szCs w:val="16"/>
          <w:color w:val="auto"/>
        </w:rPr>
        <w:t>7KLV</w:t>
      </w:r>
      <w:r>
        <w:rPr>
          <w:rFonts w:ascii="PMingLiU" w:cs="PMingLiU" w:eastAsia="PMingLiU" w:hAnsi="PMingLiU"/>
          <w:sz w:val="16"/>
          <w:szCs w:val="16"/>
          <w:color w:val="auto"/>
        </w:rPr>
        <w:t/>
      </w:r>
      <w:r>
        <w:rPr>
          <w:rFonts w:ascii="Arial" w:cs="Arial" w:eastAsia="Arial" w:hAnsi="Arial"/>
          <w:sz w:val="16"/>
          <w:szCs w:val="16"/>
          <w:color w:val="auto"/>
        </w:rPr>
        <w:t>\HDU</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$HURVSDFH</w:t>
      </w:r>
      <w:r>
        <w:rPr>
          <w:rFonts w:ascii="PMingLiU" w:cs="PMingLiU" w:eastAsia="PMingLiU" w:hAnsi="PMingLiU"/>
          <w:sz w:val="16"/>
          <w:szCs w:val="16"/>
          <w:color w:val="auto"/>
        </w:rPr>
        <w:t> </w:t>
      </w:r>
      <w:r>
        <w:rPr>
          <w:rFonts w:ascii="Arial" w:cs="Arial" w:eastAsia="Arial" w:hAnsi="Arial"/>
          <w:sz w:val="16"/>
          <w:szCs w:val="16"/>
          <w:color w:val="auto"/>
        </w:rPr>
        <w:t>'HIHQVH</w:t>
      </w:r>
      <w:r>
        <w:rPr>
          <w:rFonts w:ascii="PMingLiU" w:cs="PMingLiU" w:eastAsia="PMingLiU" w:hAnsi="PMingLiU"/>
          <w:sz w:val="16"/>
          <w:szCs w:val="16"/>
          <w:color w:val="auto"/>
        </w:rPr>
        <w:t/>
      </w:r>
      <w:r>
        <w:rPr>
          <w:rFonts w:ascii="Arial" w:cs="Arial" w:eastAsia="Arial" w:hAnsi="Arial"/>
          <w:sz w:val="16"/>
          <w:szCs w:val="16"/>
          <w:color w:val="auto"/>
        </w:rPr>
        <w:t>HQG</w:t>
      </w:r>
      <w:r>
        <w:rPr>
          <w:rFonts w:ascii="PMingLiU" w:cs="PMingLiU" w:eastAsia="PMingLiU" w:hAnsi="PMingLiU"/>
          <w:sz w:val="16"/>
          <w:szCs w:val="16"/>
          <w:color w:val="auto"/>
        </w:rPr>
        <w:t/>
      </w:r>
      <w:r>
        <w:rPr>
          <w:rFonts w:ascii="Arial" w:cs="Arial" w:eastAsia="Arial" w:hAnsi="Arial"/>
          <w:sz w:val="16"/>
          <w:szCs w:val="16"/>
          <w:color w:val="auto"/>
        </w:rPr>
        <w:t>PDUNHW</w:t>
      </w:r>
      <w:r>
        <w:rPr>
          <w:rFonts w:ascii="PMingLiU" w:cs="PMingLiU" w:eastAsia="PMingLiU" w:hAnsi="PMingLiU"/>
          <w:sz w:val="16"/>
          <w:szCs w:val="16"/>
          <w:color w:val="auto"/>
        </w:rPr>
        <w:t/>
      </w:r>
      <w:r>
        <w:rPr>
          <w:rFonts w:ascii="Arial" w:cs="Arial" w:eastAsia="Arial" w:hAnsi="Arial"/>
          <w:sz w:val="16"/>
          <w:szCs w:val="16"/>
          <w:color w:val="auto"/>
        </w:rPr>
        <w:t>RXWSHUIRUPHG</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 xml:space="preserve"> H[SHFWDWLRQV</w:t>
      </w:r>
      <w:r>
        <w:rPr>
          <w:rFonts w:ascii="PMingLiU" w:cs="PMingLiU" w:eastAsia="PMingLiU" w:hAnsi="PMingLiU"/>
          <w:sz w:val="16"/>
          <w:szCs w:val="16"/>
          <w:color w:val="auto"/>
        </w:rPr>
        <w:t/>
      </w:r>
      <w:r>
        <w:rPr>
          <w:rFonts w:ascii="Arial" w:cs="Arial" w:eastAsia="Arial" w:hAnsi="Arial"/>
          <w:sz w:val="16"/>
          <w:szCs w:val="16"/>
          <w:color w:val="auto"/>
        </w:rPr>
        <w:t>EHQH´WLQJ</w:t>
      </w:r>
      <w:r>
        <w:rPr>
          <w:rFonts w:ascii="PMingLiU" w:cs="PMingLiU" w:eastAsia="PMingLiU" w:hAnsi="PMingLiU"/>
          <w:sz w:val="16"/>
          <w:szCs w:val="16"/>
          <w:color w:val="auto"/>
        </w:rPr>
        <w:t/>
      </w:r>
      <w:r>
        <w:rPr>
          <w:rFonts w:ascii="Arial" w:cs="Arial" w:eastAsia="Arial" w:hAnsi="Arial"/>
          <w:sz w:val="16"/>
          <w:szCs w:val="16"/>
          <w:color w:val="auto"/>
        </w:rPr>
        <w:t>IURP</w:t>
      </w:r>
      <w:r>
        <w:rPr>
          <w:rFonts w:ascii="PMingLiU" w:cs="PMingLiU" w:eastAsia="PMingLiU" w:hAnsi="PMingLiU"/>
          <w:sz w:val="16"/>
          <w:szCs w:val="16"/>
          <w:color w:val="auto"/>
        </w:rPr>
        <w:t/>
      </w:r>
      <w:r>
        <w:rPr>
          <w:rFonts w:ascii="Arial" w:cs="Arial" w:eastAsia="Arial" w:hAnsi="Arial"/>
          <w:sz w:val="16"/>
          <w:szCs w:val="16"/>
          <w:color w:val="auto"/>
        </w:rPr>
        <w:t>VWURQJ</w:t>
      </w:r>
      <w:r>
        <w:rPr>
          <w:rFonts w:ascii="PMingLiU" w:cs="PMingLiU" w:eastAsia="PMingLiU" w:hAnsi="PMingLiU"/>
          <w:sz w:val="16"/>
          <w:szCs w:val="16"/>
          <w:color w:val="auto"/>
        </w:rPr>
        <w:t/>
      </w:r>
      <w:r>
        <w:rPr>
          <w:rFonts w:ascii="Arial" w:cs="Arial" w:eastAsia="Arial" w:hAnsi="Arial"/>
          <w:sz w:val="16"/>
          <w:szCs w:val="16"/>
          <w:color w:val="auto"/>
        </w:rPr>
        <w:t>JOREDO</w:t>
      </w:r>
      <w:r>
        <w:rPr>
          <w:rFonts w:ascii="PMingLiU" w:cs="PMingLiU" w:eastAsia="PMingLiU" w:hAnsi="PMingLiU"/>
          <w:sz w:val="16"/>
          <w:szCs w:val="16"/>
          <w:color w:val="auto"/>
        </w:rPr>
        <w:t/>
      </w:r>
      <w:r>
        <w:rPr>
          <w:rFonts w:ascii="Arial" w:cs="Arial" w:eastAsia="Arial" w:hAnsi="Arial"/>
          <w:sz w:val="16"/>
          <w:szCs w:val="16"/>
          <w:color w:val="auto"/>
        </w:rPr>
        <w:t>GHPDQG</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DQ</w:t>
      </w:r>
      <w:r>
        <w:rPr>
          <w:rFonts w:ascii="PMingLiU" w:cs="PMingLiU" w:eastAsia="PMingLiU" w:hAnsi="PMingLiU"/>
          <w:sz w:val="16"/>
          <w:szCs w:val="16"/>
          <w:color w:val="auto"/>
        </w:rPr>
        <w:t/>
      </w:r>
      <w:r>
        <w:rPr>
          <w:rFonts w:ascii="Arial" w:cs="Arial" w:eastAsia="Arial" w:hAnsi="Arial"/>
          <w:sz w:val="16"/>
          <w:szCs w:val="16"/>
          <w:color w:val="auto"/>
        </w:rPr>
        <w:t>XSWLFN</w:t>
      </w:r>
      <w:r>
        <w:rPr>
          <w:rFonts w:ascii="PMingLiU" w:cs="PMingLiU" w:eastAsia="PMingLiU" w:hAnsi="PMingLiU"/>
          <w:sz w:val="16"/>
          <w:szCs w:val="16"/>
          <w:color w:val="auto"/>
        </w:rPr>
        <w:t/>
      </w:r>
      <w:r>
        <w:rPr>
          <w:rFonts w:ascii="Arial" w:cs="Arial" w:eastAsia="Arial" w:hAnsi="Arial"/>
          <w:sz w:val="16"/>
          <w:szCs w:val="16"/>
          <w:color w:val="auto"/>
        </w:rPr>
        <w:t xml:space="preserve"> in platform wins across both commercial and military programs.</w:t>
      </w:r>
    </w:p>
    <w:p>
      <w:pPr>
        <w:spacing w:after="0" w:line="87" w:lineRule="exact"/>
        <w:rPr>
          <w:sz w:val="20"/>
          <w:szCs w:val="20"/>
          <w:color w:val="auto"/>
        </w:rPr>
      </w:pPr>
    </w:p>
    <w:p>
      <w:pPr>
        <w:ind w:left="3280"/>
        <w:spacing w:after="0" w:line="275" w:lineRule="exact"/>
        <w:rPr>
          <w:sz w:val="20"/>
          <w:szCs w:val="20"/>
          <w:color w:val="auto"/>
        </w:rPr>
      </w:pPr>
      <w:r>
        <w:rPr>
          <w:rFonts w:ascii="Arial" w:cs="Arial" w:eastAsia="Arial" w:hAnsi="Arial"/>
          <w:sz w:val="17"/>
          <w:szCs w:val="17"/>
          <w:color w:val="auto"/>
        </w:rPr>
        <w:t>,QFUHDVHG</w:t>
      </w:r>
      <w:r>
        <w:rPr>
          <w:rFonts w:ascii="PMingLiU" w:cs="PMingLiU" w:eastAsia="PMingLiU" w:hAnsi="PMingLiU"/>
          <w:sz w:val="17"/>
          <w:szCs w:val="17"/>
          <w:color w:val="auto"/>
        </w:rPr>
        <w:t/>
      </w:r>
      <w:r>
        <w:rPr>
          <w:rFonts w:ascii="Arial" w:cs="Arial" w:eastAsia="Arial" w:hAnsi="Arial"/>
          <w:sz w:val="17"/>
          <w:szCs w:val="17"/>
          <w:color w:val="auto"/>
        </w:rPr>
        <w:t>LQYHVWPHQWV</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GHIHQVH</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VSDFH</w:t>
      </w:r>
      <w:r>
        <w:rPr>
          <w:rFonts w:ascii="PMingLiU" w:cs="PMingLiU" w:eastAsia="PMingLiU" w:hAnsi="PMingLiU"/>
          <w:sz w:val="17"/>
          <w:szCs w:val="17"/>
          <w:color w:val="auto"/>
        </w:rPr>
        <w:t/>
      </w:r>
      <w:r>
        <w:rPr>
          <w:rFonts w:ascii="Arial" w:cs="Arial" w:eastAsia="Arial" w:hAnsi="Arial"/>
          <w:sz w:val="17"/>
          <w:szCs w:val="17"/>
          <w:color w:val="auto"/>
        </w:rPr>
        <w:t>FRXSOHG</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 xml:space="preserve"> VLJQL´FDQW</w:t>
      </w:r>
      <w:r>
        <w:rPr>
          <w:rFonts w:ascii="PMingLiU" w:cs="PMingLiU" w:eastAsia="PMingLiU" w:hAnsi="PMingLiU"/>
          <w:sz w:val="17"/>
          <w:szCs w:val="17"/>
          <w:color w:val="auto"/>
        </w:rPr>
        <w:t/>
      </w:r>
      <w:r>
        <w:rPr>
          <w:rFonts w:ascii="Arial" w:cs="Arial" w:eastAsia="Arial" w:hAnsi="Arial"/>
          <w:sz w:val="17"/>
          <w:szCs w:val="17"/>
          <w:color w:val="auto"/>
        </w:rPr>
        <w:t>SLSHOLQH</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GHVLJQ</w:t>
      </w:r>
      <w:r>
        <w:rPr>
          <w:rFonts w:ascii="PMingLiU" w:cs="PMingLiU" w:eastAsia="PMingLiU" w:hAnsi="PMingLiU"/>
          <w:sz w:val="17"/>
          <w:szCs w:val="17"/>
          <w:color w:val="auto"/>
        </w:rPr>
        <w:t/>
      </w:r>
      <w:r>
        <w:rPr>
          <w:rFonts w:ascii="Arial" w:cs="Arial" w:eastAsia="Arial" w:hAnsi="Arial"/>
          <w:sz w:val="17"/>
          <w:szCs w:val="17"/>
          <w:color w:val="auto"/>
        </w:rPr>
        <w:t>ZLQV</w:t>
      </w:r>
      <w:r>
        <w:rPr>
          <w:rFonts w:ascii="PMingLiU" w:cs="PMingLiU" w:eastAsia="PMingLiU" w:hAnsi="PMingLiU"/>
          <w:sz w:val="17"/>
          <w:szCs w:val="17"/>
          <w:color w:val="auto"/>
        </w:rPr>
        <w:t/>
      </w:r>
      <w:r>
        <w:rPr>
          <w:rFonts w:ascii="Arial" w:cs="Arial" w:eastAsia="Arial" w:hAnsi="Arial"/>
          <w:sz w:val="17"/>
          <w:szCs w:val="17"/>
          <w:color w:val="auto"/>
        </w:rPr>
        <w:t>SRVLWLRQ</w:t>
      </w:r>
      <w:r>
        <w:rPr>
          <w:rFonts w:ascii="PMingLiU" w:cs="PMingLiU" w:eastAsia="PMingLiU" w:hAnsi="PMingLiU"/>
          <w:sz w:val="17"/>
          <w:szCs w:val="17"/>
          <w:color w:val="auto"/>
        </w:rPr>
        <w:t/>
      </w:r>
      <w:r>
        <w:rPr>
          <w:rFonts w:ascii="Arial" w:cs="Arial" w:eastAsia="Arial" w:hAnsi="Arial"/>
          <w:sz w:val="17"/>
          <w:szCs w:val="17"/>
          <w:color w:val="auto"/>
        </w:rPr>
        <w:t>XV</w:t>
      </w:r>
      <w:r>
        <w:rPr>
          <w:rFonts w:ascii="PMingLiU" w:cs="PMingLiU" w:eastAsia="PMingLiU" w:hAnsi="PMingLiU"/>
          <w:sz w:val="17"/>
          <w:szCs w:val="17"/>
          <w:color w:val="auto"/>
        </w:rPr>
        <w:t/>
      </w:r>
      <w:r>
        <w:rPr>
          <w:rFonts w:ascii="Arial" w:cs="Arial" w:eastAsia="Arial" w:hAnsi="Arial"/>
          <w:sz w:val="17"/>
          <w:szCs w:val="17"/>
          <w:color w:val="auto"/>
        </w:rPr>
        <w:t>ZHOO</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FRQWLQXHG</w:t>
      </w:r>
      <w:r>
        <w:rPr>
          <w:rFonts w:ascii="PMingLiU" w:cs="PMingLiU" w:eastAsia="PMingLiU" w:hAnsi="PMingLiU"/>
          <w:sz w:val="17"/>
          <w:szCs w:val="17"/>
          <w:color w:val="auto"/>
        </w:rPr>
        <w:t/>
      </w:r>
      <w:r>
        <w:rPr>
          <w:rFonts w:ascii="Arial" w:cs="Arial" w:eastAsia="Arial" w:hAnsi="Arial"/>
          <w:sz w:val="17"/>
          <w:szCs w:val="17"/>
          <w:color w:val="auto"/>
        </w:rPr>
        <w:t xml:space="preserve"> JURZWK</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VDZ</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VSDFH</w:t>
      </w:r>
      <w:r>
        <w:rPr>
          <w:rFonts w:ascii="PMingLiU" w:cs="PMingLiU" w:eastAsia="PMingLiU" w:hAnsi="PMingLiU"/>
          <w:sz w:val="17"/>
          <w:szCs w:val="17"/>
          <w:color w:val="auto"/>
        </w:rPr>
        <w:t/>
      </w:r>
      <w:r>
        <w:rPr>
          <w:rFonts w:ascii="Arial" w:cs="Arial" w:eastAsia="Arial" w:hAnsi="Arial"/>
          <w:sz w:val="17"/>
          <w:szCs w:val="17"/>
          <w:color w:val="auto"/>
        </w:rPr>
        <w:t>VHFWRU</w:t>
      </w:r>
      <w:r>
        <w:rPr>
          <w:rFonts w:ascii="PMingLiU" w:cs="PMingLiU" w:eastAsia="PMingLiU" w:hAnsi="PMingLiU"/>
          <w:sz w:val="17"/>
          <w:szCs w:val="17"/>
          <w:color w:val="auto"/>
        </w:rPr>
        <w:t/>
      </w:r>
      <w:r>
        <w:rPr>
          <w:rFonts w:ascii="Arial" w:cs="Arial" w:eastAsia="Arial" w:hAnsi="Arial"/>
          <w:sz w:val="17"/>
          <w:szCs w:val="17"/>
          <w:color w:val="auto"/>
        </w:rPr>
        <w:t>JURZ</w:t>
      </w:r>
      <w:r>
        <w:rPr>
          <w:rFonts w:ascii="PMingLiU" w:cs="PMingLiU" w:eastAsia="PMingLiU" w:hAnsi="PMingLiU"/>
          <w:sz w:val="17"/>
          <w:szCs w:val="17"/>
          <w:color w:val="auto"/>
        </w:rPr>
        <w:t/>
      </w:r>
      <w:r>
        <w:rPr>
          <w:rFonts w:ascii="Arial" w:cs="Arial" w:eastAsia="Arial" w:hAnsi="Arial"/>
          <w:sz w:val="17"/>
          <w:szCs w:val="17"/>
          <w:color w:val="auto"/>
        </w:rPr>
        <w:t>E\</w:t>
      </w:r>
      <w:r>
        <w:rPr>
          <w:rFonts w:ascii="PMingLiU" w:cs="PMingLiU" w:eastAsia="PMingLiU" w:hAnsi="PMingLiU"/>
          <w:sz w:val="17"/>
          <w:szCs w:val="17"/>
          <w:color w:val="auto"/>
        </w:rPr>
        <w:t/>
      </w:r>
      <w:r>
        <w:rPr>
          <w:rFonts w:ascii="Arial" w:cs="Arial" w:eastAsia="Arial" w:hAnsi="Arial"/>
          <w:sz w:val="17"/>
          <w:szCs w:val="17"/>
          <w:color w:val="auto"/>
        </w:rPr>
        <w:t>PLOOLRQ</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VDOHV</w:t>
      </w:r>
      <w:r>
        <w:rPr>
          <w:rFonts w:ascii="PMingLiU" w:cs="PMingLiU" w:eastAsia="PMingLiU" w:hAnsi="PMingLiU"/>
          <w:sz w:val="17"/>
          <w:szCs w:val="17"/>
          <w:color w:val="auto"/>
        </w:rPr>
        <w:t/>
      </w:r>
      <w:r>
        <w:rPr>
          <w:rFonts w:ascii="Arial" w:cs="Arial" w:eastAsia="Arial" w:hAnsi="Arial"/>
          <w:sz w:val="17"/>
          <w:szCs w:val="17"/>
          <w:color w:val="auto"/>
        </w:rPr>
        <w:t xml:space="preserve"> in 2025 (21% growth from 2024). While still a small piece of Bel’s EXVLQHVV</w:t>
      </w:r>
      <w:r>
        <w:rPr>
          <w:rFonts w:ascii="PMingLiU" w:cs="PMingLiU" w:eastAsia="PMingLiU" w:hAnsi="PMingLiU"/>
          <w:sz w:val="17"/>
          <w:szCs w:val="17"/>
          <w:color w:val="auto"/>
        </w:rPr>
        <w:t/>
      </w:r>
      <w:r>
        <w:rPr>
          <w:rFonts w:ascii="Arial" w:cs="Arial" w:eastAsia="Arial" w:hAnsi="Arial"/>
          <w:sz w:val="17"/>
          <w:szCs w:val="17"/>
          <w:color w:val="auto"/>
        </w:rPr>
        <w:t>WRGD\</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YLHZ</w:t>
      </w:r>
      <w:r>
        <w:rPr>
          <w:rFonts w:ascii="PMingLiU" w:cs="PMingLiU" w:eastAsia="PMingLiU" w:hAnsi="PMingLiU"/>
          <w:sz w:val="17"/>
          <w:szCs w:val="17"/>
          <w:color w:val="auto"/>
        </w:rPr>
        <w:t/>
      </w:r>
      <w:r>
        <w:rPr>
          <w:rFonts w:ascii="Arial" w:cs="Arial" w:eastAsia="Arial" w:hAnsi="Arial"/>
          <w:sz w:val="17"/>
          <w:szCs w:val="17"/>
          <w:color w:val="auto"/>
        </w:rPr>
        <w:t>VSDFH</w:t>
      </w:r>
      <w:r>
        <w:rPr>
          <w:rFonts w:ascii="PMingLiU" w:cs="PMingLiU" w:eastAsia="PMingLiU" w:hAnsi="PMingLiU"/>
          <w:sz w:val="17"/>
          <w:szCs w:val="17"/>
          <w:color w:val="auto"/>
        </w:rPr>
        <w:t/>
      </w:r>
      <w:r>
        <w:rPr>
          <w:rFonts w:ascii="Arial" w:cs="Arial" w:eastAsia="Arial" w:hAnsi="Arial"/>
          <w:sz w:val="17"/>
          <w:szCs w:val="17"/>
          <w:color w:val="auto"/>
        </w:rPr>
        <w:t>DV</w:t>
      </w:r>
      <w:r>
        <w:rPr>
          <w:rFonts w:ascii="PMingLiU" w:cs="PMingLiU" w:eastAsia="PMingLiU" w:hAnsi="PMingLiU"/>
          <w:sz w:val="17"/>
          <w:szCs w:val="17"/>
          <w:color w:val="auto"/>
        </w:rPr>
        <w:t/>
      </w:r>
      <w:r>
        <w:rPr>
          <w:rFonts w:ascii="Arial" w:cs="Arial" w:eastAsia="Arial" w:hAnsi="Arial"/>
          <w:sz w:val="17"/>
          <w:szCs w:val="17"/>
          <w:color w:val="auto"/>
        </w:rPr>
        <w:t>DQ</w:t>
      </w:r>
      <w:r>
        <w:rPr>
          <w:rFonts w:ascii="PMingLiU" w:cs="PMingLiU" w:eastAsia="PMingLiU" w:hAnsi="PMingLiU"/>
          <w:sz w:val="17"/>
          <w:szCs w:val="17"/>
          <w:color w:val="auto"/>
        </w:rPr>
        <w:t/>
      </w:r>
      <w:r>
        <w:rPr>
          <w:rFonts w:ascii="Arial" w:cs="Arial" w:eastAsia="Arial" w:hAnsi="Arial"/>
          <w:sz w:val="17"/>
          <w:szCs w:val="17"/>
          <w:color w:val="auto"/>
        </w:rPr>
        <w:t>HPHUJLQJ</w:t>
      </w:r>
      <w:r>
        <w:rPr>
          <w:rFonts w:ascii="PMingLiU" w:cs="PMingLiU" w:eastAsia="PMingLiU" w:hAnsi="PMingLiU"/>
          <w:sz w:val="17"/>
          <w:szCs w:val="17"/>
          <w:color w:val="auto"/>
        </w:rPr>
        <w:t/>
      </w:r>
      <w:r>
        <w:rPr>
          <w:rFonts w:ascii="Arial" w:cs="Arial" w:eastAsia="Arial" w:hAnsi="Arial"/>
          <w:sz w:val="17"/>
          <w:szCs w:val="17"/>
          <w:color w:val="auto"/>
        </w:rPr>
        <w:t>JURZWK</w:t>
      </w:r>
      <w:r>
        <w:rPr>
          <w:rFonts w:ascii="PMingLiU" w:cs="PMingLiU" w:eastAsia="PMingLiU" w:hAnsi="PMingLiU"/>
          <w:sz w:val="17"/>
          <w:szCs w:val="17"/>
          <w:color w:val="auto"/>
        </w:rPr>
        <w:t/>
      </w:r>
      <w:r>
        <w:rPr>
          <w:rFonts w:ascii="Arial" w:cs="Arial" w:eastAsia="Arial" w:hAnsi="Arial"/>
          <w:sz w:val="17"/>
          <w:szCs w:val="17"/>
          <w:color w:val="auto"/>
        </w:rPr>
        <w:t>PDUNHW</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 xml:space="preserve"> XV</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ORQJHU</w:t>
      </w:r>
      <w:r>
        <w:rPr>
          <w:rFonts w:ascii="PMingLiU" w:cs="PMingLiU" w:eastAsia="PMingLiU" w:hAnsi="PMingLiU"/>
          <w:sz w:val="17"/>
          <w:szCs w:val="17"/>
          <w:color w:val="auto"/>
        </w:rPr>
        <w:t/>
      </w:r>
      <w:r>
        <w:rPr>
          <w:rFonts w:ascii="Arial" w:cs="Arial" w:eastAsia="Arial" w:hAnsi="Arial"/>
          <w:sz w:val="17"/>
          <w:szCs w:val="17"/>
          <w:color w:val="auto"/>
        </w:rPr>
        <w:t>WHUP</w:t>
      </w:r>
      <w:r>
        <w:rPr>
          <w:rFonts w:ascii="PMingLiU" w:cs="PMingLiU" w:eastAsia="PMingLiU" w:hAnsi="PMingLiU"/>
          <w:sz w:val="17"/>
          <w:szCs w:val="17"/>
          <w:color w:val="auto"/>
        </w:rPr>
        <w:t/>
      </w:r>
      <w:r>
        <w:rPr>
          <w:rFonts w:ascii="Arial" w:cs="Arial" w:eastAsia="Arial" w:hAnsi="Arial"/>
          <w:sz w:val="17"/>
          <w:szCs w:val="17"/>
          <w:color w:val="auto"/>
        </w:rPr>
        <w:t>7KLV</w:t>
      </w:r>
      <w:r>
        <w:rPr>
          <w:rFonts w:ascii="PMingLiU" w:cs="PMingLiU" w:eastAsia="PMingLiU" w:hAnsi="PMingLiU"/>
          <w:sz w:val="17"/>
          <w:szCs w:val="17"/>
          <w:color w:val="auto"/>
        </w:rPr>
        <w:t/>
      </w:r>
      <w:r>
        <w:rPr>
          <w:rFonts w:ascii="Arial" w:cs="Arial" w:eastAsia="Arial" w:hAnsi="Arial"/>
          <w:sz w:val="17"/>
          <w:szCs w:val="17"/>
          <w:color w:val="auto"/>
        </w:rPr>
        <w:t>DOVR</w:t>
      </w:r>
      <w:r>
        <w:rPr>
          <w:rFonts w:ascii="PMingLiU" w:cs="PMingLiU" w:eastAsia="PMingLiU" w:hAnsi="PMingLiU"/>
          <w:sz w:val="17"/>
          <w:szCs w:val="17"/>
          <w:color w:val="auto"/>
        </w:rPr>
        <w:t/>
      </w:r>
      <w:r>
        <w:rPr>
          <w:rFonts w:ascii="Arial" w:cs="Arial" w:eastAsia="Arial" w:hAnsi="Arial"/>
          <w:sz w:val="17"/>
          <w:szCs w:val="17"/>
          <w:color w:val="auto"/>
        </w:rPr>
        <w:t>PDUNHG</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´UVW</w:t>
      </w:r>
      <w:r>
        <w:rPr>
          <w:rFonts w:ascii="PMingLiU" w:cs="PMingLiU" w:eastAsia="PMingLiU" w:hAnsi="PMingLiU"/>
          <w:sz w:val="17"/>
          <w:szCs w:val="17"/>
          <w:color w:val="auto"/>
        </w:rPr>
        <w:t/>
      </w:r>
      <w:r>
        <w:rPr>
          <w:rFonts w:ascii="Arial" w:cs="Arial" w:eastAsia="Arial" w:hAnsi="Arial"/>
          <w:sz w:val="17"/>
          <w:szCs w:val="17"/>
          <w:color w:val="auto"/>
        </w:rPr>
        <w:t>IXOO</w:t>
      </w:r>
      <w:r>
        <w:rPr>
          <w:rFonts w:ascii="PMingLiU" w:cs="PMingLiU" w:eastAsia="PMingLiU" w:hAnsi="PMingLiU"/>
          <w:sz w:val="17"/>
          <w:szCs w:val="17"/>
          <w:color w:val="auto"/>
        </w:rPr>
        <w:t/>
      </w:r>
      <w:r>
        <w:rPr>
          <w:rFonts w:ascii="Arial" w:cs="Arial" w:eastAsia="Arial" w:hAnsi="Arial"/>
          <w:sz w:val="17"/>
          <w:szCs w:val="17"/>
          <w:color w:val="auto"/>
        </w:rPr>
        <w:t>\HDU</w:t>
      </w:r>
      <w:r>
        <w:rPr>
          <w:rFonts w:ascii="PMingLiU" w:cs="PMingLiU" w:eastAsia="PMingLiU" w:hAnsi="PMingLiU"/>
          <w:sz w:val="17"/>
          <w:szCs w:val="17"/>
          <w:color w:val="auto"/>
        </w:rPr>
        <w:t/>
      </w:r>
      <w:r>
        <w:rPr>
          <w:rFonts w:ascii="Arial" w:cs="Arial" w:eastAsia="Arial" w:hAnsi="Arial"/>
          <w:sz w:val="17"/>
          <w:szCs w:val="17"/>
          <w:color w:val="auto"/>
        </w:rPr>
        <w:t>WRJHWKHU</w:t>
      </w:r>
      <w:r>
        <w:rPr>
          <w:rFonts w:ascii="PMingLiU" w:cs="PMingLiU" w:eastAsia="PMingLiU" w:hAnsi="PMingLiU"/>
          <w:sz w:val="17"/>
          <w:szCs w:val="17"/>
          <w:color w:val="auto"/>
        </w:rPr>
        <w:t/>
      </w:r>
      <w:r>
        <w:rPr>
          <w:rFonts w:ascii="Arial" w:cs="Arial" w:eastAsia="Arial" w:hAnsi="Arial"/>
          <w:sz w:val="17"/>
          <w:szCs w:val="17"/>
          <w:color w:val="auto"/>
        </w:rPr>
        <w:t xml:space="preserve"> with Enercon whereby we welcomed great new teammates and new SURJUDP</w:t>
      </w:r>
      <w:r>
        <w:rPr>
          <w:rFonts w:ascii="PMingLiU" w:cs="PMingLiU" w:eastAsia="PMingLiU" w:hAnsi="PMingLiU"/>
          <w:sz w:val="17"/>
          <w:szCs w:val="17"/>
          <w:color w:val="auto"/>
        </w:rPr>
        <w:t/>
      </w:r>
      <w:r>
        <w:rPr>
          <w:rFonts w:ascii="Arial" w:cs="Arial" w:eastAsia="Arial" w:hAnsi="Arial"/>
          <w:sz w:val="17"/>
          <w:szCs w:val="17"/>
          <w:color w:val="auto"/>
        </w:rPr>
        <w:t>JHRJUDSKLF</w:t>
      </w:r>
      <w:r>
        <w:rPr>
          <w:rFonts w:ascii="PMingLiU" w:cs="PMingLiU" w:eastAsia="PMingLiU" w:hAnsi="PMingLiU"/>
          <w:sz w:val="17"/>
          <w:szCs w:val="17"/>
          <w:color w:val="auto"/>
        </w:rPr>
        <w:t/>
      </w:r>
      <w:r>
        <w:rPr>
          <w:rFonts w:ascii="Arial" w:cs="Arial" w:eastAsia="Arial" w:hAnsi="Arial"/>
          <w:sz w:val="17"/>
          <w:szCs w:val="17"/>
          <w:color w:val="auto"/>
        </w:rPr>
        <w:t>H[SRVXUHV</w:t>
      </w:r>
      <w:r>
        <w:rPr>
          <w:rFonts w:ascii="PMingLiU" w:cs="PMingLiU" w:eastAsia="PMingLiU" w:hAnsi="PMingLiU"/>
          <w:sz w:val="17"/>
          <w:szCs w:val="17"/>
          <w:color w:val="auto"/>
        </w:rPr>
        <w:t/>
      </w:r>
      <w:r>
        <w:rPr>
          <w:rFonts w:ascii="Arial" w:cs="Arial" w:eastAsia="Arial" w:hAnsi="Arial"/>
          <w:sz w:val="17"/>
          <w:szCs w:val="17"/>
          <w:color w:val="auto"/>
        </w:rPr>
        <w:t>7RGD\</w:t>
      </w:r>
      <w:r>
        <w:rPr>
          <w:rFonts w:ascii="PMingLiU" w:cs="PMingLiU" w:eastAsia="PMingLiU" w:hAnsi="PMingLiU"/>
          <w:sz w:val="17"/>
          <w:szCs w:val="17"/>
          <w:color w:val="auto"/>
        </w:rPr>
        <w:t/>
      </w:r>
      <w:r>
        <w:rPr>
          <w:rFonts w:ascii="Arial" w:cs="Arial" w:eastAsia="Arial" w:hAnsi="Arial"/>
          <w:sz w:val="17"/>
          <w:szCs w:val="17"/>
          <w:color w:val="auto"/>
        </w:rPr>
        <w:t>WKLV</w:t>
      </w:r>
      <w:r>
        <w:rPr>
          <w:rFonts w:ascii="PMingLiU" w:cs="PMingLiU" w:eastAsia="PMingLiU" w:hAnsi="PMingLiU"/>
          <w:sz w:val="17"/>
          <w:szCs w:val="17"/>
          <w:color w:val="auto"/>
        </w:rPr>
        <w:t/>
      </w:r>
      <w:r>
        <w:rPr>
          <w:rFonts w:ascii="Arial" w:cs="Arial" w:eastAsia="Arial" w:hAnsi="Arial"/>
          <w:sz w:val="17"/>
          <w:szCs w:val="17"/>
          <w:color w:val="auto"/>
        </w:rPr>
        <w:t>HQG</w:t>
      </w:r>
      <w:r>
        <w:rPr>
          <w:rFonts w:ascii="PMingLiU" w:cs="PMingLiU" w:eastAsia="PMingLiU" w:hAnsi="PMingLiU"/>
          <w:sz w:val="17"/>
          <w:szCs w:val="17"/>
          <w:color w:val="auto"/>
        </w:rPr>
        <w:t/>
      </w:r>
      <w:r>
        <w:rPr>
          <w:rFonts w:ascii="Arial" w:cs="Arial" w:eastAsia="Arial" w:hAnsi="Arial"/>
          <w:sz w:val="17"/>
          <w:szCs w:val="17"/>
          <w:color w:val="auto"/>
        </w:rPr>
        <w:t>PDUNHW</w:t>
      </w:r>
      <w:r>
        <w:rPr>
          <w:rFonts w:ascii="PMingLiU" w:cs="PMingLiU" w:eastAsia="PMingLiU" w:hAnsi="PMingLiU"/>
          <w:sz w:val="17"/>
          <w:szCs w:val="17"/>
          <w:color w:val="auto"/>
        </w:rPr>
        <w:t/>
      </w:r>
      <w:r>
        <w:rPr>
          <w:rFonts w:ascii="Arial" w:cs="Arial" w:eastAsia="Arial" w:hAnsi="Arial"/>
          <w:sz w:val="17"/>
          <w:szCs w:val="17"/>
          <w:color w:val="auto"/>
        </w:rPr>
        <w:t>DFFRXQWV</w:t>
      </w:r>
      <w:r>
        <w:rPr>
          <w:rFonts w:ascii="PMingLiU" w:cs="PMingLiU" w:eastAsia="PMingLiU" w:hAnsi="PMingLiU"/>
          <w:sz w:val="17"/>
          <w:szCs w:val="17"/>
          <w:color w:val="auto"/>
        </w:rPr>
        <w:t/>
      </w:r>
      <w:r>
        <w:rPr>
          <w:rFonts w:ascii="Arial" w:cs="Arial" w:eastAsia="Arial" w:hAnsi="Arial"/>
          <w:sz w:val="17"/>
          <w:szCs w:val="17"/>
          <w:color w:val="auto"/>
        </w:rPr>
        <w:t xml:space="preserve"> IRU</w:t>
      </w:r>
      <w:r>
        <w:rPr>
          <w:rFonts w:ascii="PMingLiU" w:cs="PMingLiU" w:eastAsia="PMingLiU" w:hAnsi="PMingLiU"/>
          <w:sz w:val="17"/>
          <w:szCs w:val="17"/>
          <w:color w:val="auto"/>
        </w:rPr>
        <w:t/>
      </w:r>
      <w:r>
        <w:rPr>
          <w:rFonts w:ascii="Arial" w:cs="Arial" w:eastAsia="Arial" w:hAnsi="Arial"/>
          <w:sz w:val="17"/>
          <w:szCs w:val="17"/>
          <w:color w:val="auto"/>
        </w:rPr>
        <w:t>a</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VDOHV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LV</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ODUJHVW</w:t>
      </w:r>
      <w:r>
        <w:rPr>
          <w:rFonts w:ascii="PMingLiU" w:cs="PMingLiU" w:eastAsia="PMingLiU" w:hAnsi="PMingLiU"/>
          <w:sz w:val="17"/>
          <w:szCs w:val="17"/>
          <w:color w:val="auto"/>
        </w:rPr>
        <w:t/>
      </w:r>
      <w:r>
        <w:rPr>
          <w:rFonts w:ascii="Arial" w:cs="Arial" w:eastAsia="Arial" w:hAnsi="Arial"/>
          <w:sz w:val="17"/>
          <w:szCs w:val="17"/>
          <w:color w:val="auto"/>
        </w:rPr>
        <w:t>JURZWK</w:t>
      </w:r>
      <w:r>
        <w:rPr>
          <w:rFonts w:ascii="PMingLiU" w:cs="PMingLiU" w:eastAsia="PMingLiU" w:hAnsi="PMingLiU"/>
          <w:sz w:val="17"/>
          <w:szCs w:val="17"/>
          <w:color w:val="auto"/>
        </w:rPr>
        <w:t/>
      </w:r>
      <w:r>
        <w:rPr>
          <w:rFonts w:ascii="Arial" w:cs="Arial" w:eastAsia="Arial" w:hAnsi="Arial"/>
          <w:sz w:val="17"/>
          <w:szCs w:val="17"/>
          <w:color w:val="auto"/>
        </w:rPr>
        <w:t>RSSRUWXQLW\</w:t>
      </w:r>
      <w:r>
        <w:rPr>
          <w:rFonts w:ascii="PMingLiU" w:cs="PMingLiU" w:eastAsia="PMingLiU" w:hAnsi="PMingLiU"/>
          <w:sz w:val="17"/>
          <w:szCs w:val="17"/>
          <w:color w:val="auto"/>
        </w:rPr>
        <w:t/>
      </w:r>
      <w:r>
        <w:rPr>
          <w:rFonts w:ascii="Arial" w:cs="Arial" w:eastAsia="Arial" w:hAnsi="Arial"/>
          <w:sz w:val="17"/>
          <w:szCs w:val="17"/>
          <w:color w:val="auto"/>
        </w:rPr>
        <w:t>PDUNHW</w:t>
      </w:r>
      <w:r>
        <w:rPr>
          <w:rFonts w:ascii="PMingLiU" w:cs="PMingLiU" w:eastAsia="PMingLiU" w:hAnsi="PMingLiU"/>
          <w:sz w:val="17"/>
          <w:szCs w:val="17"/>
          <w:color w:val="auto"/>
        </w:rPr>
        <w:t/>
      </w:r>
    </w:p>
    <w:p>
      <w:pPr>
        <w:spacing w:after="0" w:line="245" w:lineRule="exact"/>
        <w:rPr>
          <w:sz w:val="20"/>
          <w:szCs w:val="20"/>
          <w:color w:val="auto"/>
        </w:rPr>
      </w:pPr>
    </w:p>
    <w:p>
      <w:pPr>
        <w:ind w:left="3280"/>
        <w:spacing w:after="0"/>
        <w:rPr>
          <w:sz w:val="20"/>
          <w:szCs w:val="20"/>
          <w:color w:val="auto"/>
        </w:rPr>
      </w:pPr>
      <w:r>
        <w:rPr>
          <w:rFonts w:ascii="Arial" w:cs="Arial" w:eastAsia="Arial" w:hAnsi="Arial"/>
          <w:sz w:val="19"/>
          <w:szCs w:val="19"/>
          <w:b w:val="1"/>
          <w:bCs w:val="1"/>
          <w:color w:val="00001F"/>
        </w:rPr>
        <w:t>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-106045</wp:posOffset>
            </wp:positionV>
            <wp:extent cx="2623820" cy="2114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23820" cy="2114550"/>
                    </a:xfrm>
                    <a:prstGeom prst="rect">
                      <a:avLst/>
                    </a:prstGeom>
                    <a:noFill/>
                  </pic:spPr>
                </pic:pic>
              </a:graphicData>
            </a:graphic>
          </wp:anchor>
        </w:drawing>
      </w:r>
    </w:p>
    <w:p>
      <w:pPr>
        <w:spacing w:after="0" w:line="70" w:lineRule="exact"/>
        <w:rPr>
          <w:sz w:val="20"/>
          <w:szCs w:val="20"/>
          <w:color w:val="auto"/>
        </w:rPr>
      </w:pPr>
    </w:p>
    <w:p>
      <w:pPr>
        <w:ind w:left="3280" w:right="760"/>
        <w:spacing w:after="0" w:line="255" w:lineRule="exact"/>
        <w:rPr>
          <w:sz w:val="20"/>
          <w:szCs w:val="20"/>
          <w:color w:val="auto"/>
        </w:rPr>
      </w:pPr>
      <w:r>
        <w:rPr>
          <w:rFonts w:ascii="Arial" w:cs="Arial" w:eastAsia="Arial" w:hAnsi="Arial"/>
          <w:sz w:val="16"/>
          <w:szCs w:val="16"/>
          <w:color w:val="auto"/>
        </w:rPr>
        <w:t>$IWHU</w:t>
      </w:r>
      <w:r>
        <w:rPr>
          <w:rFonts w:ascii="PMingLiU" w:cs="PMingLiU" w:eastAsia="PMingLiU" w:hAnsi="PMingLiU"/>
          <w:sz w:val="16"/>
          <w:szCs w:val="16"/>
          <w:color w:val="auto"/>
        </w:rPr>
        <w:t/>
      </w:r>
      <w:r>
        <w:rPr>
          <w:rFonts w:ascii="Arial" w:cs="Arial" w:eastAsia="Arial" w:hAnsi="Arial"/>
          <w:sz w:val="16"/>
          <w:szCs w:val="16"/>
          <w:color w:val="auto"/>
        </w:rPr>
        <w:t>QDYLJDWLQJ</w:t>
      </w:r>
      <w:r>
        <w:rPr>
          <w:rFonts w:ascii="PMingLiU" w:cs="PMingLiU" w:eastAsia="PMingLiU" w:hAnsi="PMingLiU"/>
          <w:sz w:val="16"/>
          <w:szCs w:val="16"/>
          <w:color w:val="auto"/>
        </w:rPr>
        <w:t/>
      </w:r>
      <w:r>
        <w:rPr>
          <w:rFonts w:ascii="Arial" w:cs="Arial" w:eastAsia="Arial" w:hAnsi="Arial"/>
          <w:sz w:val="16"/>
          <w:szCs w:val="16"/>
          <w:color w:val="auto"/>
        </w:rPr>
        <w:t>VRPH</w:t>
      </w:r>
      <w:r>
        <w:rPr>
          <w:rFonts w:ascii="PMingLiU" w:cs="PMingLiU" w:eastAsia="PMingLiU" w:hAnsi="PMingLiU"/>
          <w:sz w:val="16"/>
          <w:szCs w:val="16"/>
          <w:color w:val="auto"/>
        </w:rPr>
        <w:t/>
      </w:r>
      <w:r>
        <w:rPr>
          <w:rFonts w:ascii="Arial" w:cs="Arial" w:eastAsia="Arial" w:hAnsi="Arial"/>
          <w:sz w:val="16"/>
          <w:szCs w:val="16"/>
          <w:color w:val="auto"/>
        </w:rPr>
        <w:t>KHDGZLQGV</w:t>
      </w:r>
      <w:r>
        <w:rPr>
          <w:rFonts w:ascii="PMingLiU" w:cs="PMingLiU" w:eastAsia="PMingLiU" w:hAnsi="PMingLiU"/>
          <w:sz w:val="16"/>
          <w:szCs w:val="16"/>
          <w:color w:val="auto"/>
        </w:rPr>
        <w:t/>
      </w:r>
      <w:r>
        <w:rPr>
          <w:rFonts w:ascii="Arial" w:cs="Arial" w:eastAsia="Arial" w:hAnsi="Arial"/>
          <w:sz w:val="16"/>
          <w:szCs w:val="16"/>
          <w:color w:val="auto"/>
        </w:rPr>
        <w:t>LQ</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´UVW</w:t>
      </w:r>
      <w:r>
        <w:rPr>
          <w:rFonts w:ascii="PMingLiU" w:cs="PMingLiU" w:eastAsia="PMingLiU" w:hAnsi="PMingLiU"/>
          <w:sz w:val="16"/>
          <w:szCs w:val="16"/>
          <w:color w:val="auto"/>
        </w:rPr>
        <w:t/>
      </w:r>
      <w:r>
        <w:rPr>
          <w:rFonts w:ascii="Arial" w:cs="Arial" w:eastAsia="Arial" w:hAnsi="Arial"/>
          <w:sz w:val="16"/>
          <w:szCs w:val="16"/>
          <w:color w:val="auto"/>
        </w:rPr>
        <w:t>KDOI</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 xml:space="preserve"> Networking end market showed promising momentum in the VHFRQG</w:t>
      </w:r>
      <w:r>
        <w:rPr>
          <w:rFonts w:ascii="PMingLiU" w:cs="PMingLiU" w:eastAsia="PMingLiU" w:hAnsi="PMingLiU"/>
          <w:sz w:val="16"/>
          <w:szCs w:val="16"/>
          <w:color w:val="auto"/>
        </w:rPr>
        <w:t/>
      </w:r>
      <w:r>
        <w:rPr>
          <w:rFonts w:ascii="Arial" w:cs="Arial" w:eastAsia="Arial" w:hAnsi="Arial"/>
          <w:sz w:val="16"/>
          <w:szCs w:val="16"/>
          <w:color w:val="auto"/>
        </w:rPr>
        <w:t>KDOI</w:t>
      </w:r>
      <w:r>
        <w:rPr>
          <w:rFonts w:ascii="PMingLiU" w:cs="PMingLiU" w:eastAsia="PMingLiU" w:hAnsi="PMingLiU"/>
          <w:sz w:val="16"/>
          <w:szCs w:val="16"/>
          <w:color w:val="auto"/>
        </w:rPr>
        <w:t/>
      </w:r>
      <w:r>
        <w:rPr>
          <w:rFonts w:ascii="Arial" w:cs="Arial" w:eastAsia="Arial" w:hAnsi="Arial"/>
          <w:sz w:val="16"/>
          <w:szCs w:val="16"/>
          <w:color w:val="auto"/>
        </w:rPr>
        <w:t>6HFXODU</w:t>
      </w:r>
      <w:r>
        <w:rPr>
          <w:rFonts w:ascii="PMingLiU" w:cs="PMingLiU" w:eastAsia="PMingLiU" w:hAnsi="PMingLiU"/>
          <w:sz w:val="16"/>
          <w:szCs w:val="16"/>
          <w:color w:val="auto"/>
        </w:rPr>
        <w:t/>
      </w:r>
      <w:r>
        <w:rPr>
          <w:rFonts w:ascii="Arial" w:cs="Arial" w:eastAsia="Arial" w:hAnsi="Arial"/>
          <w:sz w:val="16"/>
          <w:szCs w:val="16"/>
          <w:color w:val="auto"/>
        </w:rPr>
        <w:t>WUHQGV</w:t>
      </w:r>
      <w:r>
        <w:rPr>
          <w:rFonts w:ascii="PMingLiU" w:cs="PMingLiU" w:eastAsia="PMingLiU" w:hAnsi="PMingLiU"/>
          <w:sz w:val="16"/>
          <w:szCs w:val="16"/>
          <w:color w:val="auto"/>
        </w:rPr>
        <w:t/>
      </w:r>
      <w:r>
        <w:rPr>
          <w:rFonts w:ascii="Arial" w:cs="Arial" w:eastAsia="Arial" w:hAnsi="Arial"/>
          <w:sz w:val="16"/>
          <w:szCs w:val="16"/>
          <w:color w:val="auto"/>
        </w:rPr>
        <w:t>VXFK</w:t>
      </w:r>
      <w:r>
        <w:rPr>
          <w:rFonts w:ascii="PMingLiU" w:cs="PMingLiU" w:eastAsia="PMingLiU" w:hAnsi="PMingLiU"/>
          <w:sz w:val="16"/>
          <w:szCs w:val="16"/>
          <w:color w:val="auto"/>
        </w:rPr>
        <w:t/>
      </w:r>
      <w:r>
        <w:rPr>
          <w:rFonts w:ascii="Arial" w:cs="Arial" w:eastAsia="Arial" w:hAnsi="Arial"/>
          <w:sz w:val="16"/>
          <w:szCs w:val="16"/>
          <w:color w:val="auto"/>
        </w:rPr>
        <w:t>DV</w:t>
      </w:r>
      <w:r>
        <w:rPr>
          <w:rFonts w:ascii="PMingLiU" w:cs="PMingLiU" w:eastAsia="PMingLiU" w:hAnsi="PMingLiU"/>
          <w:sz w:val="16"/>
          <w:szCs w:val="16"/>
          <w:color w:val="auto"/>
        </w:rPr>
        <w:t/>
      </w:r>
      <w:r>
        <w:rPr>
          <w:rFonts w:ascii="Arial" w:cs="Arial" w:eastAsia="Arial" w:hAnsi="Arial"/>
          <w:sz w:val="16"/>
          <w:szCs w:val="16"/>
          <w:color w:val="auto"/>
        </w:rPr>
        <w:t>GDWD</w:t>
      </w:r>
      <w:r>
        <w:rPr>
          <w:rFonts w:ascii="PMingLiU" w:cs="PMingLiU" w:eastAsia="PMingLiU" w:hAnsi="PMingLiU"/>
          <w:sz w:val="16"/>
          <w:szCs w:val="16"/>
          <w:color w:val="auto"/>
        </w:rPr>
        <w:t/>
      </w:r>
      <w:r>
        <w:rPr>
          <w:rFonts w:ascii="Arial" w:cs="Arial" w:eastAsia="Arial" w:hAnsi="Arial"/>
          <w:sz w:val="16"/>
          <w:szCs w:val="16"/>
          <w:color w:val="auto"/>
        </w:rPr>
        <w:t>FHQWHU</w:t>
      </w:r>
      <w:r>
        <w:rPr>
          <w:rFonts w:ascii="PMingLiU" w:cs="PMingLiU" w:eastAsia="PMingLiU" w:hAnsi="PMingLiU"/>
          <w:sz w:val="16"/>
          <w:szCs w:val="16"/>
          <w:color w:val="auto"/>
        </w:rPr>
        <w:t/>
      </w:r>
      <w:r>
        <w:rPr>
          <w:rFonts w:ascii="Arial" w:cs="Arial" w:eastAsia="Arial" w:hAnsi="Arial"/>
          <w:sz w:val="16"/>
          <w:szCs w:val="16"/>
          <w:color w:val="auto"/>
        </w:rPr>
        <w:t>H[SDQVLRQ</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p>
    <w:p>
      <w:pPr>
        <w:spacing w:after="0" w:line="87" w:lineRule="exact"/>
        <w:rPr>
          <w:sz w:val="20"/>
          <w:szCs w:val="20"/>
          <w:color w:val="auto"/>
        </w:rPr>
      </w:pPr>
    </w:p>
    <w:p>
      <w:pPr>
        <w:ind w:left="3280" w:right="500"/>
        <w:spacing w:after="0" w:line="263" w:lineRule="exact"/>
        <w:rPr>
          <w:sz w:val="20"/>
          <w:szCs w:val="20"/>
          <w:color w:val="auto"/>
        </w:rPr>
      </w:pP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QH[W</w:t>
      </w:r>
      <w:r>
        <w:rPr>
          <w:rFonts w:ascii="PMingLiU" w:cs="PMingLiU" w:eastAsia="PMingLiU" w:hAnsi="PMingLiU"/>
          <w:sz w:val="17"/>
          <w:szCs w:val="17"/>
          <w:color w:val="auto"/>
        </w:rPr>
        <w:t/>
      </w:r>
      <w:r>
        <w:rPr>
          <w:rFonts w:ascii="Arial" w:cs="Arial" w:eastAsia="Arial" w:hAnsi="Arial"/>
          <w:sz w:val="17"/>
          <w:szCs w:val="17"/>
          <w:color w:val="auto"/>
        </w:rPr>
        <w:t>JHQHUDWLRQ</w:t>
      </w:r>
      <w:r>
        <w:rPr>
          <w:rFonts w:ascii="PMingLiU" w:cs="PMingLiU" w:eastAsia="PMingLiU" w:hAnsi="PMingLiU"/>
          <w:sz w:val="17"/>
          <w:szCs w:val="17"/>
          <w:color w:val="auto"/>
        </w:rPr>
        <w:t/>
      </w:r>
      <w:r>
        <w:rPr>
          <w:rFonts w:ascii="Arial" w:cs="Arial" w:eastAsia="Arial" w:hAnsi="Arial"/>
          <w:sz w:val="17"/>
          <w:szCs w:val="17"/>
          <w:color w:val="auto"/>
        </w:rPr>
        <w:t>QHWZRUN</w:t>
      </w:r>
      <w:r>
        <w:rPr>
          <w:rFonts w:ascii="PMingLiU" w:cs="PMingLiU" w:eastAsia="PMingLiU" w:hAnsi="PMingLiU"/>
          <w:sz w:val="17"/>
          <w:szCs w:val="17"/>
          <w:color w:val="auto"/>
        </w:rPr>
        <w:t/>
      </w:r>
      <w:r>
        <w:rPr>
          <w:rFonts w:ascii="Arial" w:cs="Arial" w:eastAsia="Arial" w:hAnsi="Arial"/>
          <w:sz w:val="17"/>
          <w:szCs w:val="17"/>
          <w:color w:val="auto"/>
        </w:rPr>
        <w:t>XSJUDGHV</w:t>
      </w:r>
      <w:r>
        <w:rPr>
          <w:rFonts w:ascii="PMingLiU" w:cs="PMingLiU" w:eastAsia="PMingLiU" w:hAnsi="PMingLiU"/>
          <w:sz w:val="17"/>
          <w:szCs w:val="17"/>
          <w:color w:val="auto"/>
        </w:rPr>
        <w:t/>
      </w:r>
      <w:r>
        <w:rPr>
          <w:rFonts w:ascii="Arial" w:cs="Arial" w:eastAsia="Arial" w:hAnsi="Arial"/>
          <w:sz w:val="17"/>
          <w:szCs w:val="17"/>
          <w:color w:val="auto"/>
        </w:rPr>
        <w:t>GURYH</w:t>
      </w:r>
      <w:r>
        <w:rPr>
          <w:rFonts w:ascii="PMingLiU" w:cs="PMingLiU" w:eastAsia="PMingLiU" w:hAnsi="PMingLiU"/>
          <w:sz w:val="17"/>
          <w:szCs w:val="17"/>
          <w:color w:val="auto"/>
        </w:rPr>
        <w:t/>
      </w:r>
      <w:r>
        <w:rPr>
          <w:rFonts w:ascii="Arial" w:cs="Arial" w:eastAsia="Arial" w:hAnsi="Arial"/>
          <w:sz w:val="17"/>
          <w:szCs w:val="17"/>
          <w:color w:val="auto"/>
        </w:rPr>
        <w:t>GHPDQG</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 xml:space="preserve"> KLJK</w:t>
      </w:r>
      <w:r>
        <w:rPr>
          <w:rFonts w:ascii="PMingLiU" w:cs="PMingLiU" w:eastAsia="PMingLiU" w:hAnsi="PMingLiU"/>
          <w:sz w:val="17"/>
          <w:szCs w:val="17"/>
          <w:color w:val="auto"/>
        </w:rPr>
        <w:t/>
      </w:r>
      <w:r>
        <w:rPr>
          <w:rFonts w:ascii="Arial" w:cs="Arial" w:eastAsia="Arial" w:hAnsi="Arial"/>
          <w:sz w:val="17"/>
          <w:szCs w:val="17"/>
          <w:color w:val="auto"/>
        </w:rPr>
        <w:t>VSHHG</w:t>
      </w:r>
      <w:r>
        <w:rPr>
          <w:rFonts w:ascii="PMingLiU" w:cs="PMingLiU" w:eastAsia="PMingLiU" w:hAnsi="PMingLiU"/>
          <w:sz w:val="17"/>
          <w:szCs w:val="17"/>
          <w:color w:val="auto"/>
        </w:rPr>
        <w:t/>
      </w:r>
      <w:r>
        <w:rPr>
          <w:rFonts w:ascii="Arial" w:cs="Arial" w:eastAsia="Arial" w:hAnsi="Arial"/>
          <w:sz w:val="17"/>
          <w:szCs w:val="17"/>
          <w:color w:val="auto"/>
        </w:rPr>
        <w:t>KLJK</w:t>
      </w:r>
      <w:r>
        <w:rPr>
          <w:rFonts w:ascii="PMingLiU" w:cs="PMingLiU" w:eastAsia="PMingLiU" w:hAnsi="PMingLiU"/>
          <w:sz w:val="17"/>
          <w:szCs w:val="17"/>
          <w:color w:val="auto"/>
        </w:rPr>
        <w:t/>
      </w:r>
      <w:r>
        <w:rPr>
          <w:rFonts w:ascii="Arial" w:cs="Arial" w:eastAsia="Arial" w:hAnsi="Arial"/>
          <w:sz w:val="17"/>
          <w:szCs w:val="17"/>
          <w:color w:val="auto"/>
        </w:rPr>
        <w:t>SRZHU</w:t>
      </w:r>
      <w:r>
        <w:rPr>
          <w:rFonts w:ascii="PMingLiU" w:cs="PMingLiU" w:eastAsia="PMingLiU" w:hAnsi="PMingLiU"/>
          <w:sz w:val="17"/>
          <w:szCs w:val="17"/>
          <w:color w:val="auto"/>
        </w:rPr>
        <w:t/>
      </w:r>
      <w:r>
        <w:rPr>
          <w:rFonts w:ascii="Arial" w:cs="Arial" w:eastAsia="Arial" w:hAnsi="Arial"/>
          <w:sz w:val="17"/>
          <w:szCs w:val="17"/>
          <w:color w:val="auto"/>
        </w:rPr>
        <w:t>LQWHUFRQQHFW</w:t>
      </w:r>
      <w:r>
        <w:rPr>
          <w:rFonts w:ascii="PMingLiU" w:cs="PMingLiU" w:eastAsia="PMingLiU" w:hAnsi="PMingLiU"/>
          <w:sz w:val="17"/>
          <w:szCs w:val="17"/>
          <w:color w:val="auto"/>
        </w:rPr>
        <w:t/>
      </w:r>
      <w:r>
        <w:rPr>
          <w:rFonts w:ascii="Arial" w:cs="Arial" w:eastAsia="Arial" w:hAnsi="Arial"/>
          <w:sz w:val="17"/>
          <w:szCs w:val="17"/>
          <w:color w:val="auto"/>
        </w:rPr>
        <w:t>SURGXFWV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KLJK</w:t>
      </w:r>
      <w:r>
        <w:rPr>
          <w:rFonts w:ascii="PMingLiU" w:cs="PMingLiU" w:eastAsia="PMingLiU" w:hAnsi="PMingLiU"/>
          <w:sz w:val="17"/>
          <w:szCs w:val="17"/>
          <w:color w:val="auto"/>
        </w:rPr>
        <w:t/>
      </w:r>
      <w:r>
        <w:rPr>
          <w:rFonts w:ascii="Arial" w:cs="Arial" w:eastAsia="Arial" w:hAnsi="Arial"/>
          <w:sz w:val="17"/>
          <w:szCs w:val="17"/>
          <w:color w:val="auto"/>
        </w:rPr>
        <w:t>GHQVLW\</w:t>
      </w:r>
      <w:r>
        <w:rPr>
          <w:rFonts w:ascii="PMingLiU" w:cs="PMingLiU" w:eastAsia="PMingLiU" w:hAnsi="PMingLiU"/>
          <w:sz w:val="17"/>
          <w:szCs w:val="17"/>
          <w:color w:val="auto"/>
        </w:rPr>
        <w:t/>
      </w:r>
      <w:r>
        <w:rPr>
          <w:rFonts w:ascii="Arial" w:cs="Arial" w:eastAsia="Arial" w:hAnsi="Arial"/>
          <w:sz w:val="17"/>
          <w:szCs w:val="17"/>
          <w:color w:val="auto"/>
        </w:rPr>
        <w:t xml:space="preserve"> power shelves. We also saw a rebound of sales in this market through our distribution channels.</w:t>
      </w:r>
    </w:p>
    <w:p>
      <w:pPr>
        <w:spacing w:after="0" w:line="241" w:lineRule="exact"/>
        <w:rPr>
          <w:sz w:val="20"/>
          <w:szCs w:val="20"/>
          <w:color w:val="auto"/>
        </w:rPr>
      </w:pPr>
    </w:p>
    <w:p>
      <w:pPr>
        <w:ind w:left="3280"/>
        <w:spacing w:after="0"/>
        <w:rPr>
          <w:sz w:val="20"/>
          <w:szCs w:val="20"/>
          <w:color w:val="auto"/>
        </w:rPr>
      </w:pPr>
      <w:r>
        <w:rPr>
          <w:rFonts w:ascii="Arial" w:cs="Arial" w:eastAsia="Arial" w:hAnsi="Arial"/>
          <w:sz w:val="19"/>
          <w:szCs w:val="19"/>
          <w:b w:val="1"/>
          <w:bCs w:val="1"/>
          <w:color w:val="00001F"/>
        </w:rPr>
        <w:t>Industrial:</w:t>
      </w:r>
    </w:p>
    <w:p>
      <w:pPr>
        <w:spacing w:after="0" w:line="90" w:lineRule="exact"/>
        <w:rPr>
          <w:sz w:val="20"/>
          <w:szCs w:val="20"/>
          <w:color w:val="auto"/>
        </w:rPr>
      </w:pPr>
    </w:p>
    <w:p>
      <w:pPr>
        <w:ind w:left="3280" w:right="160"/>
        <w:spacing w:after="0" w:line="291" w:lineRule="exact"/>
        <w:rPr>
          <w:sz w:val="20"/>
          <w:szCs w:val="20"/>
          <w:color w:val="auto"/>
        </w:rPr>
      </w:pPr>
      <w:r>
        <w:rPr>
          <w:rFonts w:ascii="Arial" w:cs="Arial" w:eastAsia="Arial" w:hAnsi="Arial"/>
          <w:sz w:val="16"/>
          <w:szCs w:val="16"/>
          <w:color w:val="auto"/>
        </w:rPr>
        <w:t xml:space="preserve">Our Industrial segment delivered steady performance in 2025 despite a challenging macro environment. Smart manufacturing and automation trends as well as energy infrastructure investments offered new avenues for growth. We anticipate sustained demand in </w:t>
      </w:r>
      <w:r>
        <w:rPr>
          <w:rFonts w:ascii="PMingLiU" w:cs="PMingLiU" w:eastAsia="PMingLiU" w:hAnsi="PMingLiU"/>
          <w:sz w:val="16"/>
          <w:szCs w:val="16"/>
          <w:color w:val="auto"/>
        </w:rPr>
        <w:t/>
      </w:r>
      <w:r>
        <w:rPr>
          <w:rFonts w:ascii="Arial" w:cs="Arial" w:eastAsia="Arial" w:hAnsi="Arial"/>
          <w:sz w:val="16"/>
          <w:szCs w:val="16"/>
          <w:color w:val="auto"/>
        </w:rPr>
        <w:t>DV</w:t>
      </w:r>
      <w:r>
        <w:rPr>
          <w:rFonts w:ascii="PMingLiU" w:cs="PMingLiU" w:eastAsia="PMingLiU" w:hAnsi="PMingLiU"/>
          <w:sz w:val="16"/>
          <w:szCs w:val="16"/>
          <w:color w:val="auto"/>
        </w:rPr>
        <w:t/>
      </w:r>
      <w:r>
        <w:rPr>
          <w:rFonts w:ascii="Arial" w:cs="Arial" w:eastAsia="Arial" w:hAnsi="Arial"/>
          <w:sz w:val="16"/>
          <w:szCs w:val="16"/>
          <w:color w:val="auto"/>
        </w:rPr>
        <w:t>LQGXVWULDO</w:t>
      </w:r>
      <w:r>
        <w:rPr>
          <w:rFonts w:ascii="PMingLiU" w:cs="PMingLiU" w:eastAsia="PMingLiU" w:hAnsi="PMingLiU"/>
          <w:sz w:val="16"/>
          <w:szCs w:val="16"/>
          <w:color w:val="auto"/>
        </w:rPr>
        <w:t/>
      </w:r>
      <w:r>
        <w:rPr>
          <w:rFonts w:ascii="Arial" w:cs="Arial" w:eastAsia="Arial" w:hAnsi="Arial"/>
          <w:sz w:val="16"/>
          <w:szCs w:val="16"/>
          <w:color w:val="auto"/>
        </w:rPr>
        <w:t>FXVWRPHUV</w:t>
      </w:r>
      <w:r>
        <w:rPr>
          <w:rFonts w:ascii="PMingLiU" w:cs="PMingLiU" w:eastAsia="PMingLiU" w:hAnsi="PMingLiU"/>
          <w:sz w:val="16"/>
          <w:szCs w:val="16"/>
          <w:color w:val="auto"/>
        </w:rPr>
        <w:t/>
      </w:r>
      <w:r>
        <w:rPr>
          <w:rFonts w:ascii="Arial" w:cs="Arial" w:eastAsia="Arial" w:hAnsi="Arial"/>
          <w:sz w:val="16"/>
          <w:szCs w:val="16"/>
          <w:color w:val="auto"/>
        </w:rPr>
        <w:t>SULRULWL]H</w:t>
      </w:r>
      <w:r>
        <w:rPr>
          <w:rFonts w:ascii="PMingLiU" w:cs="PMingLiU" w:eastAsia="PMingLiU" w:hAnsi="PMingLiU"/>
          <w:sz w:val="16"/>
          <w:szCs w:val="16"/>
          <w:color w:val="auto"/>
        </w:rPr>
        <w:t/>
      </w:r>
      <w:r>
        <w:rPr>
          <w:rFonts w:ascii="Arial" w:cs="Arial" w:eastAsia="Arial" w:hAnsi="Arial"/>
          <w:sz w:val="16"/>
          <w:szCs w:val="16"/>
          <w:color w:val="auto"/>
        </w:rPr>
        <w:t>UHOLDELOLW\</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HI´FLHQF\</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 xml:space="preserve"> ZH</w:t>
      </w:r>
      <w:r>
        <w:rPr>
          <w:rFonts w:ascii="PMingLiU" w:cs="PMingLiU" w:eastAsia="PMingLiU" w:hAnsi="PMingLiU"/>
          <w:sz w:val="16"/>
          <w:szCs w:val="16"/>
          <w:color w:val="auto"/>
        </w:rPr>
        <w:t/>
      </w:r>
      <w:r>
        <w:rPr>
          <w:rFonts w:ascii="Arial" w:cs="Arial" w:eastAsia="Arial" w:hAnsi="Arial"/>
          <w:sz w:val="16"/>
          <w:szCs w:val="16"/>
          <w:color w:val="auto"/>
        </w:rPr>
        <w:t>DUH</w:t>
      </w:r>
      <w:r>
        <w:rPr>
          <w:rFonts w:ascii="PMingLiU" w:cs="PMingLiU" w:eastAsia="PMingLiU" w:hAnsi="PMingLiU"/>
          <w:sz w:val="16"/>
          <w:szCs w:val="16"/>
          <w:color w:val="auto"/>
        </w:rPr>
        <w:t/>
      </w:r>
      <w:r>
        <w:rPr>
          <w:rFonts w:ascii="Arial" w:cs="Arial" w:eastAsia="Arial" w:hAnsi="Arial"/>
          <w:sz w:val="16"/>
          <w:szCs w:val="16"/>
          <w:color w:val="auto"/>
        </w:rPr>
        <w:t>FRPPLWWHG</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VXSSRUWLQJ</w:t>
      </w:r>
      <w:r>
        <w:rPr>
          <w:rFonts w:ascii="PMingLiU" w:cs="PMingLiU" w:eastAsia="PMingLiU" w:hAnsi="PMingLiU"/>
          <w:sz w:val="16"/>
          <w:szCs w:val="16"/>
          <w:color w:val="auto"/>
        </w:rPr>
        <w:t/>
      </w:r>
      <w:r>
        <w:rPr>
          <w:rFonts w:ascii="Arial" w:cs="Arial" w:eastAsia="Arial" w:hAnsi="Arial"/>
          <w:sz w:val="16"/>
          <w:szCs w:val="16"/>
          <w:color w:val="auto"/>
        </w:rPr>
        <w:t>WKHP</w:t>
      </w:r>
      <w:r>
        <w:rPr>
          <w:rFonts w:ascii="PMingLiU" w:cs="PMingLiU" w:eastAsia="PMingLiU" w:hAnsi="PMingLiU"/>
          <w:sz w:val="16"/>
          <w:szCs w:val="16"/>
          <w:color w:val="auto"/>
        </w:rPr>
        <w:t/>
      </w:r>
      <w:r>
        <w:rPr>
          <w:rFonts w:ascii="Arial" w:cs="Arial" w:eastAsia="Arial" w:hAnsi="Arial"/>
          <w:sz w:val="16"/>
          <w:szCs w:val="16"/>
          <w:color w:val="auto"/>
        </w:rPr>
        <w:t>ZLWK</w:t>
      </w:r>
      <w:r>
        <w:rPr>
          <w:rFonts w:ascii="PMingLiU" w:cs="PMingLiU" w:eastAsia="PMingLiU" w:hAnsi="PMingLiU"/>
          <w:sz w:val="16"/>
          <w:szCs w:val="16"/>
          <w:color w:val="auto"/>
        </w:rPr>
        <w:t/>
      </w:r>
      <w:r>
        <w:rPr>
          <w:rFonts w:ascii="Arial" w:cs="Arial" w:eastAsia="Arial" w:hAnsi="Arial"/>
          <w:sz w:val="16"/>
          <w:szCs w:val="16"/>
          <w:color w:val="auto"/>
        </w:rPr>
        <w:t>KLJK</w:t>
      </w:r>
      <w:r>
        <w:rPr>
          <w:rFonts w:ascii="PMingLiU" w:cs="PMingLiU" w:eastAsia="PMingLiU" w:hAnsi="PMingLiU"/>
          <w:sz w:val="16"/>
          <w:szCs w:val="16"/>
          <w:color w:val="auto"/>
        </w:rPr>
        <w:t/>
      </w:r>
      <w:r>
        <w:rPr>
          <w:rFonts w:ascii="Arial" w:cs="Arial" w:eastAsia="Arial" w:hAnsi="Arial"/>
          <w:sz w:val="16"/>
          <w:szCs w:val="16"/>
          <w:color w:val="auto"/>
        </w:rPr>
        <w:t>TXDOLW\</w:t>
      </w:r>
      <w:r>
        <w:rPr>
          <w:rFonts w:ascii="PMingLiU" w:cs="PMingLiU" w:eastAsia="PMingLiU" w:hAnsi="PMingLiU"/>
          <w:sz w:val="16"/>
          <w:szCs w:val="16"/>
          <w:color w:val="auto"/>
        </w:rPr>
        <w:t/>
      </w:r>
      <w:r>
        <w:rPr>
          <w:rFonts w:ascii="Arial" w:cs="Arial" w:eastAsia="Arial" w:hAnsi="Arial"/>
          <w:sz w:val="16"/>
          <w:szCs w:val="16"/>
          <w:color w:val="auto"/>
        </w:rPr>
        <w:t>VROXWLRQV</w:t>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-184785</wp:posOffset>
            </wp:positionV>
            <wp:extent cx="2623820" cy="2114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23820" cy="2114550"/>
                    </a:xfrm>
                    <a:prstGeom prst="rect">
                      <a:avLst/>
                    </a:prstGeom>
                    <a:noFill/>
                  </pic:spPr>
                </pic:pic>
              </a:graphicData>
            </a:graphic>
          </wp:anchor>
        </w:drawing>
      </w:r>
    </w:p>
    <w:p>
      <w:pPr>
        <w:spacing w:after="0" w:line="387" w:lineRule="exact"/>
        <w:rPr>
          <w:sz w:val="20"/>
          <w:szCs w:val="20"/>
          <w:color w:val="auto"/>
        </w:rPr>
      </w:pPr>
    </w:p>
    <w:p>
      <w:pPr>
        <w:ind w:left="3280"/>
        <w:spacing w:after="0"/>
        <w:rPr>
          <w:sz w:val="20"/>
          <w:szCs w:val="20"/>
          <w:color w:val="auto"/>
        </w:rPr>
      </w:pPr>
      <w:r>
        <w:rPr>
          <w:rFonts w:ascii="Arial" w:cs="Arial" w:eastAsia="Arial" w:hAnsi="Arial"/>
          <w:sz w:val="19"/>
          <w:szCs w:val="19"/>
          <w:b w:val="1"/>
          <w:bCs w:val="1"/>
          <w:color w:val="00001F"/>
        </w:rPr>
        <w:t>Operations:</w:t>
      </w:r>
    </w:p>
    <w:p>
      <w:pPr>
        <w:spacing w:after="0" w:line="90" w:lineRule="exact"/>
        <w:rPr>
          <w:sz w:val="20"/>
          <w:szCs w:val="20"/>
          <w:color w:val="auto"/>
        </w:rPr>
      </w:pPr>
    </w:p>
    <w:p>
      <w:pPr>
        <w:ind w:left="3280" w:right="120"/>
        <w:spacing w:after="0" w:line="273" w:lineRule="exact"/>
        <w:rPr>
          <w:sz w:val="20"/>
          <w:szCs w:val="20"/>
          <w:color w:val="auto"/>
        </w:rPr>
      </w:pPr>
      <w:r>
        <w:rPr>
          <w:rFonts w:ascii="Arial" w:cs="Arial" w:eastAsia="Arial" w:hAnsi="Arial"/>
          <w:sz w:val="18"/>
          <w:szCs w:val="18"/>
          <w:color w:val="auto"/>
        </w:rPr>
        <w:t>,Q</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FRPSOHWHG</w:t>
      </w:r>
      <w:r>
        <w:rPr>
          <w:rFonts w:ascii="PMingLiU" w:cs="PMingLiU" w:eastAsia="PMingLiU" w:hAnsi="PMingLiU"/>
          <w:sz w:val="18"/>
          <w:szCs w:val="18"/>
          <w:color w:val="auto"/>
        </w:rPr>
        <w:t/>
      </w:r>
      <w:r>
        <w:rPr>
          <w:rFonts w:ascii="Arial" w:cs="Arial" w:eastAsia="Arial" w:hAnsi="Arial"/>
          <w:sz w:val="18"/>
          <w:szCs w:val="18"/>
          <w:color w:val="auto"/>
        </w:rPr>
        <w:t>WZR</w:t>
      </w:r>
      <w:r>
        <w:rPr>
          <w:rFonts w:ascii="PMingLiU" w:cs="PMingLiU" w:eastAsia="PMingLiU" w:hAnsi="PMingLiU"/>
          <w:sz w:val="18"/>
          <w:szCs w:val="18"/>
          <w:color w:val="auto"/>
        </w:rPr>
        <w:t/>
      </w:r>
      <w:r>
        <w:rPr>
          <w:rFonts w:ascii="Arial" w:cs="Arial" w:eastAsia="Arial" w:hAnsi="Arial"/>
          <w:sz w:val="18"/>
          <w:szCs w:val="18"/>
          <w:color w:val="auto"/>
        </w:rPr>
        <w:t>IDFLOLW\</w:t>
      </w:r>
      <w:r>
        <w:rPr>
          <w:rFonts w:ascii="PMingLiU" w:cs="PMingLiU" w:eastAsia="PMingLiU" w:hAnsi="PMingLiU"/>
          <w:sz w:val="18"/>
          <w:szCs w:val="18"/>
          <w:color w:val="auto"/>
        </w:rPr>
        <w:t/>
      </w:r>
      <w:r>
        <w:rPr>
          <w:rFonts w:ascii="Arial" w:cs="Arial" w:eastAsia="Arial" w:hAnsi="Arial"/>
          <w:sz w:val="18"/>
          <w:szCs w:val="18"/>
          <w:color w:val="auto"/>
        </w:rPr>
        <w:t>FRQVROLGDWLRQV</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&amp;KLQD</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 xml:space="preserve"> United States while continuing to invest in our facilities in India to better align our business for the future. We also began investing LQWR</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6ORYDNLD</w:t>
      </w:r>
      <w:r>
        <w:rPr>
          <w:rFonts w:ascii="PMingLiU" w:cs="PMingLiU" w:eastAsia="PMingLiU" w:hAnsi="PMingLiU"/>
          <w:sz w:val="18"/>
          <w:szCs w:val="18"/>
          <w:color w:val="auto"/>
        </w:rPr>
        <w:t/>
      </w:r>
      <w:r>
        <w:rPr>
          <w:rFonts w:ascii="Arial" w:cs="Arial" w:eastAsia="Arial" w:hAnsi="Arial"/>
          <w:sz w:val="18"/>
          <w:szCs w:val="18"/>
          <w:color w:val="auto"/>
        </w:rPr>
        <w:t>IDFLOLW\</w:t>
      </w:r>
      <w:r>
        <w:rPr>
          <w:rFonts w:ascii="PMingLiU" w:cs="PMingLiU" w:eastAsia="PMingLiU" w:hAnsi="PMingLiU"/>
          <w:sz w:val="18"/>
          <w:szCs w:val="18"/>
          <w:color w:val="auto"/>
        </w:rPr>
        <w:t/>
      </w:r>
      <w:r>
        <w:rPr>
          <w:rFonts w:ascii="Arial" w:cs="Arial" w:eastAsia="Arial" w:hAnsi="Arial"/>
          <w:sz w:val="18"/>
          <w:szCs w:val="18"/>
          <w:color w:val="auto"/>
        </w:rPr>
        <w:t>DV</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PDLQODQG</w:t>
      </w:r>
      <w:r>
        <w:rPr>
          <w:rFonts w:ascii="PMingLiU" w:cs="PMingLiU" w:eastAsia="PMingLiU" w:hAnsi="PMingLiU"/>
          <w:sz w:val="18"/>
          <w:szCs w:val="18"/>
          <w:color w:val="auto"/>
        </w:rPr>
        <w:t/>
      </w:r>
      <w:r>
        <w:rPr>
          <w:rFonts w:ascii="Arial" w:cs="Arial" w:eastAsia="Arial" w:hAnsi="Arial"/>
          <w:sz w:val="18"/>
          <w:szCs w:val="18"/>
          <w:color w:val="auto"/>
        </w:rPr>
        <w:t>(XURSH</w:t>
      </w:r>
      <w:r>
        <w:rPr>
          <w:rFonts w:ascii="PMingLiU" w:cs="PMingLiU" w:eastAsia="PMingLiU" w:hAnsi="PMingLiU"/>
          <w:sz w:val="18"/>
          <w:szCs w:val="18"/>
          <w:color w:val="auto"/>
        </w:rPr>
        <w:t/>
      </w:r>
      <w:r>
        <w:rPr>
          <w:rFonts w:ascii="Arial" w:cs="Arial" w:eastAsia="Arial" w:hAnsi="Arial"/>
          <w:sz w:val="18"/>
          <w:szCs w:val="18"/>
          <w:color w:val="auto"/>
        </w:rPr>
        <w:t>IDFLQJ</w:t>
      </w:r>
      <w:r>
        <w:rPr>
          <w:rFonts w:ascii="PMingLiU" w:cs="PMingLiU" w:eastAsia="PMingLiU" w:hAnsi="PMingLiU"/>
          <w:sz w:val="18"/>
          <w:szCs w:val="18"/>
          <w:color w:val="auto"/>
        </w:rPr>
        <w:t/>
      </w:r>
      <w:r>
        <w:rPr>
          <w:rFonts w:ascii="Arial" w:cs="Arial" w:eastAsia="Arial" w:hAnsi="Arial"/>
          <w:sz w:val="18"/>
          <w:szCs w:val="18"/>
          <w:color w:val="auto"/>
        </w:rPr>
        <w:t>$ '</w:t>
      </w:r>
      <w:r>
        <w:rPr>
          <w:rFonts w:ascii="PMingLiU" w:cs="PMingLiU" w:eastAsia="PMingLiU" w:hAnsi="PMingLiU"/>
          <w:sz w:val="18"/>
          <w:szCs w:val="18"/>
          <w:color w:val="auto"/>
        </w:rPr>
        <w:t/>
      </w:r>
      <w:r>
        <w:rPr>
          <w:rFonts w:ascii="Arial" w:cs="Arial" w:eastAsia="Arial" w:hAnsi="Arial"/>
          <w:sz w:val="18"/>
          <w:szCs w:val="18"/>
          <w:color w:val="auto"/>
        </w:rPr>
        <w:t>IDFLOLW\</w:t>
      </w:r>
      <w:r>
        <w:rPr>
          <w:rFonts w:ascii="PMingLiU" w:cs="PMingLiU" w:eastAsia="PMingLiU" w:hAnsi="PMingLiU"/>
          <w:sz w:val="18"/>
          <w:szCs w:val="18"/>
          <w:color w:val="auto"/>
        </w:rPr>
        <w:t/>
      </w:r>
      <w:r>
        <w:rPr>
          <w:rFonts w:ascii="Arial" w:cs="Arial" w:eastAsia="Arial" w:hAnsi="Arial"/>
          <w:sz w:val="18"/>
          <w:szCs w:val="18"/>
          <w:color w:val="auto"/>
        </w:rPr>
        <w:t>DV</w:t>
      </w:r>
      <w:r>
        <w:rPr>
          <w:rFonts w:ascii="PMingLiU" w:cs="PMingLiU" w:eastAsia="PMingLiU" w:hAnsi="PMingLiU"/>
          <w:sz w:val="18"/>
          <w:szCs w:val="18"/>
          <w:color w:val="auto"/>
        </w:rPr>
        <w:t/>
      </w:r>
      <w:r>
        <w:rPr>
          <w:rFonts w:ascii="Arial" w:cs="Arial" w:eastAsia="Arial" w:hAnsi="Arial"/>
          <w:sz w:val="18"/>
          <w:szCs w:val="18"/>
          <w:color w:val="auto"/>
        </w:rPr>
        <w:t xml:space="preserve"> we move toward a world of localized supply chains. Bel prides itself through its history on being nimble to meet customer needs and we have done that by moving various production lines across countries as we jointly navigate the new realities of tariffs.</w:t>
      </w:r>
    </w:p>
    <w:p>
      <w:pPr>
        <w:sectPr>
          <w:pgSz w:w="12240" w:h="15840" w:orient="portrait"/>
          <w:cols w:equalWidth="0" w:num="1">
            <w:col w:w="9900"/>
          </w:cols>
          <w:pgMar w:left="1440" w:top="1440" w:right="900" w:bottom="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40"/>
        <w:spacing w:after="0"/>
        <w:rPr>
          <w:sz w:val="20"/>
          <w:szCs w:val="20"/>
          <w:color w:val="auto"/>
        </w:rPr>
      </w:pPr>
      <w:r>
        <w:rPr>
          <w:rFonts w:ascii="Arial" w:cs="Arial" w:eastAsia="Arial" w:hAnsi="Arial"/>
          <w:sz w:val="14"/>
          <w:szCs w:val="14"/>
          <w:color w:val="0086B7"/>
        </w:rPr>
        <w:t>3</w:t>
      </w:r>
    </w:p>
    <w:p>
      <w:pPr>
        <w:sectPr>
          <w:pgSz w:w="12240" w:h="15840" w:orient="portrait"/>
          <w:cols w:equalWidth="0" w:num="1">
            <w:col w:w="9900"/>
          </w:cols>
          <w:pgMar w:left="1440" w:top="1440" w:right="900" w:bottom="82"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b w:val="1"/>
          <w:bCs w:val="1"/>
          <w:color w:val="006691"/>
        </w:rPr>
        <w:t>A F O C U S O N G R O W T H</w:t>
      </w:r>
    </w:p>
    <w:p>
      <w:pPr>
        <w:spacing w:after="0" w:line="263" w:lineRule="exact"/>
        <w:rPr>
          <w:sz w:val="20"/>
          <w:szCs w:val="20"/>
          <w:color w:val="auto"/>
        </w:rPr>
      </w:pPr>
    </w:p>
    <w:p>
      <w:pPr>
        <w:ind w:right="1980"/>
        <w:spacing w:after="0" w:line="267" w:lineRule="exact"/>
        <w:rPr>
          <w:sz w:val="20"/>
          <w:szCs w:val="20"/>
          <w:color w:val="auto"/>
        </w:rPr>
      </w:pPr>
      <w:r>
        <w:rPr>
          <w:rFonts w:ascii="Arial" w:cs="Arial" w:eastAsia="Arial" w:hAnsi="Arial"/>
          <w:sz w:val="15"/>
          <w:szCs w:val="15"/>
          <w:color w:val="auto"/>
        </w:rPr>
        <w:t>/RRNLQJ</w:t>
      </w:r>
      <w:r>
        <w:rPr>
          <w:rFonts w:ascii="PMingLiU" w:cs="PMingLiU" w:eastAsia="PMingLiU" w:hAnsi="PMingLiU"/>
          <w:sz w:val="15"/>
          <w:szCs w:val="15"/>
          <w:color w:val="auto"/>
        </w:rPr>
        <w:t/>
      </w:r>
      <w:r>
        <w:rPr>
          <w:rFonts w:ascii="Arial" w:cs="Arial" w:eastAsia="Arial" w:hAnsi="Arial"/>
          <w:sz w:val="15"/>
          <w:szCs w:val="15"/>
          <w:color w:val="auto"/>
        </w:rPr>
        <w:t>DKHDG</w:t>
      </w:r>
      <w:r>
        <w:rPr>
          <w:rFonts w:ascii="PMingLiU" w:cs="PMingLiU" w:eastAsia="PMingLiU" w:hAnsi="PMingLiU"/>
          <w:sz w:val="15"/>
          <w:szCs w:val="15"/>
          <w:color w:val="auto"/>
        </w:rPr>
        <w:t/>
      </w:r>
      <w:r>
        <w:rPr>
          <w:rFonts w:ascii="Arial" w:cs="Arial" w:eastAsia="Arial" w:hAnsi="Arial"/>
          <w:sz w:val="15"/>
          <w:szCs w:val="15"/>
          <w:color w:val="auto"/>
        </w:rPr>
        <w:t>ZH</w:t>
      </w:r>
      <w:r>
        <w:rPr>
          <w:rFonts w:ascii="PMingLiU" w:cs="PMingLiU" w:eastAsia="PMingLiU" w:hAnsi="PMingLiU"/>
          <w:sz w:val="15"/>
          <w:szCs w:val="15"/>
          <w:color w:val="auto"/>
        </w:rPr>
        <w:t/>
      </w:r>
      <w:r>
        <w:rPr>
          <w:rFonts w:ascii="Arial" w:cs="Arial" w:eastAsia="Arial" w:hAnsi="Arial"/>
          <w:sz w:val="15"/>
          <w:szCs w:val="15"/>
          <w:color w:val="auto"/>
        </w:rPr>
        <w:t>FRQWLQXH</w:t>
      </w:r>
      <w:r>
        <w:rPr>
          <w:rFonts w:ascii="PMingLiU" w:cs="PMingLiU" w:eastAsia="PMingLiU" w:hAnsi="PMingLiU"/>
          <w:sz w:val="15"/>
          <w:szCs w:val="15"/>
          <w:color w:val="auto"/>
        </w:rPr>
        <w:t/>
      </w:r>
      <w:r>
        <w:rPr>
          <w:rFonts w:ascii="Arial" w:cs="Arial" w:eastAsia="Arial" w:hAnsi="Arial"/>
          <w:sz w:val="15"/>
          <w:szCs w:val="15"/>
          <w:color w:val="auto"/>
        </w:rPr>
        <w:t>WR</w:t>
      </w:r>
      <w:r>
        <w:rPr>
          <w:rFonts w:ascii="PMingLiU" w:cs="PMingLiU" w:eastAsia="PMingLiU" w:hAnsi="PMingLiU"/>
          <w:sz w:val="15"/>
          <w:szCs w:val="15"/>
          <w:color w:val="auto"/>
        </w:rPr>
        <w:t/>
      </w:r>
      <w:r>
        <w:rPr>
          <w:rFonts w:ascii="Arial" w:cs="Arial" w:eastAsia="Arial" w:hAnsi="Arial"/>
          <w:sz w:val="15"/>
          <w:szCs w:val="15"/>
          <w:color w:val="auto"/>
        </w:rPr>
        <w:t>VKDUSHQ</w:t>
      </w:r>
      <w:r>
        <w:rPr>
          <w:rFonts w:ascii="PMingLiU" w:cs="PMingLiU" w:eastAsia="PMingLiU" w:hAnsi="PMingLiU"/>
          <w:sz w:val="15"/>
          <w:szCs w:val="15"/>
          <w:color w:val="auto"/>
        </w:rPr>
        <w:t/>
      </w:r>
      <w:r>
        <w:rPr>
          <w:rFonts w:ascii="Arial" w:cs="Arial" w:eastAsia="Arial" w:hAnsi="Arial"/>
          <w:sz w:val="15"/>
          <w:szCs w:val="15"/>
          <w:color w:val="auto"/>
        </w:rPr>
        <w:t>RXU</w:t>
      </w:r>
      <w:r>
        <w:rPr>
          <w:rFonts w:ascii="PMingLiU" w:cs="PMingLiU" w:eastAsia="PMingLiU" w:hAnsi="PMingLiU"/>
          <w:sz w:val="15"/>
          <w:szCs w:val="15"/>
          <w:color w:val="auto"/>
        </w:rPr>
        <w:t/>
      </w:r>
      <w:r>
        <w:rPr>
          <w:rFonts w:ascii="Arial" w:cs="Arial" w:eastAsia="Arial" w:hAnsi="Arial"/>
          <w:sz w:val="15"/>
          <w:szCs w:val="15"/>
          <w:color w:val="auto"/>
        </w:rPr>
        <w:t>IRFXV</w:t>
      </w:r>
      <w:r>
        <w:rPr>
          <w:rFonts w:ascii="PMingLiU" w:cs="PMingLiU" w:eastAsia="PMingLiU" w:hAnsi="PMingLiU"/>
          <w:sz w:val="15"/>
          <w:szCs w:val="15"/>
          <w:color w:val="auto"/>
        </w:rPr>
        <w:t/>
      </w:r>
      <w:r>
        <w:rPr>
          <w:rFonts w:ascii="Arial" w:cs="Arial" w:eastAsia="Arial" w:hAnsi="Arial"/>
          <w:sz w:val="15"/>
          <w:szCs w:val="15"/>
          <w:color w:val="auto"/>
        </w:rPr>
        <w:t>RQ</w:t>
      </w:r>
      <w:r>
        <w:rPr>
          <w:rFonts w:ascii="PMingLiU" w:cs="PMingLiU" w:eastAsia="PMingLiU" w:hAnsi="PMingLiU"/>
          <w:sz w:val="15"/>
          <w:szCs w:val="15"/>
          <w:color w:val="auto"/>
        </w:rPr>
        <w:t/>
      </w:r>
      <w:r>
        <w:rPr>
          <w:rFonts w:ascii="Arial" w:cs="Arial" w:eastAsia="Arial" w:hAnsi="Arial"/>
          <w:sz w:val="15"/>
          <w:szCs w:val="15"/>
          <w:color w:val="auto"/>
        </w:rPr>
        <w:t>GULYLQJ</w:t>
      </w:r>
      <w:r>
        <w:rPr>
          <w:rFonts w:ascii="PMingLiU" w:cs="PMingLiU" w:eastAsia="PMingLiU" w:hAnsi="PMingLiU"/>
          <w:sz w:val="15"/>
          <w:szCs w:val="15"/>
          <w:color w:val="auto"/>
        </w:rPr>
        <w:t/>
      </w:r>
      <w:r>
        <w:rPr>
          <w:rFonts w:ascii="Arial" w:cs="Arial" w:eastAsia="Arial" w:hAnsi="Arial"/>
          <w:sz w:val="15"/>
          <w:szCs w:val="15"/>
          <w:color w:val="auto"/>
        </w:rPr>
        <w:t>JURZWK</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ERWK</w:t>
      </w:r>
      <w:r>
        <w:rPr>
          <w:rFonts w:ascii="PMingLiU" w:cs="PMingLiU" w:eastAsia="PMingLiU" w:hAnsi="PMingLiU"/>
          <w:sz w:val="15"/>
          <w:szCs w:val="15"/>
          <w:color w:val="auto"/>
        </w:rPr>
        <w:t/>
      </w:r>
      <w:r>
        <w:rPr>
          <w:rFonts w:ascii="Arial" w:cs="Arial" w:eastAsia="Arial" w:hAnsi="Arial"/>
          <w:sz w:val="15"/>
          <w:szCs w:val="15"/>
          <w:color w:val="auto"/>
        </w:rPr>
        <w:t xml:space="preserve"> RUJDQLFDOO\</w:t>
      </w:r>
      <w:r>
        <w:rPr>
          <w:rFonts w:ascii="PMingLiU" w:cs="PMingLiU" w:eastAsia="PMingLiU" w:hAnsi="PMingLiU"/>
          <w:sz w:val="15"/>
          <w:szCs w:val="15"/>
          <w:color w:val="auto"/>
        </w:rPr>
        <w:t/>
      </w:r>
      <w:r>
        <w:rPr>
          <w:rFonts w:ascii="Arial" w:cs="Arial" w:eastAsia="Arial" w:hAnsi="Arial"/>
          <w:sz w:val="15"/>
          <w:szCs w:val="15"/>
          <w:color w:val="auto"/>
        </w:rPr>
        <w:t>WKURXJK</w:t>
      </w:r>
      <w:r>
        <w:rPr>
          <w:rFonts w:ascii="PMingLiU" w:cs="PMingLiU" w:eastAsia="PMingLiU" w:hAnsi="PMingLiU"/>
          <w:sz w:val="15"/>
          <w:szCs w:val="15"/>
          <w:color w:val="auto"/>
        </w:rPr>
        <w:t/>
      </w:r>
      <w:r>
        <w:rPr>
          <w:rFonts w:ascii="Arial" w:cs="Arial" w:eastAsia="Arial" w:hAnsi="Arial"/>
          <w:sz w:val="15"/>
          <w:szCs w:val="15"/>
          <w:color w:val="auto"/>
        </w:rPr>
        <w:t>HQJLQHHULQJ</w:t>
      </w:r>
      <w:r>
        <w:rPr>
          <w:rFonts w:ascii="PMingLiU" w:cs="PMingLiU" w:eastAsia="PMingLiU" w:hAnsi="PMingLiU"/>
          <w:sz w:val="15"/>
          <w:szCs w:val="15"/>
          <w:color w:val="auto"/>
        </w:rPr>
        <w:t/>
      </w:r>
      <w:r>
        <w:rPr>
          <w:rFonts w:ascii="Arial" w:cs="Arial" w:eastAsia="Arial" w:hAnsi="Arial"/>
          <w:sz w:val="15"/>
          <w:szCs w:val="15"/>
          <w:color w:val="auto"/>
        </w:rPr>
        <w:t>LQQRYDWLRQ</w:t>
      </w:r>
      <w:r>
        <w:rPr>
          <w:rFonts w:ascii="PMingLiU" w:cs="PMingLiU" w:eastAsia="PMingLiU" w:hAnsi="PMingLiU"/>
          <w:sz w:val="15"/>
          <w:szCs w:val="15"/>
          <w:color w:val="auto"/>
        </w:rPr>
        <w:t/>
      </w:r>
      <w:r>
        <w:rPr>
          <w:rFonts w:ascii="Arial" w:cs="Arial" w:eastAsia="Arial" w:hAnsi="Arial"/>
          <w:sz w:val="15"/>
          <w:szCs w:val="15"/>
          <w:color w:val="auto"/>
        </w:rPr>
        <w:t>DQG</w:t>
      </w:r>
      <w:r>
        <w:rPr>
          <w:rFonts w:ascii="PMingLiU" w:cs="PMingLiU" w:eastAsia="PMingLiU" w:hAnsi="PMingLiU"/>
          <w:sz w:val="15"/>
          <w:szCs w:val="15"/>
          <w:color w:val="auto"/>
        </w:rPr>
        <w:t/>
      </w:r>
      <w:r>
        <w:rPr>
          <w:rFonts w:ascii="Arial" w:cs="Arial" w:eastAsia="Arial" w:hAnsi="Arial"/>
          <w:sz w:val="15"/>
          <w:szCs w:val="15"/>
          <w:color w:val="auto"/>
        </w:rPr>
        <w:t>GLVFLSOLQHG</w:t>
      </w:r>
      <w:r>
        <w:rPr>
          <w:rFonts w:ascii="PMingLiU" w:cs="PMingLiU" w:eastAsia="PMingLiU" w:hAnsi="PMingLiU"/>
          <w:sz w:val="15"/>
          <w:szCs w:val="15"/>
          <w:color w:val="auto"/>
        </w:rPr>
        <w:t/>
      </w:r>
      <w:r>
        <w:rPr>
          <w:rFonts w:ascii="Arial" w:cs="Arial" w:eastAsia="Arial" w:hAnsi="Arial"/>
          <w:sz w:val="15"/>
          <w:szCs w:val="15"/>
          <w:color w:val="auto"/>
        </w:rPr>
        <w:t>FRPPHUFLDO</w:t>
      </w:r>
      <w:r>
        <w:rPr>
          <w:rFonts w:ascii="PMingLiU" w:cs="PMingLiU" w:eastAsia="PMingLiU" w:hAnsi="PMingLiU"/>
          <w:sz w:val="15"/>
          <w:szCs w:val="15"/>
          <w:color w:val="auto"/>
        </w:rPr>
        <w:t/>
      </w:r>
      <w:r>
        <w:rPr>
          <w:rFonts w:ascii="Arial" w:cs="Arial" w:eastAsia="Arial" w:hAnsi="Arial"/>
          <w:sz w:val="15"/>
          <w:szCs w:val="15"/>
          <w:color w:val="auto"/>
        </w:rPr>
        <w:t>H[HFXWLRQ</w:t>
      </w:r>
      <w:r>
        <w:rPr>
          <w:rFonts w:ascii="PMingLiU" w:cs="PMingLiU" w:eastAsia="PMingLiU" w:hAnsi="PMingLiU"/>
          <w:sz w:val="15"/>
          <w:szCs w:val="15"/>
          <w:color w:val="auto"/>
        </w:rPr>
        <w:t/>
      </w:r>
      <w:r>
        <w:rPr>
          <w:rFonts w:ascii="Arial" w:cs="Arial" w:eastAsia="Arial" w:hAnsi="Arial"/>
          <w:sz w:val="15"/>
          <w:szCs w:val="15"/>
          <w:color w:val="auto"/>
        </w:rPr>
        <w:t xml:space="preserve"> DQG</w:t>
      </w:r>
      <w:r>
        <w:rPr>
          <w:rFonts w:ascii="PMingLiU" w:cs="PMingLiU" w:eastAsia="PMingLiU" w:hAnsi="PMingLiU"/>
          <w:sz w:val="15"/>
          <w:szCs w:val="15"/>
          <w:color w:val="auto"/>
        </w:rPr>
        <w:t/>
      </w:r>
      <w:r>
        <w:rPr>
          <w:rFonts w:ascii="Arial" w:cs="Arial" w:eastAsia="Arial" w:hAnsi="Arial"/>
          <w:sz w:val="15"/>
          <w:szCs w:val="15"/>
          <w:color w:val="auto"/>
        </w:rPr>
        <w:t>LQRUJDQLFDOO\</w:t>
      </w:r>
      <w:r>
        <w:rPr>
          <w:rFonts w:ascii="PMingLiU" w:cs="PMingLiU" w:eastAsia="PMingLiU" w:hAnsi="PMingLiU"/>
          <w:sz w:val="15"/>
          <w:szCs w:val="15"/>
          <w:color w:val="auto"/>
        </w:rPr>
        <w:t/>
      </w:r>
      <w:r>
        <w:rPr>
          <w:rFonts w:ascii="Arial" w:cs="Arial" w:eastAsia="Arial" w:hAnsi="Arial"/>
          <w:sz w:val="15"/>
          <w:szCs w:val="15"/>
          <w:color w:val="auto"/>
        </w:rPr>
        <w:t>WKURXJK</w:t>
      </w:r>
      <w:r>
        <w:rPr>
          <w:rFonts w:ascii="PMingLiU" w:cs="PMingLiU" w:eastAsia="PMingLiU" w:hAnsi="PMingLiU"/>
          <w:sz w:val="15"/>
          <w:szCs w:val="15"/>
          <w:color w:val="auto"/>
        </w:rPr>
        <w:t/>
      </w:r>
      <w:r>
        <w:rPr>
          <w:rFonts w:ascii="Arial" w:cs="Arial" w:eastAsia="Arial" w:hAnsi="Arial"/>
          <w:sz w:val="15"/>
          <w:szCs w:val="15"/>
          <w:color w:val="auto"/>
        </w:rPr>
        <w:t>VWUDWHJLF</w:t>
      </w:r>
      <w:r>
        <w:rPr>
          <w:rFonts w:ascii="PMingLiU" w:cs="PMingLiU" w:eastAsia="PMingLiU" w:hAnsi="PMingLiU"/>
          <w:sz w:val="15"/>
          <w:szCs w:val="15"/>
          <w:color w:val="auto"/>
        </w:rPr>
        <w:t/>
      </w:r>
      <w:r>
        <w:rPr>
          <w:rFonts w:ascii="Arial" w:cs="Arial" w:eastAsia="Arial" w:hAnsi="Arial"/>
          <w:sz w:val="15"/>
          <w:szCs w:val="15"/>
          <w:color w:val="auto"/>
        </w:rPr>
        <w:t>0 $</w:t>
      </w:r>
      <w:r>
        <w:rPr>
          <w:rFonts w:ascii="PMingLiU" w:cs="PMingLiU" w:eastAsia="PMingLiU" w:hAnsi="PMingLiU"/>
          <w:sz w:val="15"/>
          <w:szCs w:val="15"/>
          <w:color w:val="auto"/>
        </w:rPr>
        <w:t/>
      </w:r>
      <w:r>
        <w:rPr>
          <w:rFonts w:ascii="Arial" w:cs="Arial" w:eastAsia="Arial" w:hAnsi="Arial"/>
          <w:sz w:val="15"/>
          <w:szCs w:val="15"/>
          <w:color w:val="auto"/>
        </w:rPr>
        <w:t>2XU</w:t>
      </w:r>
      <w:r>
        <w:rPr>
          <w:rFonts w:ascii="PMingLiU" w:cs="PMingLiU" w:eastAsia="PMingLiU" w:hAnsi="PMingLiU"/>
          <w:sz w:val="15"/>
          <w:szCs w:val="15"/>
          <w:color w:val="auto"/>
        </w:rPr>
        <w:t/>
      </w:r>
      <w:r>
        <w:rPr>
          <w:rFonts w:ascii="Arial" w:cs="Arial" w:eastAsia="Arial" w:hAnsi="Arial"/>
          <w:sz w:val="15"/>
          <w:szCs w:val="15"/>
          <w:color w:val="auto"/>
        </w:rPr>
        <w:t>UREXVW</w:t>
      </w:r>
      <w:r>
        <w:rPr>
          <w:rFonts w:ascii="PMingLiU" w:cs="PMingLiU" w:eastAsia="PMingLiU" w:hAnsi="PMingLiU"/>
          <w:sz w:val="15"/>
          <w:szCs w:val="15"/>
          <w:color w:val="auto"/>
        </w:rPr>
        <w:t/>
      </w:r>
      <w:r>
        <w:rPr>
          <w:rFonts w:ascii="Arial" w:cs="Arial" w:eastAsia="Arial" w:hAnsi="Arial"/>
          <w:sz w:val="15"/>
          <w:szCs w:val="15"/>
          <w:color w:val="auto"/>
        </w:rPr>
        <w:t>EDODQFH</w:t>
      </w:r>
      <w:r>
        <w:rPr>
          <w:rFonts w:ascii="PMingLiU" w:cs="PMingLiU" w:eastAsia="PMingLiU" w:hAnsi="PMingLiU"/>
          <w:sz w:val="15"/>
          <w:szCs w:val="15"/>
          <w:color w:val="auto"/>
        </w:rPr>
        <w:t/>
      </w:r>
      <w:r>
        <w:rPr>
          <w:rFonts w:ascii="Arial" w:cs="Arial" w:eastAsia="Arial" w:hAnsi="Arial"/>
          <w:sz w:val="15"/>
          <w:szCs w:val="15"/>
          <w:color w:val="auto"/>
        </w:rPr>
        <w:t>VKHHW</w:t>
      </w:r>
      <w:r>
        <w:rPr>
          <w:rFonts w:ascii="PMingLiU" w:cs="PMingLiU" w:eastAsia="PMingLiU" w:hAnsi="PMingLiU"/>
          <w:sz w:val="15"/>
          <w:szCs w:val="15"/>
          <w:color w:val="auto"/>
        </w:rPr>
        <w:t/>
      </w:r>
      <w:r>
        <w:rPr>
          <w:rFonts w:ascii="Arial" w:cs="Arial" w:eastAsia="Arial" w:hAnsi="Arial"/>
          <w:sz w:val="15"/>
          <w:szCs w:val="15"/>
          <w:color w:val="auto"/>
        </w:rPr>
        <w:t>DQG</w:t>
      </w:r>
      <w:r>
        <w:rPr>
          <w:rFonts w:ascii="PMingLiU" w:cs="PMingLiU" w:eastAsia="PMingLiU" w:hAnsi="PMingLiU"/>
          <w:sz w:val="15"/>
          <w:szCs w:val="15"/>
          <w:color w:val="auto"/>
        </w:rPr>
        <w:t/>
      </w:r>
      <w:r>
        <w:rPr>
          <w:rFonts w:ascii="Arial" w:cs="Arial" w:eastAsia="Arial" w:hAnsi="Arial"/>
          <w:sz w:val="15"/>
          <w:szCs w:val="15"/>
          <w:color w:val="auto"/>
        </w:rPr>
        <w:t>VWURQJ</w:t>
      </w:r>
      <w:r>
        <w:rPr>
          <w:rFonts w:ascii="PMingLiU" w:cs="PMingLiU" w:eastAsia="PMingLiU" w:hAnsi="PMingLiU"/>
          <w:sz w:val="15"/>
          <w:szCs w:val="15"/>
          <w:color w:val="auto"/>
        </w:rPr>
        <w:t/>
      </w:r>
      <w:r>
        <w:rPr>
          <w:rFonts w:ascii="Arial" w:cs="Arial" w:eastAsia="Arial" w:hAnsi="Arial"/>
          <w:sz w:val="15"/>
          <w:szCs w:val="15"/>
          <w:color w:val="auto"/>
        </w:rPr>
        <w:t>IUHH</w:t>
      </w:r>
      <w:r>
        <w:rPr>
          <w:rFonts w:ascii="PMingLiU" w:cs="PMingLiU" w:eastAsia="PMingLiU" w:hAnsi="PMingLiU"/>
          <w:sz w:val="15"/>
          <w:szCs w:val="15"/>
          <w:color w:val="auto"/>
        </w:rPr>
        <w:t/>
      </w:r>
      <w:r>
        <w:rPr>
          <w:rFonts w:ascii="Arial" w:cs="Arial" w:eastAsia="Arial" w:hAnsi="Arial"/>
          <w:sz w:val="15"/>
          <w:szCs w:val="15"/>
          <w:color w:val="auto"/>
        </w:rPr>
        <w:t xml:space="preserve"> FDVK</w:t>
      </w:r>
      <w:r>
        <w:rPr>
          <w:rFonts w:ascii="PMingLiU" w:cs="PMingLiU" w:eastAsia="PMingLiU" w:hAnsi="PMingLiU"/>
          <w:sz w:val="15"/>
          <w:szCs w:val="15"/>
          <w:color w:val="auto"/>
        </w:rPr>
        <w:t/>
      </w:r>
      <w:r>
        <w:rPr>
          <w:rFonts w:ascii="Arial" w:cs="Arial" w:eastAsia="Arial" w:hAnsi="Arial"/>
          <w:sz w:val="15"/>
          <w:szCs w:val="15"/>
          <w:color w:val="auto"/>
        </w:rPr>
        <w:t>µRZ</w:t>
      </w:r>
      <w:r>
        <w:rPr>
          <w:rFonts w:ascii="PMingLiU" w:cs="PMingLiU" w:eastAsia="PMingLiU" w:hAnsi="PMingLiU"/>
          <w:sz w:val="15"/>
          <w:szCs w:val="15"/>
          <w:color w:val="auto"/>
        </w:rPr>
        <w:t/>
      </w:r>
      <w:r>
        <w:rPr>
          <w:rFonts w:ascii="Arial" w:cs="Arial" w:eastAsia="Arial" w:hAnsi="Arial"/>
          <w:sz w:val="15"/>
          <w:szCs w:val="15"/>
          <w:color w:val="auto"/>
        </w:rPr>
        <w:t>SRVLWLRQ</w:t>
      </w:r>
      <w:r>
        <w:rPr>
          <w:rFonts w:ascii="PMingLiU" w:cs="PMingLiU" w:eastAsia="PMingLiU" w:hAnsi="PMingLiU"/>
          <w:sz w:val="15"/>
          <w:szCs w:val="15"/>
          <w:color w:val="auto"/>
        </w:rPr>
        <w:t/>
      </w:r>
      <w:r>
        <w:rPr>
          <w:rFonts w:ascii="Arial" w:cs="Arial" w:eastAsia="Arial" w:hAnsi="Arial"/>
          <w:sz w:val="15"/>
          <w:szCs w:val="15"/>
          <w:color w:val="auto"/>
        </w:rPr>
        <w:t>XV</w:t>
      </w:r>
      <w:r>
        <w:rPr>
          <w:rFonts w:ascii="PMingLiU" w:cs="PMingLiU" w:eastAsia="PMingLiU" w:hAnsi="PMingLiU"/>
          <w:sz w:val="15"/>
          <w:szCs w:val="15"/>
          <w:color w:val="auto"/>
        </w:rPr>
        <w:t/>
      </w:r>
      <w:r>
        <w:rPr>
          <w:rFonts w:ascii="Arial" w:cs="Arial" w:eastAsia="Arial" w:hAnsi="Arial"/>
          <w:sz w:val="15"/>
          <w:szCs w:val="15"/>
          <w:color w:val="auto"/>
        </w:rPr>
        <w:t>WR</w:t>
      </w:r>
      <w:r>
        <w:rPr>
          <w:rFonts w:ascii="PMingLiU" w:cs="PMingLiU" w:eastAsia="PMingLiU" w:hAnsi="PMingLiU"/>
          <w:sz w:val="15"/>
          <w:szCs w:val="15"/>
          <w:color w:val="auto"/>
        </w:rPr>
        <w:t/>
      </w:r>
      <w:r>
        <w:rPr>
          <w:rFonts w:ascii="Arial" w:cs="Arial" w:eastAsia="Arial" w:hAnsi="Arial"/>
          <w:sz w:val="15"/>
          <w:szCs w:val="15"/>
          <w:color w:val="auto"/>
        </w:rPr>
        <w:t>SXUVXH</w:t>
      </w:r>
      <w:r>
        <w:rPr>
          <w:rFonts w:ascii="PMingLiU" w:cs="PMingLiU" w:eastAsia="PMingLiU" w:hAnsi="PMingLiU"/>
          <w:sz w:val="15"/>
          <w:szCs w:val="15"/>
          <w:color w:val="auto"/>
        </w:rPr>
        <w:t/>
      </w:r>
      <w:r>
        <w:rPr>
          <w:rFonts w:ascii="Arial" w:cs="Arial" w:eastAsia="Arial" w:hAnsi="Arial"/>
          <w:sz w:val="15"/>
          <w:szCs w:val="15"/>
          <w:color w:val="auto"/>
        </w:rPr>
        <w:t>RSSRUWXQLWLHV</w:t>
      </w:r>
      <w:r>
        <w:rPr>
          <w:rFonts w:ascii="PMingLiU" w:cs="PMingLiU" w:eastAsia="PMingLiU" w:hAnsi="PMingLiU"/>
          <w:sz w:val="15"/>
          <w:szCs w:val="15"/>
          <w:color w:val="auto"/>
        </w:rPr>
        <w:t/>
      </w:r>
      <w:r>
        <w:rPr>
          <w:rFonts w:ascii="Arial" w:cs="Arial" w:eastAsia="Arial" w:hAnsi="Arial"/>
          <w:sz w:val="15"/>
          <w:szCs w:val="15"/>
          <w:color w:val="auto"/>
        </w:rPr>
        <w:t>WKDW</w:t>
      </w:r>
      <w:r>
        <w:rPr>
          <w:rFonts w:ascii="PMingLiU" w:cs="PMingLiU" w:eastAsia="PMingLiU" w:hAnsi="PMingLiU"/>
          <w:sz w:val="15"/>
          <w:szCs w:val="15"/>
          <w:color w:val="auto"/>
        </w:rPr>
        <w:t/>
      </w:r>
      <w:r>
        <w:rPr>
          <w:rFonts w:ascii="Arial" w:cs="Arial" w:eastAsia="Arial" w:hAnsi="Arial"/>
          <w:sz w:val="15"/>
          <w:szCs w:val="15"/>
          <w:color w:val="auto"/>
        </w:rPr>
        <w:t>DOLJQ</w:t>
      </w:r>
      <w:r>
        <w:rPr>
          <w:rFonts w:ascii="PMingLiU" w:cs="PMingLiU" w:eastAsia="PMingLiU" w:hAnsi="PMingLiU"/>
          <w:sz w:val="15"/>
          <w:szCs w:val="15"/>
          <w:color w:val="auto"/>
        </w:rPr>
        <w:t/>
      </w:r>
      <w:r>
        <w:rPr>
          <w:rFonts w:ascii="Arial" w:cs="Arial" w:eastAsia="Arial" w:hAnsi="Arial"/>
          <w:sz w:val="15"/>
          <w:szCs w:val="15"/>
          <w:color w:val="auto"/>
        </w:rPr>
        <w:t>ZLWK</w:t>
      </w:r>
      <w:r>
        <w:rPr>
          <w:rFonts w:ascii="PMingLiU" w:cs="PMingLiU" w:eastAsia="PMingLiU" w:hAnsi="PMingLiU"/>
          <w:sz w:val="15"/>
          <w:szCs w:val="15"/>
          <w:color w:val="auto"/>
        </w:rPr>
        <w:t/>
      </w:r>
      <w:r>
        <w:rPr>
          <w:rFonts w:ascii="Arial" w:cs="Arial" w:eastAsia="Arial" w:hAnsi="Arial"/>
          <w:sz w:val="15"/>
          <w:szCs w:val="15"/>
          <w:color w:val="auto"/>
        </w:rPr>
        <w:t>RXU</w:t>
      </w:r>
      <w:r>
        <w:rPr>
          <w:rFonts w:ascii="PMingLiU" w:cs="PMingLiU" w:eastAsia="PMingLiU" w:hAnsi="PMingLiU"/>
          <w:sz w:val="15"/>
          <w:szCs w:val="15"/>
          <w:color w:val="auto"/>
        </w:rPr>
        <w:t/>
      </w:r>
      <w:r>
        <w:rPr>
          <w:rFonts w:ascii="Arial" w:cs="Arial" w:eastAsia="Arial" w:hAnsi="Arial"/>
          <w:sz w:val="15"/>
          <w:szCs w:val="15"/>
          <w:color w:val="auto"/>
        </w:rPr>
        <w:t>FRUH</w:t>
      </w:r>
      <w:r>
        <w:rPr>
          <w:rFonts w:ascii="PMingLiU" w:cs="PMingLiU" w:eastAsia="PMingLiU" w:hAnsi="PMingLiU"/>
          <w:sz w:val="15"/>
          <w:szCs w:val="15"/>
          <w:color w:val="auto"/>
        </w:rPr>
        <w:t/>
      </w:r>
      <w:r>
        <w:rPr>
          <w:rFonts w:ascii="Arial" w:cs="Arial" w:eastAsia="Arial" w:hAnsi="Arial"/>
          <w:sz w:val="15"/>
          <w:szCs w:val="15"/>
          <w:color w:val="auto"/>
        </w:rPr>
        <w:t>FRPSHWHQFLHV</w:t>
      </w:r>
      <w:r>
        <w:rPr>
          <w:rFonts w:ascii="PMingLiU" w:cs="PMingLiU" w:eastAsia="PMingLiU" w:hAnsi="PMingLiU"/>
          <w:sz w:val="15"/>
          <w:szCs w:val="15"/>
          <w:color w:val="auto"/>
        </w:rPr>
        <w:t/>
      </w:r>
      <w:r>
        <w:rPr>
          <w:rFonts w:ascii="Arial" w:cs="Arial" w:eastAsia="Arial" w:hAnsi="Arial"/>
          <w:sz w:val="15"/>
          <w:szCs w:val="15"/>
          <w:color w:val="auto"/>
        </w:rPr>
        <w:t xml:space="preserve"> DQG</w:t>
      </w:r>
      <w:r>
        <w:rPr>
          <w:rFonts w:ascii="PMingLiU" w:cs="PMingLiU" w:eastAsia="PMingLiU" w:hAnsi="PMingLiU"/>
          <w:sz w:val="15"/>
          <w:szCs w:val="15"/>
          <w:color w:val="auto"/>
        </w:rPr>
        <w:t/>
      </w:r>
      <w:r>
        <w:rPr>
          <w:rFonts w:ascii="Arial" w:cs="Arial" w:eastAsia="Arial" w:hAnsi="Arial"/>
          <w:sz w:val="15"/>
          <w:szCs w:val="15"/>
          <w:color w:val="auto"/>
        </w:rPr>
        <w:t>ORQJ</w:t>
      </w:r>
      <w:r>
        <w:rPr>
          <w:rFonts w:ascii="PMingLiU" w:cs="PMingLiU" w:eastAsia="PMingLiU" w:hAnsi="PMingLiU"/>
          <w:sz w:val="15"/>
          <w:szCs w:val="15"/>
          <w:color w:val="auto"/>
        </w:rPr>
        <w:t/>
      </w:r>
      <w:r>
        <w:rPr>
          <w:rFonts w:ascii="Arial" w:cs="Arial" w:eastAsia="Arial" w:hAnsi="Arial"/>
          <w:sz w:val="15"/>
          <w:szCs w:val="15"/>
          <w:color w:val="auto"/>
        </w:rPr>
        <w:t>WHUP</w:t>
      </w:r>
      <w:r>
        <w:rPr>
          <w:rFonts w:ascii="PMingLiU" w:cs="PMingLiU" w:eastAsia="PMingLiU" w:hAnsi="PMingLiU"/>
          <w:sz w:val="15"/>
          <w:szCs w:val="15"/>
          <w:color w:val="auto"/>
        </w:rPr>
        <w:t/>
      </w:r>
      <w:r>
        <w:rPr>
          <w:rFonts w:ascii="Arial" w:cs="Arial" w:eastAsia="Arial" w:hAnsi="Arial"/>
          <w:sz w:val="15"/>
          <w:szCs w:val="15"/>
          <w:color w:val="auto"/>
        </w:rPr>
        <w:t>YLVLRQ</w:t>
      </w:r>
      <w:r>
        <w:rPr>
          <w:rFonts w:ascii="PMingLiU" w:cs="PMingLiU" w:eastAsia="PMingLiU" w:hAnsi="PMingLiU"/>
          <w:sz w:val="15"/>
          <w:szCs w:val="15"/>
          <w:color w:val="auto"/>
        </w:rPr>
        <w:t/>
      </w:r>
      <w:r>
        <w:rPr>
          <w:rFonts w:ascii="Arial" w:cs="Arial" w:eastAsia="Arial" w:hAnsi="Arial"/>
          <w:sz w:val="15"/>
          <w:szCs w:val="15"/>
          <w:color w:val="auto"/>
        </w:rPr>
        <w:t>WR</w:t>
      </w:r>
      <w:r>
        <w:rPr>
          <w:rFonts w:ascii="PMingLiU" w:cs="PMingLiU" w:eastAsia="PMingLiU" w:hAnsi="PMingLiU"/>
          <w:sz w:val="15"/>
          <w:szCs w:val="15"/>
          <w:color w:val="auto"/>
        </w:rPr>
        <w:t/>
      </w:r>
      <w:r>
        <w:rPr>
          <w:rFonts w:ascii="Arial" w:cs="Arial" w:eastAsia="Arial" w:hAnsi="Arial"/>
          <w:sz w:val="15"/>
          <w:szCs w:val="15"/>
          <w:color w:val="auto"/>
        </w:rPr>
        <w:t>EH</w:t>
      </w:r>
      <w:r>
        <w:rPr>
          <w:rFonts w:ascii="PMingLiU" w:cs="PMingLiU" w:eastAsia="PMingLiU" w:hAnsi="PMingLiU"/>
          <w:sz w:val="15"/>
          <w:szCs w:val="15"/>
          <w:color w:val="auto"/>
        </w:rPr>
        <w:t/>
      </w:r>
      <w:r>
        <w:rPr>
          <w:rFonts w:ascii="Arial" w:cs="Arial" w:eastAsia="Arial" w:hAnsi="Arial"/>
          <w:sz w:val="15"/>
          <w:szCs w:val="15"/>
          <w:color w:val="auto"/>
        </w:rPr>
        <w:t>D</w:t>
      </w:r>
      <w:r>
        <w:rPr>
          <w:rFonts w:ascii="PMingLiU" w:cs="PMingLiU" w:eastAsia="PMingLiU" w:hAnsi="PMingLiU"/>
          <w:sz w:val="15"/>
          <w:szCs w:val="15"/>
          <w:color w:val="auto"/>
        </w:rPr>
        <w:t/>
      </w:r>
      <w:r>
        <w:rPr>
          <w:rFonts w:ascii="Arial" w:cs="Arial" w:eastAsia="Arial" w:hAnsi="Arial"/>
          <w:sz w:val="15"/>
          <w:szCs w:val="15"/>
          <w:color w:val="auto"/>
        </w:rPr>
        <w:t>NH\</w:t>
      </w:r>
      <w:r>
        <w:rPr>
          <w:rFonts w:ascii="PMingLiU" w:cs="PMingLiU" w:eastAsia="PMingLiU" w:hAnsi="PMingLiU"/>
          <w:sz w:val="15"/>
          <w:szCs w:val="15"/>
          <w:color w:val="auto"/>
        </w:rPr>
        <w:t/>
      </w:r>
      <w:r>
        <w:rPr>
          <w:rFonts w:ascii="Arial" w:cs="Arial" w:eastAsia="Arial" w:hAnsi="Arial"/>
          <w:sz w:val="15"/>
          <w:szCs w:val="15"/>
          <w:color w:val="auto"/>
        </w:rPr>
        <w:t>WHFKQRORJ\</w:t>
      </w:r>
      <w:r>
        <w:rPr>
          <w:rFonts w:ascii="PMingLiU" w:cs="PMingLiU" w:eastAsia="PMingLiU" w:hAnsi="PMingLiU"/>
          <w:sz w:val="15"/>
          <w:szCs w:val="15"/>
          <w:color w:val="auto"/>
        </w:rPr>
        <w:t/>
      </w:r>
      <w:r>
        <w:rPr>
          <w:rFonts w:ascii="Arial" w:cs="Arial" w:eastAsia="Arial" w:hAnsi="Arial"/>
          <w:sz w:val="15"/>
          <w:szCs w:val="15"/>
          <w:color w:val="auto"/>
        </w:rPr>
        <w:t>SDUWQHU</w:t>
      </w:r>
      <w:r>
        <w:rPr>
          <w:rFonts w:ascii="PMingLiU" w:cs="PMingLiU" w:eastAsia="PMingLiU" w:hAnsi="PMingLiU"/>
          <w:sz w:val="15"/>
          <w:szCs w:val="15"/>
          <w:color w:val="auto"/>
        </w:rPr>
        <w:t/>
      </w:r>
      <w:r>
        <w:rPr>
          <w:rFonts w:ascii="Arial" w:cs="Arial" w:eastAsia="Arial" w:hAnsi="Arial"/>
          <w:sz w:val="15"/>
          <w:szCs w:val="15"/>
          <w:color w:val="auto"/>
        </w:rPr>
        <w:t>WR</w:t>
      </w:r>
      <w:r>
        <w:rPr>
          <w:rFonts w:ascii="PMingLiU" w:cs="PMingLiU" w:eastAsia="PMingLiU" w:hAnsi="PMingLiU"/>
          <w:sz w:val="15"/>
          <w:szCs w:val="15"/>
          <w:color w:val="auto"/>
        </w:rPr>
        <w:t/>
      </w:r>
      <w:r>
        <w:rPr>
          <w:rFonts w:ascii="Arial" w:cs="Arial" w:eastAsia="Arial" w:hAnsi="Arial"/>
          <w:sz w:val="15"/>
          <w:szCs w:val="15"/>
          <w:color w:val="auto"/>
        </w:rPr>
        <w:t>RXU</w:t>
      </w:r>
      <w:r>
        <w:rPr>
          <w:rFonts w:ascii="PMingLiU" w:cs="PMingLiU" w:eastAsia="PMingLiU" w:hAnsi="PMingLiU"/>
          <w:sz w:val="15"/>
          <w:szCs w:val="15"/>
          <w:color w:val="auto"/>
        </w:rPr>
        <w:t/>
      </w:r>
      <w:r>
        <w:rPr>
          <w:rFonts w:ascii="Arial" w:cs="Arial" w:eastAsia="Arial" w:hAnsi="Arial"/>
          <w:sz w:val="15"/>
          <w:szCs w:val="15"/>
          <w:color w:val="auto"/>
        </w:rPr>
        <w:t>FXVWRPHUV</w:t>
      </w:r>
      <w:r>
        <w:rPr>
          <w:rFonts w:ascii="PMingLiU" w:cs="PMingLiU" w:eastAsia="PMingLiU" w:hAnsi="PMingLiU"/>
          <w:sz w:val="15"/>
          <w:szCs w:val="15"/>
          <w:color w:val="auto"/>
        </w:rPr>
        <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b w:val="1"/>
          <w:bCs w:val="1"/>
          <w:color w:val="006691"/>
        </w:rPr>
        <w:t>2 0 2 6 O U T L O O K</w:t>
      </w:r>
    </w:p>
    <w:p>
      <w:pPr>
        <w:spacing w:after="0" w:line="263" w:lineRule="exact"/>
        <w:rPr>
          <w:sz w:val="20"/>
          <w:szCs w:val="20"/>
          <w:color w:val="auto"/>
        </w:rPr>
      </w:pPr>
    </w:p>
    <w:p>
      <w:pPr>
        <w:ind w:right="1920"/>
        <w:spacing w:after="0" w:line="270" w:lineRule="exact"/>
        <w:rPr>
          <w:sz w:val="20"/>
          <w:szCs w:val="20"/>
          <w:color w:val="auto"/>
        </w:rPr>
      </w:pP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UHPDLQ</w:t>
      </w:r>
      <w:r>
        <w:rPr>
          <w:rFonts w:ascii="PMingLiU" w:cs="PMingLiU" w:eastAsia="PMingLiU" w:hAnsi="PMingLiU"/>
          <w:sz w:val="16"/>
          <w:szCs w:val="16"/>
          <w:color w:val="auto"/>
        </w:rPr>
        <w:t/>
      </w:r>
      <w:r>
        <w:rPr>
          <w:rFonts w:ascii="Arial" w:cs="Arial" w:eastAsia="Arial" w:hAnsi="Arial"/>
          <w:sz w:val="16"/>
          <w:szCs w:val="16"/>
          <w:color w:val="auto"/>
        </w:rPr>
        <w:t>RSWLPLVWLF</w:t>
      </w:r>
      <w:r>
        <w:rPr>
          <w:rFonts w:ascii="PMingLiU" w:cs="PMingLiU" w:eastAsia="PMingLiU" w:hAnsi="PMingLiU"/>
          <w:sz w:val="16"/>
          <w:szCs w:val="16"/>
          <w:color w:val="auto"/>
        </w:rPr>
        <w:t/>
      </w:r>
      <w:r>
        <w:rPr>
          <w:rFonts w:ascii="Arial" w:cs="Arial" w:eastAsia="Arial" w:hAnsi="Arial"/>
          <w:sz w:val="16"/>
          <w:szCs w:val="16"/>
          <w:color w:val="auto"/>
        </w:rPr>
        <w:t>DERXW</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UHYHQXH</w:t>
      </w:r>
      <w:r>
        <w:rPr>
          <w:rFonts w:ascii="PMingLiU" w:cs="PMingLiU" w:eastAsia="PMingLiU" w:hAnsi="PMingLiU"/>
          <w:sz w:val="16"/>
          <w:szCs w:val="16"/>
          <w:color w:val="auto"/>
        </w:rPr>
        <w:t/>
      </w:r>
      <w:r>
        <w:rPr>
          <w:rFonts w:ascii="Arial" w:cs="Arial" w:eastAsia="Arial" w:hAnsi="Arial"/>
          <w:sz w:val="16"/>
          <w:szCs w:val="16"/>
          <w:color w:val="auto"/>
        </w:rPr>
        <w:t>RXWORRN</w:t>
      </w:r>
      <w:r>
        <w:rPr>
          <w:rFonts w:ascii="PMingLiU" w:cs="PMingLiU" w:eastAsia="PMingLiU" w:hAnsi="PMingLiU"/>
          <w:sz w:val="16"/>
          <w:szCs w:val="16"/>
          <w:color w:val="auto"/>
        </w:rPr>
        <w:t/>
      </w:r>
      <w:r>
        <w:rPr>
          <w:rFonts w:ascii="Arial" w:cs="Arial" w:eastAsia="Arial" w:hAnsi="Arial"/>
          <w:sz w:val="16"/>
          <w:szCs w:val="16"/>
          <w:color w:val="auto"/>
        </w:rPr>
        <w:t>LQ</w:t>
      </w:r>
      <w:r>
        <w:rPr>
          <w:rFonts w:ascii="PMingLiU" w:cs="PMingLiU" w:eastAsia="PMingLiU" w:hAnsi="PMingLiU"/>
          <w:sz w:val="16"/>
          <w:szCs w:val="16"/>
          <w:color w:val="auto"/>
        </w:rPr>
        <w:t/>
      </w:r>
      <w:r>
        <w:rPr>
          <w:rFonts w:ascii="Arial" w:cs="Arial" w:eastAsia="Arial" w:hAnsi="Arial"/>
          <w:sz w:val="16"/>
          <w:szCs w:val="16"/>
          <w:color w:val="auto"/>
        </w:rPr>
        <w:t>IXHOHG</w:t>
      </w:r>
      <w:r>
        <w:rPr>
          <w:rFonts w:ascii="PMingLiU" w:cs="PMingLiU" w:eastAsia="PMingLiU" w:hAnsi="PMingLiU"/>
          <w:sz w:val="16"/>
          <w:szCs w:val="16"/>
          <w:color w:val="auto"/>
        </w:rPr>
        <w:t/>
      </w:r>
      <w:r>
        <w:rPr>
          <w:rFonts w:ascii="Arial" w:cs="Arial" w:eastAsia="Arial" w:hAnsi="Arial"/>
          <w:sz w:val="16"/>
          <w:szCs w:val="16"/>
          <w:color w:val="auto"/>
        </w:rPr>
        <w:t>E\</w:t>
      </w:r>
      <w:r>
        <w:rPr>
          <w:rFonts w:ascii="PMingLiU" w:cs="PMingLiU" w:eastAsia="PMingLiU" w:hAnsi="PMingLiU"/>
          <w:sz w:val="16"/>
          <w:szCs w:val="16"/>
          <w:color w:val="auto"/>
        </w:rPr>
        <w:t/>
      </w:r>
      <w:r>
        <w:rPr>
          <w:rFonts w:ascii="Arial" w:cs="Arial" w:eastAsia="Arial" w:hAnsi="Arial"/>
          <w:sz w:val="16"/>
          <w:szCs w:val="16"/>
          <w:color w:val="auto"/>
        </w:rPr>
        <w:t>VHFXODU</w:t>
      </w:r>
      <w:r>
        <w:rPr>
          <w:rFonts w:ascii="PMingLiU" w:cs="PMingLiU" w:eastAsia="PMingLiU" w:hAnsi="PMingLiU"/>
          <w:sz w:val="16"/>
          <w:szCs w:val="16"/>
          <w:color w:val="auto"/>
        </w:rPr>
        <w:t/>
      </w:r>
      <w:r>
        <w:rPr>
          <w:rFonts w:ascii="Arial" w:cs="Arial" w:eastAsia="Arial" w:hAnsi="Arial"/>
          <w:sz w:val="16"/>
          <w:szCs w:val="16"/>
          <w:color w:val="auto"/>
        </w:rPr>
        <w:t>WDLOZLQGV</w:t>
      </w:r>
      <w:r>
        <w:rPr>
          <w:rFonts w:ascii="PMingLiU" w:cs="PMingLiU" w:eastAsia="PMingLiU" w:hAnsi="PMingLiU"/>
          <w:sz w:val="16"/>
          <w:szCs w:val="16"/>
          <w:color w:val="auto"/>
        </w:rPr>
        <w:t/>
      </w:r>
      <w:r>
        <w:rPr>
          <w:rFonts w:ascii="Arial" w:cs="Arial" w:eastAsia="Arial" w:hAnsi="Arial"/>
          <w:sz w:val="16"/>
          <w:szCs w:val="16"/>
          <w:color w:val="auto"/>
        </w:rPr>
        <w:t xml:space="preserve"> LQ</w:t>
      </w:r>
      <w:r>
        <w:rPr>
          <w:rFonts w:ascii="PMingLiU" w:cs="PMingLiU" w:eastAsia="PMingLiU" w:hAnsi="PMingLiU"/>
          <w:sz w:val="16"/>
          <w:szCs w:val="16"/>
          <w:color w:val="auto"/>
        </w:rPr>
        <w:t/>
      </w:r>
      <w:r>
        <w:rPr>
          <w:rFonts w:ascii="Arial" w:cs="Arial" w:eastAsia="Arial" w:hAnsi="Arial"/>
          <w:sz w:val="16"/>
          <w:szCs w:val="16"/>
          <w:color w:val="auto"/>
        </w:rPr>
        <w:t>HDFK</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FRUH</w:t>
      </w:r>
      <w:r>
        <w:rPr>
          <w:rFonts w:ascii="PMingLiU" w:cs="PMingLiU" w:eastAsia="PMingLiU" w:hAnsi="PMingLiU"/>
          <w:sz w:val="16"/>
          <w:szCs w:val="16"/>
          <w:color w:val="auto"/>
        </w:rPr>
        <w:t/>
      </w:r>
      <w:r>
        <w:rPr>
          <w:rFonts w:ascii="Arial" w:cs="Arial" w:eastAsia="Arial" w:hAnsi="Arial"/>
          <w:sz w:val="16"/>
          <w:szCs w:val="16"/>
          <w:color w:val="auto"/>
        </w:rPr>
        <w:t>PDUNHWV</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D</w:t>
      </w:r>
      <w:r>
        <w:rPr>
          <w:rFonts w:ascii="PMingLiU" w:cs="PMingLiU" w:eastAsia="PMingLiU" w:hAnsi="PMingLiU"/>
          <w:sz w:val="16"/>
          <w:szCs w:val="16"/>
          <w:color w:val="auto"/>
        </w:rPr>
        <w:t/>
      </w:r>
      <w:r>
        <w:rPr>
          <w:rFonts w:ascii="Arial" w:cs="Arial" w:eastAsia="Arial" w:hAnsi="Arial"/>
          <w:sz w:val="16"/>
          <w:szCs w:val="16"/>
          <w:color w:val="auto"/>
        </w:rPr>
        <w:t>KHDOWK\</w:t>
      </w:r>
      <w:r>
        <w:rPr>
          <w:rFonts w:ascii="PMingLiU" w:cs="PMingLiU" w:eastAsia="PMingLiU" w:hAnsi="PMingLiU"/>
          <w:sz w:val="16"/>
          <w:szCs w:val="16"/>
          <w:color w:val="auto"/>
        </w:rPr>
        <w:t/>
      </w:r>
      <w:r>
        <w:rPr>
          <w:rFonts w:ascii="Arial" w:cs="Arial" w:eastAsia="Arial" w:hAnsi="Arial"/>
          <w:sz w:val="16"/>
          <w:szCs w:val="16"/>
          <w:color w:val="auto"/>
        </w:rPr>
        <w:t>SLSHOLQH</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QHZ</w:t>
      </w:r>
      <w:r>
        <w:rPr>
          <w:rFonts w:ascii="PMingLiU" w:cs="PMingLiU" w:eastAsia="PMingLiU" w:hAnsi="PMingLiU"/>
          <w:sz w:val="16"/>
          <w:szCs w:val="16"/>
          <w:color w:val="auto"/>
        </w:rPr>
        <w:t/>
      </w:r>
      <w:r>
        <w:rPr>
          <w:rFonts w:ascii="Arial" w:cs="Arial" w:eastAsia="Arial" w:hAnsi="Arial"/>
          <w:sz w:val="16"/>
          <w:szCs w:val="16"/>
          <w:color w:val="auto"/>
        </w:rPr>
        <w:t>SURGXFWV</w:t>
      </w:r>
      <w:r>
        <w:rPr>
          <w:rFonts w:ascii="PMingLiU" w:cs="PMingLiU" w:eastAsia="PMingLiU" w:hAnsi="PMingLiU"/>
          <w:sz w:val="16"/>
          <w:szCs w:val="16"/>
          <w:color w:val="auto"/>
        </w:rPr>
        <w:t/>
      </w:r>
      <w:r>
        <w:rPr>
          <w:rFonts w:ascii="Arial" w:cs="Arial" w:eastAsia="Arial" w:hAnsi="Arial"/>
          <w:sz w:val="16"/>
          <w:szCs w:val="16"/>
          <w:color w:val="auto"/>
        </w:rPr>
        <w:t>:KDW</w:t>
      </w:r>
      <w:r>
        <w:rPr>
          <w:rFonts w:ascii="PMingLiU" w:cs="PMingLiU" w:eastAsia="PMingLiU" w:hAnsi="PMingLiU"/>
          <w:sz w:val="16"/>
          <w:szCs w:val="16"/>
          <w:color w:val="auto"/>
        </w:rPr>
        <w:t/>
      </w:r>
      <w:r>
        <w:rPr>
          <w:rFonts w:ascii="Arial" w:cs="Arial" w:eastAsia="Arial" w:hAnsi="Arial"/>
          <w:sz w:val="16"/>
          <w:szCs w:val="16"/>
          <w:color w:val="auto"/>
        </w:rPr>
        <w:t>H[FLWHV</w:t>
      </w:r>
      <w:r>
        <w:rPr>
          <w:rFonts w:ascii="PMingLiU" w:cs="PMingLiU" w:eastAsia="PMingLiU" w:hAnsi="PMingLiU"/>
          <w:sz w:val="16"/>
          <w:szCs w:val="16"/>
          <w:color w:val="auto"/>
        </w:rPr>
        <w:t/>
      </w:r>
      <w:r>
        <w:rPr>
          <w:rFonts w:ascii="Arial" w:cs="Arial" w:eastAsia="Arial" w:hAnsi="Arial"/>
          <w:sz w:val="16"/>
          <w:szCs w:val="16"/>
          <w:color w:val="auto"/>
        </w:rPr>
        <w:t xml:space="preserve"> PH</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PRVW</w:t>
      </w:r>
      <w:r>
        <w:rPr>
          <w:rFonts w:ascii="PMingLiU" w:cs="PMingLiU" w:eastAsia="PMingLiU" w:hAnsi="PMingLiU"/>
          <w:sz w:val="16"/>
          <w:szCs w:val="16"/>
          <w:color w:val="auto"/>
        </w:rPr>
        <w:t/>
      </w:r>
      <w:r>
        <w:rPr>
          <w:rFonts w:ascii="Arial" w:cs="Arial" w:eastAsia="Arial" w:hAnsi="Arial"/>
          <w:sz w:val="16"/>
          <w:szCs w:val="16"/>
          <w:color w:val="auto"/>
        </w:rPr>
        <w:t>LV</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JURZWK</w:t>
      </w:r>
      <w:r>
        <w:rPr>
          <w:rFonts w:ascii="PMingLiU" w:cs="PMingLiU" w:eastAsia="PMingLiU" w:hAnsi="PMingLiU"/>
          <w:sz w:val="16"/>
          <w:szCs w:val="16"/>
          <w:color w:val="auto"/>
        </w:rPr>
        <w:t/>
      </w:r>
      <w:r>
        <w:rPr>
          <w:rFonts w:ascii="Arial" w:cs="Arial" w:eastAsia="Arial" w:hAnsi="Arial"/>
          <w:sz w:val="16"/>
          <w:szCs w:val="16"/>
          <w:color w:val="auto"/>
        </w:rPr>
        <w:t>WKDW</w:t>
      </w:r>
      <w:r>
        <w:rPr>
          <w:rFonts w:ascii="PMingLiU" w:cs="PMingLiU" w:eastAsia="PMingLiU" w:hAnsi="PMingLiU"/>
          <w:sz w:val="16"/>
          <w:szCs w:val="16"/>
          <w:color w:val="auto"/>
        </w:rPr>
        <w:t/>
      </w:r>
      <w:r>
        <w:rPr>
          <w:rFonts w:ascii="Arial" w:cs="Arial" w:eastAsia="Arial" w:hAnsi="Arial"/>
          <w:sz w:val="16"/>
          <w:szCs w:val="16"/>
          <w:color w:val="auto"/>
        </w:rPr>
        <w:t>LV</w:t>
      </w:r>
      <w:r>
        <w:rPr>
          <w:rFonts w:ascii="PMingLiU" w:cs="PMingLiU" w:eastAsia="PMingLiU" w:hAnsi="PMingLiU"/>
          <w:sz w:val="16"/>
          <w:szCs w:val="16"/>
          <w:color w:val="auto"/>
        </w:rPr>
        <w:t/>
      </w:r>
      <w:r>
        <w:rPr>
          <w:rFonts w:ascii="Arial" w:cs="Arial" w:eastAsia="Arial" w:hAnsi="Arial"/>
          <w:sz w:val="16"/>
          <w:szCs w:val="16"/>
          <w:color w:val="auto"/>
        </w:rPr>
        <w:t>KDSSHQLQJ</w:t>
      </w:r>
      <w:r>
        <w:rPr>
          <w:rFonts w:ascii="PMingLiU" w:cs="PMingLiU" w:eastAsia="PMingLiU" w:hAnsi="PMingLiU"/>
          <w:sz w:val="16"/>
          <w:szCs w:val="16"/>
          <w:color w:val="auto"/>
        </w:rPr>
        <w:t/>
      </w:r>
      <w:r>
        <w:rPr>
          <w:rFonts w:ascii="Arial" w:cs="Arial" w:eastAsia="Arial" w:hAnsi="Arial"/>
          <w:sz w:val="16"/>
          <w:szCs w:val="16"/>
          <w:color w:val="auto"/>
        </w:rPr>
        <w:t>EURDGO\</w:t>
      </w:r>
      <w:r>
        <w:rPr>
          <w:rFonts w:ascii="PMingLiU" w:cs="PMingLiU" w:eastAsia="PMingLiU" w:hAnsi="PMingLiU"/>
          <w:sz w:val="16"/>
          <w:szCs w:val="16"/>
          <w:color w:val="auto"/>
        </w:rPr>
        <w:t/>
      </w:r>
      <w:r>
        <w:rPr>
          <w:rFonts w:ascii="Arial" w:cs="Arial" w:eastAsia="Arial" w:hAnsi="Arial"/>
          <w:sz w:val="16"/>
          <w:szCs w:val="16"/>
          <w:color w:val="auto"/>
        </w:rPr>
        <w:t>DFURVV</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RUJDQL]DWLRQ</w:t>
      </w:r>
      <w:r>
        <w:rPr>
          <w:rFonts w:ascii="PMingLiU" w:cs="PMingLiU" w:eastAsia="PMingLiU" w:hAnsi="PMingLiU"/>
          <w:sz w:val="16"/>
          <w:szCs w:val="16"/>
          <w:color w:val="auto"/>
        </w:rPr>
        <w:t/>
      </w:r>
      <w:r>
        <w:rPr>
          <w:rFonts w:ascii="Arial" w:cs="Arial" w:eastAsia="Arial" w:hAnsi="Arial"/>
          <w:sz w:val="16"/>
          <w:szCs w:val="16"/>
          <w:color w:val="auto"/>
        </w:rPr>
        <w:t>ZKLFK</w:t>
      </w:r>
      <w:r>
        <w:rPr>
          <w:rFonts w:ascii="PMingLiU" w:cs="PMingLiU" w:eastAsia="PMingLiU" w:hAnsi="PMingLiU"/>
          <w:sz w:val="16"/>
          <w:szCs w:val="16"/>
          <w:color w:val="auto"/>
        </w:rPr>
        <w:t/>
      </w:r>
      <w:r>
        <w:rPr>
          <w:rFonts w:ascii="Arial" w:cs="Arial" w:eastAsia="Arial" w:hAnsi="Arial"/>
          <w:sz w:val="16"/>
          <w:szCs w:val="16"/>
          <w:color w:val="auto"/>
        </w:rPr>
        <w:t xml:space="preserve"> VKRXOG</w:t>
      </w:r>
      <w:r>
        <w:rPr>
          <w:rFonts w:ascii="PMingLiU" w:cs="PMingLiU" w:eastAsia="PMingLiU" w:hAnsi="PMingLiU"/>
          <w:sz w:val="16"/>
          <w:szCs w:val="16"/>
          <w:color w:val="auto"/>
        </w:rPr>
        <w:t/>
      </w:r>
      <w:r>
        <w:rPr>
          <w:rFonts w:ascii="Arial" w:cs="Arial" w:eastAsia="Arial" w:hAnsi="Arial"/>
          <w:sz w:val="16"/>
          <w:szCs w:val="16"/>
          <w:color w:val="auto"/>
        </w:rPr>
        <w:t>KHOS</w:t>
      </w:r>
      <w:r>
        <w:rPr>
          <w:rFonts w:ascii="PMingLiU" w:cs="PMingLiU" w:eastAsia="PMingLiU" w:hAnsi="PMingLiU"/>
          <w:sz w:val="16"/>
          <w:szCs w:val="16"/>
          <w:color w:val="auto"/>
        </w:rPr>
        <w:t/>
      </w:r>
      <w:r>
        <w:rPr>
          <w:rFonts w:ascii="Arial" w:cs="Arial" w:eastAsia="Arial" w:hAnsi="Arial"/>
          <w:sz w:val="16"/>
          <w:szCs w:val="16"/>
          <w:color w:val="auto"/>
        </w:rPr>
        <w:t>HPEHG</w:t>
      </w:r>
      <w:r>
        <w:rPr>
          <w:rFonts w:ascii="PMingLiU" w:cs="PMingLiU" w:eastAsia="PMingLiU" w:hAnsi="PMingLiU"/>
          <w:sz w:val="16"/>
          <w:szCs w:val="16"/>
          <w:color w:val="auto"/>
        </w:rPr>
        <w:t/>
      </w:r>
      <w:r>
        <w:rPr>
          <w:rFonts w:ascii="Arial" w:cs="Arial" w:eastAsia="Arial" w:hAnsi="Arial"/>
          <w:sz w:val="16"/>
          <w:szCs w:val="16"/>
          <w:color w:val="auto"/>
        </w:rPr>
        <w:t>GLYHUVLW\</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UHVLOLHQF\</w:t>
      </w:r>
      <w:r>
        <w:rPr>
          <w:rFonts w:ascii="PMingLiU" w:cs="PMingLiU" w:eastAsia="PMingLiU" w:hAnsi="PMingLiU"/>
          <w:sz w:val="16"/>
          <w:szCs w:val="16"/>
          <w:color w:val="auto"/>
        </w:rPr>
        <w:t/>
      </w:r>
      <w:r>
        <w:rPr>
          <w:rFonts w:ascii="Arial" w:cs="Arial" w:eastAsia="Arial" w:hAnsi="Arial"/>
          <w:sz w:val="16"/>
          <w:szCs w:val="16"/>
          <w:color w:val="auto"/>
        </w:rPr>
        <w:t>LQWR</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MRXUQH\</w:t>
      </w:r>
      <w:r>
        <w:rPr>
          <w:rFonts w:ascii="PMingLiU" w:cs="PMingLiU" w:eastAsia="PMingLiU" w:hAnsi="PMingLiU"/>
          <w:sz w:val="16"/>
          <w:szCs w:val="16"/>
          <w:color w:val="auto"/>
        </w:rPr>
        <w:t/>
      </w:r>
      <w:r>
        <w:rPr>
          <w:rFonts w:ascii="Arial" w:cs="Arial" w:eastAsia="Arial" w:hAnsi="Arial"/>
          <w:sz w:val="16"/>
          <w:szCs w:val="16"/>
          <w:color w:val="auto"/>
        </w:rPr>
        <w:t>+RZHYHU</w:t>
      </w:r>
      <w:r>
        <w:rPr>
          <w:rFonts w:ascii="PMingLiU" w:cs="PMingLiU" w:eastAsia="PMingLiU" w:hAnsi="PMingLiU"/>
          <w:sz w:val="16"/>
          <w:szCs w:val="16"/>
          <w:color w:val="auto"/>
        </w:rPr>
        <w:t/>
      </w:r>
      <w:r>
        <w:rPr>
          <w:rFonts w:ascii="Arial" w:cs="Arial" w:eastAsia="Arial" w:hAnsi="Arial"/>
          <w:sz w:val="16"/>
          <w:szCs w:val="16"/>
          <w:color w:val="auto"/>
        </w:rPr>
        <w:t>ZH</w:t>
      </w:r>
      <w:r>
        <w:rPr>
          <w:rFonts w:ascii="PMingLiU" w:cs="PMingLiU" w:eastAsia="PMingLiU" w:hAnsi="PMingLiU"/>
          <w:sz w:val="16"/>
          <w:szCs w:val="16"/>
          <w:color w:val="auto"/>
        </w:rPr>
        <w:t/>
      </w:r>
      <w:r>
        <w:rPr>
          <w:rFonts w:ascii="Arial" w:cs="Arial" w:eastAsia="Arial" w:hAnsi="Arial"/>
          <w:sz w:val="16"/>
          <w:szCs w:val="16"/>
          <w:color w:val="auto"/>
        </w:rPr>
        <w:t>UHFRJQL]H</w:t>
      </w:r>
      <w:r>
        <w:rPr>
          <w:rFonts w:ascii="PMingLiU" w:cs="PMingLiU" w:eastAsia="PMingLiU" w:hAnsi="PMingLiU"/>
          <w:sz w:val="16"/>
          <w:szCs w:val="16"/>
          <w:color w:val="auto"/>
        </w:rPr>
        <w:t/>
      </w:r>
      <w:r>
        <w:rPr>
          <w:rFonts w:ascii="Arial" w:cs="Arial" w:eastAsia="Arial" w:hAnsi="Arial"/>
          <w:sz w:val="16"/>
          <w:szCs w:val="16"/>
          <w:color w:val="auto"/>
        </w:rPr>
        <w:t xml:space="preserve"> the challenge ahead on multiple fronts: persistent increases in material costs — HVSHFLDOO\</w:t>
      </w:r>
      <w:r>
        <w:rPr>
          <w:rFonts w:ascii="PMingLiU" w:cs="PMingLiU" w:eastAsia="PMingLiU" w:hAnsi="PMingLiU"/>
          <w:sz w:val="16"/>
          <w:szCs w:val="16"/>
          <w:color w:val="auto"/>
        </w:rPr>
        <w:t/>
      </w:r>
      <w:r>
        <w:rPr>
          <w:rFonts w:ascii="Arial" w:cs="Arial" w:eastAsia="Arial" w:hAnsi="Arial"/>
          <w:sz w:val="16"/>
          <w:szCs w:val="16"/>
          <w:color w:val="auto"/>
        </w:rPr>
        <w:t>JROG</w:t>
      </w:r>
      <w:r>
        <w:rPr>
          <w:rFonts w:ascii="PMingLiU" w:cs="PMingLiU" w:eastAsia="PMingLiU" w:hAnsi="PMingLiU"/>
          <w:sz w:val="16"/>
          <w:szCs w:val="16"/>
          <w:color w:val="auto"/>
        </w:rPr>
        <w:t/>
      </w:r>
      <w:r>
        <w:rPr>
          <w:rFonts w:ascii="Arial" w:cs="Arial" w:eastAsia="Arial" w:hAnsi="Arial"/>
          <w:sz w:val="16"/>
          <w:szCs w:val="16"/>
          <w:color w:val="auto"/>
        </w:rPr>
        <w:t>FRSSHU</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3&amp;%V</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QDYLJDWLQJ</w:t>
      </w:r>
      <w:r>
        <w:rPr>
          <w:rFonts w:ascii="PMingLiU" w:cs="PMingLiU" w:eastAsia="PMingLiU" w:hAnsi="PMingLiU"/>
          <w:sz w:val="16"/>
          <w:szCs w:val="16"/>
          <w:color w:val="auto"/>
        </w:rPr>
        <w:t/>
      </w:r>
      <w:r>
        <w:rPr>
          <w:rFonts w:ascii="Arial" w:cs="Arial" w:eastAsia="Arial" w:hAnsi="Arial"/>
          <w:sz w:val="16"/>
          <w:szCs w:val="16"/>
          <w:color w:val="auto"/>
        </w:rPr>
        <w:t>D</w:t>
      </w:r>
      <w:r>
        <w:rPr>
          <w:rFonts w:ascii="PMingLiU" w:cs="PMingLiU" w:eastAsia="PMingLiU" w:hAnsi="PMingLiU"/>
          <w:sz w:val="16"/>
          <w:szCs w:val="16"/>
          <w:color w:val="auto"/>
        </w:rPr>
        <w:t/>
      </w:r>
      <w:r>
        <w:rPr>
          <w:rFonts w:ascii="Arial" w:cs="Arial" w:eastAsia="Arial" w:hAnsi="Arial"/>
          <w:sz w:val="16"/>
          <w:szCs w:val="16"/>
          <w:color w:val="auto"/>
        </w:rPr>
        <w:t>OHVV</w:t>
      </w:r>
      <w:r>
        <w:rPr>
          <w:rFonts w:ascii="PMingLiU" w:cs="PMingLiU" w:eastAsia="PMingLiU" w:hAnsi="PMingLiU"/>
          <w:sz w:val="16"/>
          <w:szCs w:val="16"/>
          <w:color w:val="auto"/>
        </w:rPr>
        <w:t/>
      </w:r>
      <w:r>
        <w:rPr>
          <w:rFonts w:ascii="Arial" w:cs="Arial" w:eastAsia="Arial" w:hAnsi="Arial"/>
          <w:sz w:val="16"/>
          <w:szCs w:val="16"/>
          <w:color w:val="auto"/>
        </w:rPr>
        <w:t>IDYRUDEOH</w:t>
      </w:r>
      <w:r>
        <w:rPr>
          <w:rFonts w:ascii="PMingLiU" w:cs="PMingLiU" w:eastAsia="PMingLiU" w:hAnsi="PMingLiU"/>
          <w:sz w:val="16"/>
          <w:szCs w:val="16"/>
          <w:color w:val="auto"/>
        </w:rPr>
        <w:t/>
      </w:r>
      <w:r>
        <w:rPr>
          <w:rFonts w:ascii="Arial" w:cs="Arial" w:eastAsia="Arial" w:hAnsi="Arial"/>
          <w:sz w:val="16"/>
          <w:szCs w:val="16"/>
          <w:color w:val="auto"/>
        </w:rPr>
        <w:t>IRUHLJQ</w:t>
      </w:r>
      <w:r>
        <w:rPr>
          <w:rFonts w:ascii="PMingLiU" w:cs="PMingLiU" w:eastAsia="PMingLiU" w:hAnsi="PMingLiU"/>
          <w:sz w:val="16"/>
          <w:szCs w:val="16"/>
          <w:color w:val="auto"/>
        </w:rPr>
        <w:t/>
      </w:r>
      <w:r>
        <w:rPr>
          <w:rFonts w:ascii="Arial" w:cs="Arial" w:eastAsia="Arial" w:hAnsi="Arial"/>
          <w:sz w:val="16"/>
          <w:szCs w:val="16"/>
          <w:color w:val="auto"/>
        </w:rPr>
        <w:t>H[FKDQJH</w:t>
      </w:r>
      <w:r>
        <w:rPr>
          <w:rFonts w:ascii="PMingLiU" w:cs="PMingLiU" w:eastAsia="PMingLiU" w:hAnsi="PMingLiU"/>
          <w:sz w:val="16"/>
          <w:szCs w:val="16"/>
          <w:color w:val="auto"/>
        </w:rPr>
        <w:t/>
      </w:r>
    </w:p>
    <w:p>
      <w:pPr>
        <w:spacing w:after="0" w:line="89" w:lineRule="exact"/>
        <w:rPr>
          <w:sz w:val="20"/>
          <w:szCs w:val="20"/>
          <w:color w:val="auto"/>
        </w:rPr>
      </w:pPr>
    </w:p>
    <w:p>
      <w:pPr>
        <w:ind w:right="1780"/>
        <w:spacing w:after="0" w:line="241" w:lineRule="exact"/>
        <w:rPr>
          <w:sz w:val="20"/>
          <w:szCs w:val="20"/>
          <w:color w:val="auto"/>
        </w:rPr>
      </w:pPr>
      <w:r>
        <w:rPr>
          <w:rFonts w:ascii="Arial" w:cs="Arial" w:eastAsia="Arial" w:hAnsi="Arial"/>
          <w:sz w:val="15"/>
          <w:szCs w:val="15"/>
          <w:color w:val="auto"/>
        </w:rPr>
        <w:t>HQYLURQPHQW</w:t>
      </w:r>
      <w:r>
        <w:rPr>
          <w:rFonts w:ascii="PMingLiU" w:cs="PMingLiU" w:eastAsia="PMingLiU" w:hAnsi="PMingLiU"/>
          <w:sz w:val="15"/>
          <w:szCs w:val="15"/>
          <w:color w:val="auto"/>
        </w:rPr>
        <w:t/>
      </w:r>
      <w:r>
        <w:rPr>
          <w:rFonts w:ascii="Arial" w:cs="Arial" w:eastAsia="Arial" w:hAnsi="Arial"/>
          <w:sz w:val="15"/>
          <w:szCs w:val="15"/>
          <w:color w:val="auto"/>
        </w:rPr>
        <w:t>DQG</w:t>
      </w:r>
      <w:r>
        <w:rPr>
          <w:rFonts w:ascii="PMingLiU" w:cs="PMingLiU" w:eastAsia="PMingLiU" w:hAnsi="PMingLiU"/>
          <w:sz w:val="15"/>
          <w:szCs w:val="15"/>
          <w:color w:val="auto"/>
        </w:rPr>
        <w:t/>
      </w:r>
      <w:r>
        <w:rPr>
          <w:rFonts w:ascii="Arial" w:cs="Arial" w:eastAsia="Arial" w:hAnsi="Arial"/>
          <w:sz w:val="15"/>
          <w:szCs w:val="15"/>
          <w:color w:val="auto"/>
        </w:rPr>
        <w:t>WKH</w:t>
      </w:r>
      <w:r>
        <w:rPr>
          <w:rFonts w:ascii="PMingLiU" w:cs="PMingLiU" w:eastAsia="PMingLiU" w:hAnsi="PMingLiU"/>
          <w:sz w:val="15"/>
          <w:szCs w:val="15"/>
          <w:color w:val="auto"/>
        </w:rPr>
        <w:t/>
      </w:r>
      <w:r>
        <w:rPr>
          <w:rFonts w:ascii="Arial" w:cs="Arial" w:eastAsia="Arial" w:hAnsi="Arial"/>
          <w:sz w:val="15"/>
          <w:szCs w:val="15"/>
          <w:color w:val="auto"/>
        </w:rPr>
        <w:t>HYHU</w:t>
      </w:r>
      <w:r>
        <w:rPr>
          <w:rFonts w:ascii="PMingLiU" w:cs="PMingLiU" w:eastAsia="PMingLiU" w:hAnsi="PMingLiU"/>
          <w:sz w:val="15"/>
          <w:szCs w:val="15"/>
          <w:color w:val="auto"/>
        </w:rPr>
        <w:t/>
      </w:r>
      <w:r>
        <w:rPr>
          <w:rFonts w:ascii="Arial" w:cs="Arial" w:eastAsia="Arial" w:hAnsi="Arial"/>
          <w:sz w:val="15"/>
          <w:szCs w:val="15"/>
          <w:color w:val="auto"/>
        </w:rPr>
        <w:t>HYROYLQJ</w:t>
      </w:r>
      <w:r>
        <w:rPr>
          <w:rFonts w:ascii="PMingLiU" w:cs="PMingLiU" w:eastAsia="PMingLiU" w:hAnsi="PMingLiU"/>
          <w:sz w:val="15"/>
          <w:szCs w:val="15"/>
          <w:color w:val="auto"/>
        </w:rPr>
        <w:t/>
      </w:r>
      <w:r>
        <w:rPr>
          <w:rFonts w:ascii="Arial" w:cs="Arial" w:eastAsia="Arial" w:hAnsi="Arial"/>
          <w:sz w:val="15"/>
          <w:szCs w:val="15"/>
          <w:color w:val="auto"/>
        </w:rPr>
        <w:t>ODQGVFDSH</w:t>
      </w:r>
      <w:r>
        <w:rPr>
          <w:rFonts w:ascii="PMingLiU" w:cs="PMingLiU" w:eastAsia="PMingLiU" w:hAnsi="PMingLiU"/>
          <w:sz w:val="15"/>
          <w:szCs w:val="15"/>
          <w:color w:val="auto"/>
        </w:rPr>
        <w:t/>
      </w:r>
      <w:r>
        <w:rPr>
          <w:rFonts w:ascii="Arial" w:cs="Arial" w:eastAsia="Arial" w:hAnsi="Arial"/>
          <w:sz w:val="15"/>
          <w:szCs w:val="15"/>
          <w:color w:val="auto"/>
        </w:rPr>
        <w:t>RI</w:t>
      </w:r>
      <w:r>
        <w:rPr>
          <w:rFonts w:ascii="PMingLiU" w:cs="PMingLiU" w:eastAsia="PMingLiU" w:hAnsi="PMingLiU"/>
          <w:sz w:val="15"/>
          <w:szCs w:val="15"/>
          <w:color w:val="auto"/>
        </w:rPr>
        <w:t/>
      </w:r>
      <w:r>
        <w:rPr>
          <w:rFonts w:ascii="Arial" w:cs="Arial" w:eastAsia="Arial" w:hAnsi="Arial"/>
          <w:sz w:val="15"/>
          <w:szCs w:val="15"/>
          <w:color w:val="auto"/>
        </w:rPr>
        <w:t>WDULIIV</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DUH</w:t>
      </w:r>
      <w:r>
        <w:rPr>
          <w:rFonts w:ascii="PMingLiU" w:cs="PMingLiU" w:eastAsia="PMingLiU" w:hAnsi="PMingLiU"/>
          <w:sz w:val="15"/>
          <w:szCs w:val="15"/>
          <w:color w:val="auto"/>
        </w:rPr>
        <w:t/>
      </w:r>
      <w:r>
        <w:rPr>
          <w:rFonts w:ascii="Arial" w:cs="Arial" w:eastAsia="Arial" w:hAnsi="Arial"/>
          <w:sz w:val="15"/>
          <w:szCs w:val="15"/>
          <w:color w:val="auto"/>
        </w:rPr>
        <w:t>FRPPLWWHG</w:t>
      </w:r>
      <w:r>
        <w:rPr>
          <w:rFonts w:ascii="PMingLiU" w:cs="PMingLiU" w:eastAsia="PMingLiU" w:hAnsi="PMingLiU"/>
          <w:sz w:val="15"/>
          <w:szCs w:val="15"/>
          <w:color w:val="auto"/>
        </w:rPr>
        <w:t/>
      </w:r>
      <w:r>
        <w:rPr>
          <w:rFonts w:ascii="Arial" w:cs="Arial" w:eastAsia="Arial" w:hAnsi="Arial"/>
          <w:sz w:val="15"/>
          <w:szCs w:val="15"/>
          <w:color w:val="auto"/>
        </w:rPr>
        <w:t>WR</w:t>
      </w:r>
      <w:r>
        <w:rPr>
          <w:rFonts w:ascii="PMingLiU" w:cs="PMingLiU" w:eastAsia="PMingLiU" w:hAnsi="PMingLiU"/>
          <w:sz w:val="15"/>
          <w:szCs w:val="15"/>
          <w:color w:val="auto"/>
        </w:rPr>
        <w:t/>
      </w:r>
      <w:r>
        <w:rPr>
          <w:rFonts w:ascii="Arial" w:cs="Arial" w:eastAsia="Arial" w:hAnsi="Arial"/>
          <w:sz w:val="15"/>
          <w:szCs w:val="15"/>
          <w:color w:val="auto"/>
        </w:rPr>
        <w:t>FRVW</w:t>
      </w:r>
      <w:r>
        <w:rPr>
          <w:rFonts w:ascii="PMingLiU" w:cs="PMingLiU" w:eastAsia="PMingLiU" w:hAnsi="PMingLiU"/>
          <w:sz w:val="15"/>
          <w:szCs w:val="15"/>
          <w:color w:val="auto"/>
        </w:rPr>
        <w:t/>
      </w:r>
      <w:r>
        <w:rPr>
          <w:rFonts w:ascii="Arial" w:cs="Arial" w:eastAsia="Arial" w:hAnsi="Arial"/>
          <w:sz w:val="15"/>
          <w:szCs w:val="15"/>
          <w:color w:val="auto"/>
        </w:rPr>
        <w:t xml:space="preserve"> GLVFLSOLQH</w:t>
      </w:r>
      <w:r>
        <w:rPr>
          <w:rFonts w:ascii="PMingLiU" w:cs="PMingLiU" w:eastAsia="PMingLiU" w:hAnsi="PMingLiU"/>
          <w:sz w:val="15"/>
          <w:szCs w:val="15"/>
          <w:color w:val="auto"/>
        </w:rPr>
        <w:t/>
      </w:r>
      <w:r>
        <w:rPr>
          <w:rFonts w:ascii="Arial" w:cs="Arial" w:eastAsia="Arial" w:hAnsi="Arial"/>
          <w:sz w:val="15"/>
          <w:szCs w:val="15"/>
          <w:color w:val="auto"/>
        </w:rPr>
        <w:t>DQG</w:t>
      </w:r>
      <w:r>
        <w:rPr>
          <w:rFonts w:ascii="PMingLiU" w:cs="PMingLiU" w:eastAsia="PMingLiU" w:hAnsi="PMingLiU"/>
          <w:sz w:val="15"/>
          <w:szCs w:val="15"/>
          <w:color w:val="auto"/>
        </w:rPr>
        <w:t/>
      </w:r>
      <w:r>
        <w:rPr>
          <w:rFonts w:ascii="Arial" w:cs="Arial" w:eastAsia="Arial" w:hAnsi="Arial"/>
          <w:sz w:val="15"/>
          <w:szCs w:val="15"/>
          <w:color w:val="auto"/>
        </w:rPr>
        <w:t>RSHUDWLRQDO</w:t>
      </w:r>
      <w:r>
        <w:rPr>
          <w:rFonts w:ascii="PMingLiU" w:cs="PMingLiU" w:eastAsia="PMingLiU" w:hAnsi="PMingLiU"/>
          <w:sz w:val="15"/>
          <w:szCs w:val="15"/>
          <w:color w:val="auto"/>
        </w:rPr>
        <w:t/>
      </w:r>
      <w:r>
        <w:rPr>
          <w:rFonts w:ascii="Arial" w:cs="Arial" w:eastAsia="Arial" w:hAnsi="Arial"/>
          <w:sz w:val="15"/>
          <w:szCs w:val="15"/>
          <w:color w:val="auto"/>
        </w:rPr>
        <w:t>H[FHOOHQFH</w:t>
      </w:r>
      <w:r>
        <w:rPr>
          <w:rFonts w:ascii="PMingLiU" w:cs="PMingLiU" w:eastAsia="PMingLiU" w:hAnsi="PMingLiU"/>
          <w:sz w:val="15"/>
          <w:szCs w:val="15"/>
          <w:color w:val="auto"/>
        </w:rPr>
        <w:t/>
      </w:r>
      <w:r>
        <w:rPr>
          <w:rFonts w:ascii="Arial" w:cs="Arial" w:eastAsia="Arial" w:hAnsi="Arial"/>
          <w:sz w:val="15"/>
          <w:szCs w:val="15"/>
          <w:color w:val="auto"/>
        </w:rPr>
        <w:t>DFURVV</w:t>
      </w:r>
      <w:r>
        <w:rPr>
          <w:rFonts w:ascii="PMingLiU" w:cs="PMingLiU" w:eastAsia="PMingLiU" w:hAnsi="PMingLiU"/>
          <w:sz w:val="15"/>
          <w:szCs w:val="15"/>
          <w:color w:val="auto"/>
        </w:rPr>
        <w:t/>
      </w:r>
      <w:r>
        <w:rPr>
          <w:rFonts w:ascii="Arial" w:cs="Arial" w:eastAsia="Arial" w:hAnsi="Arial"/>
          <w:sz w:val="15"/>
          <w:szCs w:val="15"/>
          <w:color w:val="auto"/>
        </w:rPr>
        <w:t>RXU</w:t>
      </w:r>
      <w:r>
        <w:rPr>
          <w:rFonts w:ascii="PMingLiU" w:cs="PMingLiU" w:eastAsia="PMingLiU" w:hAnsi="PMingLiU"/>
          <w:sz w:val="15"/>
          <w:szCs w:val="15"/>
          <w:color w:val="auto"/>
        </w:rPr>
        <w:t/>
      </w:r>
      <w:r>
        <w:rPr>
          <w:rFonts w:ascii="Arial" w:cs="Arial" w:eastAsia="Arial" w:hAnsi="Arial"/>
          <w:sz w:val="15"/>
          <w:szCs w:val="15"/>
          <w:color w:val="auto"/>
        </w:rPr>
        <w:t>YDOXH</w:t>
      </w:r>
      <w:r>
        <w:rPr>
          <w:rFonts w:ascii="PMingLiU" w:cs="PMingLiU" w:eastAsia="PMingLiU" w:hAnsi="PMingLiU"/>
          <w:sz w:val="15"/>
          <w:szCs w:val="15"/>
          <w:color w:val="auto"/>
        </w:rPr>
        <w:t/>
      </w:r>
      <w:r>
        <w:rPr>
          <w:rFonts w:ascii="Arial" w:cs="Arial" w:eastAsia="Arial" w:hAnsi="Arial"/>
          <w:sz w:val="15"/>
          <w:szCs w:val="15"/>
          <w:color w:val="auto"/>
        </w:rPr>
        <w:t>FKDLQ</w:t>
      </w:r>
      <w:r>
        <w:rPr>
          <w:rFonts w:ascii="PMingLiU" w:cs="PMingLiU" w:eastAsia="PMingLiU" w:hAnsi="PMingLiU"/>
          <w:sz w:val="15"/>
          <w:szCs w:val="15"/>
          <w:color w:val="auto"/>
        </w:rPr>
        <w:t/>
      </w:r>
      <w:r>
        <w:rPr>
          <w:rFonts w:ascii="Arial" w:cs="Arial" w:eastAsia="Arial" w:hAnsi="Arial"/>
          <w:sz w:val="15"/>
          <w:szCs w:val="15"/>
          <w:color w:val="auto"/>
        </w:rPr>
        <w:t>WR</w:t>
      </w:r>
      <w:r>
        <w:rPr>
          <w:rFonts w:ascii="PMingLiU" w:cs="PMingLiU" w:eastAsia="PMingLiU" w:hAnsi="PMingLiU"/>
          <w:sz w:val="15"/>
          <w:szCs w:val="15"/>
          <w:color w:val="auto"/>
        </w:rPr>
        <w:t/>
      </w:r>
      <w:r>
        <w:rPr>
          <w:rFonts w:ascii="Arial" w:cs="Arial" w:eastAsia="Arial" w:hAnsi="Arial"/>
          <w:sz w:val="15"/>
          <w:szCs w:val="15"/>
          <w:color w:val="auto"/>
        </w:rPr>
        <w:t>RIIVHW</w:t>
      </w:r>
      <w:r>
        <w:rPr>
          <w:rFonts w:ascii="PMingLiU" w:cs="PMingLiU" w:eastAsia="PMingLiU" w:hAnsi="PMingLiU"/>
          <w:sz w:val="15"/>
          <w:szCs w:val="15"/>
          <w:color w:val="auto"/>
        </w:rPr>
        <w:t/>
      </w:r>
      <w:r>
        <w:rPr>
          <w:rFonts w:ascii="Arial" w:cs="Arial" w:eastAsia="Arial" w:hAnsi="Arial"/>
          <w:sz w:val="15"/>
          <w:szCs w:val="15"/>
          <w:color w:val="auto"/>
        </w:rPr>
        <w:t>WKHVH</w:t>
      </w:r>
      <w:r>
        <w:rPr>
          <w:rFonts w:ascii="PMingLiU" w:cs="PMingLiU" w:eastAsia="PMingLiU" w:hAnsi="PMingLiU"/>
          <w:sz w:val="15"/>
          <w:szCs w:val="15"/>
          <w:color w:val="auto"/>
        </w:rPr>
        <w:t/>
      </w:r>
      <w:r>
        <w:rPr>
          <w:rFonts w:ascii="Arial" w:cs="Arial" w:eastAsia="Arial" w:hAnsi="Arial"/>
          <w:sz w:val="15"/>
          <w:szCs w:val="15"/>
          <w:color w:val="auto"/>
        </w:rPr>
        <w:t>KHDGZLQGV</w:t>
      </w:r>
      <w:r>
        <w:rPr>
          <w:rFonts w:ascii="PMingLiU" w:cs="PMingLiU" w:eastAsia="PMingLiU" w:hAnsi="PMingLiU"/>
          <w:sz w:val="15"/>
          <w:szCs w:val="15"/>
          <w:color w:val="auto"/>
        </w:rPr>
        <w:t/>
      </w:r>
    </w:p>
    <w:p>
      <w:pPr>
        <w:spacing w:after="0" w:line="266" w:lineRule="exact"/>
        <w:rPr>
          <w:sz w:val="20"/>
          <w:szCs w:val="20"/>
          <w:color w:val="auto"/>
        </w:rPr>
      </w:pPr>
    </w:p>
    <w:p>
      <w:pPr>
        <w:ind w:right="1780"/>
        <w:spacing w:after="0" w:line="333" w:lineRule="exact"/>
        <w:rPr>
          <w:sz w:val="20"/>
          <w:szCs w:val="20"/>
          <w:color w:val="auto"/>
        </w:rPr>
      </w:pPr>
      <w:r>
        <w:rPr>
          <w:rFonts w:ascii="Arial" w:cs="Arial" w:eastAsia="Arial" w:hAnsi="Arial"/>
          <w:sz w:val="14"/>
          <w:szCs w:val="14"/>
          <w:color w:val="auto"/>
        </w:rPr>
        <w:t>'HVSLWH</w:t>
      </w:r>
      <w:r>
        <w:rPr>
          <w:rFonts w:ascii="PMingLiU" w:cs="PMingLiU" w:eastAsia="PMingLiU" w:hAnsi="PMingLiU"/>
          <w:sz w:val="14"/>
          <w:szCs w:val="14"/>
          <w:color w:val="auto"/>
        </w:rPr>
        <w:t/>
      </w:r>
      <w:r>
        <w:rPr>
          <w:rFonts w:ascii="Arial" w:cs="Arial" w:eastAsia="Arial" w:hAnsi="Arial"/>
          <w:sz w:val="14"/>
          <w:szCs w:val="14"/>
          <w:color w:val="auto"/>
        </w:rPr>
        <w:t>WKHVH</w:t>
      </w:r>
      <w:r>
        <w:rPr>
          <w:rFonts w:ascii="PMingLiU" w:cs="PMingLiU" w:eastAsia="PMingLiU" w:hAnsi="PMingLiU"/>
          <w:sz w:val="14"/>
          <w:szCs w:val="14"/>
          <w:color w:val="auto"/>
        </w:rPr>
        <w:t/>
      </w:r>
      <w:r>
        <w:rPr>
          <w:rFonts w:ascii="Arial" w:cs="Arial" w:eastAsia="Arial" w:hAnsi="Arial"/>
          <w:sz w:val="14"/>
          <w:szCs w:val="14"/>
          <w:color w:val="auto"/>
        </w:rPr>
        <w:t>FKDOOHQJHV</w:t>
      </w:r>
      <w:r>
        <w:rPr>
          <w:rFonts w:ascii="PMingLiU" w:cs="PMingLiU" w:eastAsia="PMingLiU" w:hAnsi="PMingLiU"/>
          <w:sz w:val="14"/>
          <w:szCs w:val="14"/>
          <w:color w:val="auto"/>
        </w:rPr>
        <w:t/>
      </w:r>
      <w:r>
        <w:rPr>
          <w:rFonts w:ascii="Arial" w:cs="Arial" w:eastAsia="Arial" w:hAnsi="Arial"/>
          <w:sz w:val="14"/>
          <w:szCs w:val="14"/>
          <w:color w:val="auto"/>
        </w:rPr>
        <w:t>WKH</w:t>
      </w:r>
      <w:r>
        <w:rPr>
          <w:rFonts w:ascii="PMingLiU" w:cs="PMingLiU" w:eastAsia="PMingLiU" w:hAnsi="PMingLiU"/>
          <w:sz w:val="14"/>
          <w:szCs w:val="14"/>
          <w:color w:val="auto"/>
        </w:rPr>
        <w:t/>
      </w:r>
      <w:r>
        <w:rPr>
          <w:rFonts w:ascii="Arial" w:cs="Arial" w:eastAsia="Arial" w:hAnsi="Arial"/>
          <w:sz w:val="14"/>
          <w:szCs w:val="14"/>
          <w:color w:val="auto"/>
        </w:rPr>
        <w:t>PRPHQWXP</w:t>
      </w:r>
      <w:r>
        <w:rPr>
          <w:rFonts w:ascii="PMingLiU" w:cs="PMingLiU" w:eastAsia="PMingLiU" w:hAnsi="PMingLiU"/>
          <w:sz w:val="14"/>
          <w:szCs w:val="14"/>
          <w:color w:val="auto"/>
        </w:rPr>
        <w:t/>
      </w:r>
      <w:r>
        <w:rPr>
          <w:rFonts w:ascii="Arial" w:cs="Arial" w:eastAsia="Arial" w:hAnsi="Arial"/>
          <w:sz w:val="14"/>
          <w:szCs w:val="14"/>
          <w:color w:val="auto"/>
        </w:rPr>
        <w:t>ZLWKLQ</w:t>
      </w:r>
      <w:r>
        <w:rPr>
          <w:rFonts w:ascii="PMingLiU" w:cs="PMingLiU" w:eastAsia="PMingLiU" w:hAnsi="PMingLiU"/>
          <w:sz w:val="14"/>
          <w:szCs w:val="14"/>
          <w:color w:val="auto"/>
        </w:rPr>
        <w:t/>
      </w:r>
      <w:r>
        <w:rPr>
          <w:rFonts w:ascii="Arial" w:cs="Arial" w:eastAsia="Arial" w:hAnsi="Arial"/>
          <w:sz w:val="14"/>
          <w:szCs w:val="14"/>
          <w:color w:val="auto"/>
        </w:rPr>
        <w:t>%HO</w:t>
      </w:r>
      <w:r>
        <w:rPr>
          <w:rFonts w:ascii="PMingLiU" w:cs="PMingLiU" w:eastAsia="PMingLiU" w:hAnsi="PMingLiU"/>
          <w:sz w:val="14"/>
          <w:szCs w:val="14"/>
          <w:color w:val="auto"/>
        </w:rPr>
        <w:t/>
      </w:r>
      <w:r>
        <w:rPr>
          <w:rFonts w:ascii="Arial" w:cs="Arial" w:eastAsia="Arial" w:hAnsi="Arial"/>
          <w:sz w:val="14"/>
          <w:szCs w:val="14"/>
          <w:color w:val="auto"/>
        </w:rPr>
        <w:t>LV</w:t>
      </w:r>
      <w:r>
        <w:rPr>
          <w:rFonts w:ascii="PMingLiU" w:cs="PMingLiU" w:eastAsia="PMingLiU" w:hAnsi="PMingLiU"/>
          <w:sz w:val="14"/>
          <w:szCs w:val="14"/>
          <w:color w:val="auto"/>
        </w:rPr>
        <w:t/>
      </w:r>
      <w:r>
        <w:rPr>
          <w:rFonts w:ascii="Arial" w:cs="Arial" w:eastAsia="Arial" w:hAnsi="Arial"/>
          <w:sz w:val="14"/>
          <w:szCs w:val="14"/>
          <w:color w:val="auto"/>
        </w:rPr>
        <w:t>FOHDU</w:t>
      </w:r>
      <w:r>
        <w:rPr>
          <w:rFonts w:ascii="PMingLiU" w:cs="PMingLiU" w:eastAsia="PMingLiU" w:hAnsi="PMingLiU"/>
          <w:sz w:val="14"/>
          <w:szCs w:val="14"/>
          <w:color w:val="auto"/>
        </w:rPr>
        <w:t/>
      </w:r>
      <w:r>
        <w:rPr>
          <w:rFonts w:ascii="Arial" w:cs="Arial" w:eastAsia="Arial" w:hAnsi="Arial"/>
          <w:sz w:val="14"/>
          <w:szCs w:val="14"/>
          <w:color w:val="auto"/>
        </w:rPr>
        <w:t>WR</w:t>
      </w:r>
      <w:r>
        <w:rPr>
          <w:rFonts w:ascii="PMingLiU" w:cs="PMingLiU" w:eastAsia="PMingLiU" w:hAnsi="PMingLiU"/>
          <w:sz w:val="14"/>
          <w:szCs w:val="14"/>
          <w:color w:val="auto"/>
        </w:rPr>
        <w:t/>
      </w:r>
      <w:r>
        <w:rPr>
          <w:rFonts w:ascii="Arial" w:cs="Arial" w:eastAsia="Arial" w:hAnsi="Arial"/>
          <w:sz w:val="14"/>
          <w:szCs w:val="14"/>
          <w:color w:val="auto"/>
        </w:rPr>
        <w:t>PH</w:t>
      </w:r>
      <w:r>
        <w:rPr>
          <w:rFonts w:ascii="PMingLiU" w:cs="PMingLiU" w:eastAsia="PMingLiU" w:hAnsi="PMingLiU"/>
          <w:sz w:val="14"/>
          <w:szCs w:val="14"/>
          <w:color w:val="auto"/>
        </w:rPr>
        <w:t/>
      </w:r>
      <w:r>
        <w:rPr>
          <w:rFonts w:ascii="Arial" w:cs="Arial" w:eastAsia="Arial" w:hAnsi="Arial"/>
          <w:sz w:val="14"/>
          <w:szCs w:val="14"/>
          <w:color w:val="auto"/>
        </w:rPr>
        <w:t>7KHUH</w:t>
      </w:r>
      <w:r>
        <w:rPr>
          <w:rFonts w:ascii="PMingLiU" w:cs="PMingLiU" w:eastAsia="PMingLiU" w:hAnsi="PMingLiU"/>
          <w:sz w:val="14"/>
          <w:szCs w:val="14"/>
          <w:color w:val="auto"/>
        </w:rPr>
        <w:t/>
      </w:r>
      <w:r>
        <w:rPr>
          <w:rFonts w:ascii="Arial" w:cs="Arial" w:eastAsia="Arial" w:hAnsi="Arial"/>
          <w:sz w:val="14"/>
          <w:szCs w:val="14"/>
          <w:color w:val="auto"/>
        </w:rPr>
        <w:t>LV</w:t>
      </w:r>
      <w:r>
        <w:rPr>
          <w:rFonts w:ascii="PMingLiU" w:cs="PMingLiU" w:eastAsia="PMingLiU" w:hAnsi="PMingLiU"/>
          <w:sz w:val="14"/>
          <w:szCs w:val="14"/>
          <w:color w:val="auto"/>
        </w:rPr>
        <w:t/>
      </w:r>
      <w:r>
        <w:rPr>
          <w:rFonts w:ascii="Arial" w:cs="Arial" w:eastAsia="Arial" w:hAnsi="Arial"/>
          <w:sz w:val="14"/>
          <w:szCs w:val="14"/>
          <w:color w:val="auto"/>
        </w:rPr>
        <w:t>D</w:t>
      </w:r>
      <w:r>
        <w:rPr>
          <w:rFonts w:ascii="PMingLiU" w:cs="PMingLiU" w:eastAsia="PMingLiU" w:hAnsi="PMingLiU"/>
          <w:sz w:val="14"/>
          <w:szCs w:val="14"/>
          <w:color w:val="auto"/>
        </w:rPr>
        <w:t/>
      </w:r>
      <w:r>
        <w:rPr>
          <w:rFonts w:ascii="Arial" w:cs="Arial" w:eastAsia="Arial" w:hAnsi="Arial"/>
          <w:sz w:val="14"/>
          <w:szCs w:val="14"/>
          <w:color w:val="auto"/>
        </w:rPr>
        <w:t>UHQHZHG</w:t>
      </w:r>
      <w:r>
        <w:rPr>
          <w:rFonts w:ascii="PMingLiU" w:cs="PMingLiU" w:eastAsia="PMingLiU" w:hAnsi="PMingLiU"/>
          <w:sz w:val="14"/>
          <w:szCs w:val="14"/>
          <w:color w:val="auto"/>
        </w:rPr>
        <w:t/>
      </w:r>
      <w:r>
        <w:rPr>
          <w:rFonts w:ascii="Arial" w:cs="Arial" w:eastAsia="Arial" w:hAnsi="Arial"/>
          <w:sz w:val="14"/>
          <w:szCs w:val="14"/>
          <w:color w:val="auto"/>
        </w:rPr>
        <w:t xml:space="preserve"> VSLULW</w:t>
      </w:r>
      <w:r>
        <w:rPr>
          <w:rFonts w:ascii="PMingLiU" w:cs="PMingLiU" w:eastAsia="PMingLiU" w:hAnsi="PMingLiU"/>
          <w:sz w:val="14"/>
          <w:szCs w:val="14"/>
          <w:color w:val="auto"/>
        </w:rPr>
        <w:t/>
      </w:r>
      <w:r>
        <w:rPr>
          <w:rFonts w:ascii="Arial" w:cs="Arial" w:eastAsia="Arial" w:hAnsi="Arial"/>
          <w:sz w:val="14"/>
          <w:szCs w:val="14"/>
          <w:color w:val="auto"/>
        </w:rPr>
        <w:t>RI</w:t>
      </w:r>
      <w:r>
        <w:rPr>
          <w:rFonts w:ascii="PMingLiU" w:cs="PMingLiU" w:eastAsia="PMingLiU" w:hAnsi="PMingLiU"/>
          <w:sz w:val="14"/>
          <w:szCs w:val="14"/>
          <w:color w:val="auto"/>
        </w:rPr>
        <w:t/>
      </w:r>
      <w:r>
        <w:rPr>
          <w:rFonts w:ascii="Arial" w:cs="Arial" w:eastAsia="Arial" w:hAnsi="Arial"/>
          <w:sz w:val="14"/>
          <w:szCs w:val="14"/>
          <w:color w:val="auto"/>
        </w:rPr>
        <w:t>FROODERUDWLRQ</w:t>
      </w:r>
      <w:r>
        <w:rPr>
          <w:rFonts w:ascii="PMingLiU" w:cs="PMingLiU" w:eastAsia="PMingLiU" w:hAnsi="PMingLiU"/>
          <w:sz w:val="14"/>
          <w:szCs w:val="14"/>
          <w:color w:val="auto"/>
        </w:rPr>
        <w:t/>
      </w:r>
      <w:r>
        <w:rPr>
          <w:rFonts w:ascii="Arial" w:cs="Arial" w:eastAsia="Arial" w:hAnsi="Arial"/>
          <w:sz w:val="14"/>
          <w:szCs w:val="14"/>
          <w:color w:val="auto"/>
        </w:rPr>
        <w:t>VWUDWHJLF</w:t>
      </w:r>
      <w:r>
        <w:rPr>
          <w:rFonts w:ascii="PMingLiU" w:cs="PMingLiU" w:eastAsia="PMingLiU" w:hAnsi="PMingLiU"/>
          <w:sz w:val="14"/>
          <w:szCs w:val="14"/>
          <w:color w:val="auto"/>
        </w:rPr>
        <w:t/>
      </w:r>
      <w:r>
        <w:rPr>
          <w:rFonts w:ascii="Arial" w:cs="Arial" w:eastAsia="Arial" w:hAnsi="Arial"/>
          <w:sz w:val="14"/>
          <w:szCs w:val="14"/>
          <w:color w:val="auto"/>
        </w:rPr>
        <w:t>WKLQNLQJ</w:t>
      </w:r>
      <w:r>
        <w:rPr>
          <w:rFonts w:ascii="PMingLiU" w:cs="PMingLiU" w:eastAsia="PMingLiU" w:hAnsi="PMingLiU"/>
          <w:sz w:val="14"/>
          <w:szCs w:val="14"/>
          <w:color w:val="auto"/>
        </w:rPr>
        <w:t/>
      </w:r>
      <w:r>
        <w:rPr>
          <w:rFonts w:ascii="Arial" w:cs="Arial" w:eastAsia="Arial" w:hAnsi="Arial"/>
          <w:sz w:val="14"/>
          <w:szCs w:val="14"/>
          <w:color w:val="auto"/>
        </w:rPr>
        <w:t>DQG</w:t>
      </w:r>
      <w:r>
        <w:rPr>
          <w:rFonts w:ascii="PMingLiU" w:cs="PMingLiU" w:eastAsia="PMingLiU" w:hAnsi="PMingLiU"/>
          <w:sz w:val="14"/>
          <w:szCs w:val="14"/>
          <w:color w:val="auto"/>
        </w:rPr>
        <w:t/>
      </w:r>
      <w:r>
        <w:rPr>
          <w:rFonts w:ascii="Arial" w:cs="Arial" w:eastAsia="Arial" w:hAnsi="Arial"/>
          <w:sz w:val="14"/>
          <w:szCs w:val="14"/>
          <w:color w:val="auto"/>
        </w:rPr>
        <w:t>HQWUHSUHQHXULDO</w:t>
      </w:r>
      <w:r>
        <w:rPr>
          <w:rFonts w:ascii="PMingLiU" w:cs="PMingLiU" w:eastAsia="PMingLiU" w:hAnsi="PMingLiU"/>
          <w:sz w:val="14"/>
          <w:szCs w:val="14"/>
          <w:color w:val="auto"/>
        </w:rPr>
        <w:t/>
      </w:r>
      <w:r>
        <w:rPr>
          <w:rFonts w:ascii="Arial" w:cs="Arial" w:eastAsia="Arial" w:hAnsi="Arial"/>
          <w:sz w:val="14"/>
          <w:szCs w:val="14"/>
          <w:color w:val="auto"/>
        </w:rPr>
        <w:t>HQHUJ\</w:t>
      </w:r>
      <w:r>
        <w:rPr>
          <w:rFonts w:ascii="PMingLiU" w:cs="PMingLiU" w:eastAsia="PMingLiU" w:hAnsi="PMingLiU"/>
          <w:sz w:val="14"/>
          <w:szCs w:val="14"/>
          <w:color w:val="auto"/>
        </w:rPr>
        <w:t/>
      </w:r>
      <w:r>
        <w:rPr>
          <w:rFonts w:ascii="Arial" w:cs="Arial" w:eastAsia="Arial" w:hAnsi="Arial"/>
          <w:sz w:val="14"/>
          <w:szCs w:val="14"/>
          <w:color w:val="auto"/>
        </w:rPr>
        <w:t>DFURVV</w:t>
      </w:r>
      <w:r>
        <w:rPr>
          <w:rFonts w:ascii="PMingLiU" w:cs="PMingLiU" w:eastAsia="PMingLiU" w:hAnsi="PMingLiU"/>
          <w:sz w:val="14"/>
          <w:szCs w:val="14"/>
          <w:color w:val="auto"/>
        </w:rPr>
        <w:t/>
      </w:r>
      <w:r>
        <w:rPr>
          <w:rFonts w:ascii="Arial" w:cs="Arial" w:eastAsia="Arial" w:hAnsi="Arial"/>
          <w:sz w:val="14"/>
          <w:szCs w:val="14"/>
          <w:color w:val="auto"/>
        </w:rPr>
        <w:t>RXU</w:t>
      </w:r>
      <w:r>
        <w:rPr>
          <w:rFonts w:ascii="PMingLiU" w:cs="PMingLiU" w:eastAsia="PMingLiU" w:hAnsi="PMingLiU"/>
          <w:sz w:val="14"/>
          <w:szCs w:val="14"/>
          <w:color w:val="auto"/>
        </w:rPr>
        <w:t/>
      </w:r>
      <w:r>
        <w:rPr>
          <w:rFonts w:ascii="Arial" w:cs="Arial" w:eastAsia="Arial" w:hAnsi="Arial"/>
          <w:sz w:val="14"/>
          <w:szCs w:val="14"/>
          <w:color w:val="auto"/>
        </w:rPr>
        <w:t>JOREDO RUJDQL]DWLRQ</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DP</w:t>
      </w:r>
      <w:r>
        <w:rPr>
          <w:rFonts w:ascii="PMingLiU" w:cs="PMingLiU" w:eastAsia="PMingLiU" w:hAnsi="PMingLiU"/>
          <w:sz w:val="14"/>
          <w:szCs w:val="14"/>
          <w:color w:val="auto"/>
        </w:rPr>
        <w:t/>
      </w:r>
      <w:r>
        <w:rPr>
          <w:rFonts w:ascii="Arial" w:cs="Arial" w:eastAsia="Arial" w:hAnsi="Arial"/>
          <w:sz w:val="14"/>
          <w:szCs w:val="14"/>
          <w:color w:val="auto"/>
        </w:rPr>
        <w:t>FRQ´GHQW</w:t>
      </w:r>
      <w:r>
        <w:rPr>
          <w:rFonts w:ascii="PMingLiU" w:cs="PMingLiU" w:eastAsia="PMingLiU" w:hAnsi="PMingLiU"/>
          <w:sz w:val="14"/>
          <w:szCs w:val="14"/>
          <w:color w:val="auto"/>
        </w:rPr>
        <w:t/>
      </w:r>
      <w:r>
        <w:rPr>
          <w:rFonts w:ascii="Arial" w:cs="Arial" w:eastAsia="Arial" w:hAnsi="Arial"/>
          <w:sz w:val="14"/>
          <w:szCs w:val="14"/>
          <w:color w:val="auto"/>
        </w:rPr>
        <w:t>WKDW</w:t>
      </w:r>
      <w:r>
        <w:rPr>
          <w:rFonts w:ascii="PMingLiU" w:cs="PMingLiU" w:eastAsia="PMingLiU" w:hAnsi="PMingLiU"/>
          <w:sz w:val="14"/>
          <w:szCs w:val="14"/>
          <w:color w:val="auto"/>
        </w:rPr>
        <w:t/>
      </w:r>
      <w:r>
        <w:rPr>
          <w:rFonts w:ascii="Arial" w:cs="Arial" w:eastAsia="Arial" w:hAnsi="Arial"/>
          <w:sz w:val="14"/>
          <w:szCs w:val="14"/>
          <w:color w:val="auto"/>
        </w:rPr>
        <w:t>E\</w:t>
      </w:r>
      <w:r>
        <w:rPr>
          <w:rFonts w:ascii="PMingLiU" w:cs="PMingLiU" w:eastAsia="PMingLiU" w:hAnsi="PMingLiU"/>
          <w:sz w:val="14"/>
          <w:szCs w:val="14"/>
          <w:color w:val="auto"/>
        </w:rPr>
        <w:t/>
      </w:r>
      <w:r>
        <w:rPr>
          <w:rFonts w:ascii="Arial" w:cs="Arial" w:eastAsia="Arial" w:hAnsi="Arial"/>
          <w:sz w:val="14"/>
          <w:szCs w:val="14"/>
          <w:color w:val="auto"/>
        </w:rPr>
        <w:t>ZRUNLQJ</w:t>
      </w:r>
      <w:r>
        <w:rPr>
          <w:rFonts w:ascii="PMingLiU" w:cs="PMingLiU" w:eastAsia="PMingLiU" w:hAnsi="PMingLiU"/>
          <w:sz w:val="14"/>
          <w:szCs w:val="14"/>
          <w:color w:val="auto"/>
        </w:rPr>
        <w:t/>
      </w:r>
      <w:r>
        <w:rPr>
          <w:rFonts w:ascii="Arial" w:cs="Arial" w:eastAsia="Arial" w:hAnsi="Arial"/>
          <w:sz w:val="14"/>
          <w:szCs w:val="14"/>
          <w:color w:val="auto"/>
        </w:rPr>
        <w:t>WRJHWKHU</w:t>
      </w:r>
      <w:r>
        <w:rPr>
          <w:rFonts w:ascii="PMingLiU" w:cs="PMingLiU" w:eastAsia="PMingLiU" w:hAnsi="PMingLiU"/>
          <w:sz w:val="14"/>
          <w:szCs w:val="14"/>
          <w:color w:val="auto"/>
        </w:rPr>
        <w:t/>
      </w:r>
      <w:r>
        <w:rPr>
          <w:rFonts w:ascii="Arial" w:cs="Arial" w:eastAsia="Arial" w:hAnsi="Arial"/>
          <w:sz w:val="14"/>
          <w:szCs w:val="14"/>
          <w:color w:val="auto"/>
        </w:rPr>
        <w:t>VWD\LQJ</w:t>
      </w:r>
      <w:r>
        <w:rPr>
          <w:rFonts w:ascii="PMingLiU" w:cs="PMingLiU" w:eastAsia="PMingLiU" w:hAnsi="PMingLiU"/>
          <w:sz w:val="14"/>
          <w:szCs w:val="14"/>
          <w:color w:val="auto"/>
        </w:rPr>
        <w:t/>
      </w:r>
      <w:r>
        <w:rPr>
          <w:rFonts w:ascii="Arial" w:cs="Arial" w:eastAsia="Arial" w:hAnsi="Arial"/>
          <w:sz w:val="14"/>
          <w:szCs w:val="14"/>
          <w:color w:val="auto"/>
        </w:rPr>
        <w:t>FXVWRPHU</w:t>
      </w:r>
      <w:r>
        <w:rPr>
          <w:rFonts w:ascii="PMingLiU" w:cs="PMingLiU" w:eastAsia="PMingLiU" w:hAnsi="PMingLiU"/>
          <w:sz w:val="14"/>
          <w:szCs w:val="14"/>
          <w:color w:val="auto"/>
        </w:rPr>
        <w:t/>
      </w:r>
      <w:r>
        <w:rPr>
          <w:rFonts w:ascii="Arial" w:cs="Arial" w:eastAsia="Arial" w:hAnsi="Arial"/>
          <w:sz w:val="14"/>
          <w:szCs w:val="14"/>
          <w:color w:val="auto"/>
        </w:rPr>
        <w:t>IRFXVHG</w:t>
      </w:r>
      <w:r>
        <w:rPr>
          <w:rFonts w:ascii="PMingLiU" w:cs="PMingLiU" w:eastAsia="PMingLiU" w:hAnsi="PMingLiU"/>
          <w:sz w:val="14"/>
          <w:szCs w:val="14"/>
          <w:color w:val="auto"/>
        </w:rPr>
        <w:t/>
      </w:r>
      <w:r>
        <w:rPr>
          <w:rFonts w:ascii="Arial" w:cs="Arial" w:eastAsia="Arial" w:hAnsi="Arial"/>
          <w:sz w:val="14"/>
          <w:szCs w:val="14"/>
          <w:color w:val="auto"/>
        </w:rPr>
        <w:t>DQG</w:t>
      </w:r>
      <w:r>
        <w:rPr>
          <w:rFonts w:ascii="PMingLiU" w:cs="PMingLiU" w:eastAsia="PMingLiU" w:hAnsi="PMingLiU"/>
          <w:sz w:val="14"/>
          <w:szCs w:val="14"/>
          <w:color w:val="auto"/>
        </w:rPr>
        <w:t/>
      </w:r>
      <w:r>
        <w:rPr>
          <w:rFonts w:ascii="Arial" w:cs="Arial" w:eastAsia="Arial" w:hAnsi="Arial"/>
          <w:sz w:val="14"/>
          <w:szCs w:val="14"/>
          <w:color w:val="auto"/>
        </w:rPr>
        <w:t xml:space="preserve"> H[HFXWLQJ</w:t>
      </w:r>
      <w:r>
        <w:rPr>
          <w:rFonts w:ascii="PMingLiU" w:cs="PMingLiU" w:eastAsia="PMingLiU" w:hAnsi="PMingLiU"/>
          <w:sz w:val="14"/>
          <w:szCs w:val="14"/>
          <w:color w:val="auto"/>
        </w:rPr>
        <w:t/>
      </w:r>
      <w:r>
        <w:rPr>
          <w:rFonts w:ascii="Arial" w:cs="Arial" w:eastAsia="Arial" w:hAnsi="Arial"/>
          <w:sz w:val="14"/>
          <w:szCs w:val="14"/>
          <w:color w:val="auto"/>
        </w:rPr>
        <w:t>RXU</w:t>
      </w:r>
      <w:r>
        <w:rPr>
          <w:rFonts w:ascii="PMingLiU" w:cs="PMingLiU" w:eastAsia="PMingLiU" w:hAnsi="PMingLiU"/>
          <w:sz w:val="14"/>
          <w:szCs w:val="14"/>
          <w:color w:val="auto"/>
        </w:rPr>
        <w:t/>
      </w:r>
      <w:r>
        <w:rPr>
          <w:rFonts w:ascii="Arial" w:cs="Arial" w:eastAsia="Arial" w:hAnsi="Arial"/>
          <w:sz w:val="14"/>
          <w:szCs w:val="14"/>
          <w:color w:val="auto"/>
        </w:rPr>
        <w:t>VWUDWHJ\</w:t>
      </w:r>
      <w:r>
        <w:rPr>
          <w:rFonts w:ascii="PMingLiU" w:cs="PMingLiU" w:eastAsia="PMingLiU" w:hAnsi="PMingLiU"/>
          <w:sz w:val="14"/>
          <w:szCs w:val="14"/>
          <w:color w:val="auto"/>
        </w:rPr>
        <w:t/>
      </w:r>
      <w:r>
        <w:rPr>
          <w:rFonts w:ascii="Arial" w:cs="Arial" w:eastAsia="Arial" w:hAnsi="Arial"/>
          <w:sz w:val="14"/>
          <w:szCs w:val="14"/>
          <w:color w:val="auto"/>
        </w:rPr>
        <w:t>ZH</w:t>
      </w:r>
      <w:r>
        <w:rPr>
          <w:rFonts w:ascii="PMingLiU" w:cs="PMingLiU" w:eastAsia="PMingLiU" w:hAnsi="PMingLiU"/>
          <w:sz w:val="14"/>
          <w:szCs w:val="14"/>
          <w:color w:val="auto"/>
        </w:rPr>
        <w:t/>
      </w:r>
      <w:r>
        <w:rPr>
          <w:rFonts w:ascii="Arial" w:cs="Arial" w:eastAsia="Arial" w:hAnsi="Arial"/>
          <w:sz w:val="14"/>
          <w:szCs w:val="14"/>
          <w:color w:val="auto"/>
        </w:rPr>
        <w:t>ZLOO</w:t>
      </w:r>
      <w:r>
        <w:rPr>
          <w:rFonts w:ascii="PMingLiU" w:cs="PMingLiU" w:eastAsia="PMingLiU" w:hAnsi="PMingLiU"/>
          <w:sz w:val="14"/>
          <w:szCs w:val="14"/>
          <w:color w:val="auto"/>
        </w:rPr>
        <w:t/>
      </w:r>
      <w:r>
        <w:rPr>
          <w:rFonts w:ascii="Arial" w:cs="Arial" w:eastAsia="Arial" w:hAnsi="Arial"/>
          <w:sz w:val="14"/>
          <w:szCs w:val="14"/>
          <w:color w:val="auto"/>
        </w:rPr>
        <w:t>FRQWLQXH</w:t>
      </w:r>
      <w:r>
        <w:rPr>
          <w:rFonts w:ascii="PMingLiU" w:cs="PMingLiU" w:eastAsia="PMingLiU" w:hAnsi="PMingLiU"/>
          <w:sz w:val="14"/>
          <w:szCs w:val="14"/>
          <w:color w:val="auto"/>
        </w:rPr>
        <w:t/>
      </w:r>
      <w:r>
        <w:rPr>
          <w:rFonts w:ascii="Arial" w:cs="Arial" w:eastAsia="Arial" w:hAnsi="Arial"/>
          <w:sz w:val="14"/>
          <w:szCs w:val="14"/>
          <w:color w:val="auto"/>
        </w:rPr>
        <w:t>FUHDWLQJ</w:t>
      </w:r>
      <w:r>
        <w:rPr>
          <w:rFonts w:ascii="PMingLiU" w:cs="PMingLiU" w:eastAsia="PMingLiU" w:hAnsi="PMingLiU"/>
          <w:sz w:val="14"/>
          <w:szCs w:val="14"/>
          <w:color w:val="auto"/>
        </w:rPr>
        <w:t/>
      </w:r>
      <w:r>
        <w:rPr>
          <w:rFonts w:ascii="Arial" w:cs="Arial" w:eastAsia="Arial" w:hAnsi="Arial"/>
          <w:sz w:val="14"/>
          <w:szCs w:val="14"/>
          <w:color w:val="auto"/>
        </w:rPr>
        <w:t>YDOXH</w:t>
      </w:r>
      <w:r>
        <w:rPr>
          <w:rFonts w:ascii="PMingLiU" w:cs="PMingLiU" w:eastAsia="PMingLiU" w:hAnsi="PMingLiU"/>
          <w:sz w:val="14"/>
          <w:szCs w:val="14"/>
          <w:color w:val="auto"/>
        </w:rPr>
        <w:t/>
      </w:r>
      <w:r>
        <w:rPr>
          <w:rFonts w:ascii="Arial" w:cs="Arial" w:eastAsia="Arial" w:hAnsi="Arial"/>
          <w:sz w:val="14"/>
          <w:szCs w:val="14"/>
          <w:color w:val="auto"/>
        </w:rPr>
        <w:t>IRU</w:t>
      </w:r>
      <w:r>
        <w:rPr>
          <w:rFonts w:ascii="PMingLiU" w:cs="PMingLiU" w:eastAsia="PMingLiU" w:hAnsi="PMingLiU"/>
          <w:sz w:val="14"/>
          <w:szCs w:val="14"/>
          <w:color w:val="auto"/>
        </w:rPr>
        <w:t/>
      </w:r>
      <w:r>
        <w:rPr>
          <w:rFonts w:ascii="Arial" w:cs="Arial" w:eastAsia="Arial" w:hAnsi="Arial"/>
          <w:sz w:val="14"/>
          <w:szCs w:val="14"/>
          <w:color w:val="auto"/>
        </w:rPr>
        <w:t>RXU</w:t>
      </w:r>
      <w:r>
        <w:rPr>
          <w:rFonts w:ascii="PMingLiU" w:cs="PMingLiU" w:eastAsia="PMingLiU" w:hAnsi="PMingLiU"/>
          <w:sz w:val="14"/>
          <w:szCs w:val="14"/>
          <w:color w:val="auto"/>
        </w:rPr>
        <w:t/>
      </w:r>
      <w:r>
        <w:rPr>
          <w:rFonts w:ascii="Arial" w:cs="Arial" w:eastAsia="Arial" w:hAnsi="Arial"/>
          <w:sz w:val="14"/>
          <w:szCs w:val="14"/>
          <w:color w:val="auto"/>
        </w:rPr>
        <w:t>VKDUHKROGHUV</w:t>
      </w:r>
      <w:r>
        <w:rPr>
          <w:rFonts w:ascii="PMingLiU" w:cs="PMingLiU" w:eastAsia="PMingLiU" w:hAnsi="PMingLiU"/>
          <w:sz w:val="14"/>
          <w:szCs w:val="14"/>
          <w:color w:val="auto"/>
        </w:rPr>
        <w:t/>
      </w:r>
      <w:r>
        <w:rPr>
          <w:rFonts w:ascii="Arial" w:cs="Arial" w:eastAsia="Arial" w:hAnsi="Arial"/>
          <w:sz w:val="14"/>
          <w:szCs w:val="14"/>
          <w:color w:val="auto"/>
        </w:rPr>
        <w:t>LQ</w:t>
      </w:r>
      <w:r>
        <w:rPr>
          <w:rFonts w:ascii="PMingLiU" w:cs="PMingLiU" w:eastAsia="PMingLiU" w:hAnsi="PMingLiU"/>
          <w:sz w:val="14"/>
          <w:szCs w:val="14"/>
          <w:color w:val="auto"/>
        </w:rPr>
        <w:t/>
      </w:r>
      <w:r>
        <w:rPr>
          <w:rFonts w:ascii="Arial" w:cs="Arial" w:eastAsia="Arial" w:hAnsi="Arial"/>
          <w:sz w:val="14"/>
          <w:szCs w:val="14"/>
          <w:color w:val="auto"/>
        </w:rPr>
        <w:t xml:space="preserve"> and beyond.</w:t>
      </w:r>
    </w:p>
    <w:p>
      <w:pPr>
        <w:spacing w:after="0" w:line="268" w:lineRule="exact"/>
        <w:rPr>
          <w:sz w:val="20"/>
          <w:szCs w:val="20"/>
          <w:color w:val="auto"/>
        </w:rPr>
      </w:pPr>
    </w:p>
    <w:p>
      <w:pPr>
        <w:ind w:right="1900"/>
        <w:spacing w:after="0" w:line="241" w:lineRule="exact"/>
        <w:rPr>
          <w:sz w:val="20"/>
          <w:szCs w:val="20"/>
          <w:color w:val="auto"/>
        </w:rPr>
      </w:pPr>
      <w:r>
        <w:rPr>
          <w:rFonts w:ascii="Arial" w:cs="Arial" w:eastAsia="Arial" w:hAnsi="Arial"/>
          <w:sz w:val="16"/>
          <w:szCs w:val="16"/>
          <w:color w:val="auto"/>
        </w:rPr>
        <w:t>7KDQN</w:t>
      </w:r>
      <w:r>
        <w:rPr>
          <w:rFonts w:ascii="PMingLiU" w:cs="PMingLiU" w:eastAsia="PMingLiU" w:hAnsi="PMingLiU"/>
          <w:sz w:val="16"/>
          <w:szCs w:val="16"/>
          <w:color w:val="auto"/>
        </w:rPr>
        <w:t/>
      </w:r>
      <w:r>
        <w:rPr>
          <w:rFonts w:ascii="Arial" w:cs="Arial" w:eastAsia="Arial" w:hAnsi="Arial"/>
          <w:sz w:val="16"/>
          <w:szCs w:val="16"/>
          <w:color w:val="auto"/>
        </w:rPr>
        <w:t>\RX</w:t>
      </w:r>
      <w:r>
        <w:rPr>
          <w:rFonts w:ascii="PMingLiU" w:cs="PMingLiU" w:eastAsia="PMingLiU" w:hAnsi="PMingLiU"/>
          <w:sz w:val="16"/>
          <w:szCs w:val="16"/>
          <w:color w:val="auto"/>
        </w:rPr>
        <w:t/>
      </w:r>
      <w:r>
        <w:rPr>
          <w:rFonts w:ascii="Arial" w:cs="Arial" w:eastAsia="Arial" w:hAnsi="Arial"/>
          <w:sz w:val="16"/>
          <w:szCs w:val="16"/>
          <w:color w:val="auto"/>
        </w:rPr>
        <w:t>IRU</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WUXVW</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VXSSRUW</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ORRN</w:t>
      </w:r>
      <w:r>
        <w:rPr>
          <w:rFonts w:ascii="PMingLiU" w:cs="PMingLiU" w:eastAsia="PMingLiU" w:hAnsi="PMingLiU"/>
          <w:sz w:val="16"/>
          <w:szCs w:val="16"/>
          <w:color w:val="auto"/>
        </w:rPr>
        <w:t/>
      </w:r>
      <w:r>
        <w:rPr>
          <w:rFonts w:ascii="Arial" w:cs="Arial" w:eastAsia="Arial" w:hAnsi="Arial"/>
          <w:sz w:val="16"/>
          <w:szCs w:val="16"/>
          <w:color w:val="auto"/>
        </w:rPr>
        <w:t>IRUZDUG</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VKDULQJ</w:t>
      </w:r>
      <w:r>
        <w:rPr>
          <w:rFonts w:ascii="PMingLiU" w:cs="PMingLiU" w:eastAsia="PMingLiU" w:hAnsi="PMingLiU"/>
          <w:sz w:val="16"/>
          <w:szCs w:val="16"/>
          <w:color w:val="auto"/>
        </w:rPr>
        <w:t/>
      </w:r>
      <w:r>
        <w:rPr>
          <w:rFonts w:ascii="Arial" w:cs="Arial" w:eastAsia="Arial" w:hAnsi="Arial"/>
          <w:sz w:val="16"/>
          <w:szCs w:val="16"/>
          <w:color w:val="auto"/>
        </w:rPr>
        <w:t>DQRWKHU</w:t>
      </w:r>
      <w:r>
        <w:rPr>
          <w:rFonts w:ascii="PMingLiU" w:cs="PMingLiU" w:eastAsia="PMingLiU" w:hAnsi="PMingLiU"/>
          <w:sz w:val="16"/>
          <w:szCs w:val="16"/>
          <w:color w:val="auto"/>
        </w:rPr>
        <w:t/>
      </w:r>
      <w:r>
        <w:rPr>
          <w:rFonts w:ascii="Arial" w:cs="Arial" w:eastAsia="Arial" w:hAnsi="Arial"/>
          <w:sz w:val="16"/>
          <w:szCs w:val="16"/>
          <w:color w:val="auto"/>
        </w:rPr>
        <w:t>H[FLWLQJ</w:t>
      </w:r>
      <w:r>
        <w:rPr>
          <w:rFonts w:ascii="PMingLiU" w:cs="PMingLiU" w:eastAsia="PMingLiU" w:hAnsi="PMingLiU"/>
          <w:sz w:val="16"/>
          <w:szCs w:val="16"/>
          <w:color w:val="auto"/>
        </w:rPr>
        <w:t/>
      </w:r>
      <w:r>
        <w:rPr>
          <w:rFonts w:ascii="Arial" w:cs="Arial" w:eastAsia="Arial" w:hAnsi="Arial"/>
          <w:sz w:val="16"/>
          <w:szCs w:val="16"/>
          <w:color w:val="auto"/>
        </w:rPr>
        <w:t>\HDU</w:t>
      </w:r>
      <w:r>
        <w:rPr>
          <w:rFonts w:ascii="PMingLiU" w:cs="PMingLiU" w:eastAsia="PMingLiU" w:hAnsi="PMingLiU"/>
          <w:sz w:val="16"/>
          <w:szCs w:val="16"/>
          <w:color w:val="auto"/>
        </w:rPr>
        <w:t/>
      </w:r>
      <w:r>
        <w:rPr>
          <w:rFonts w:ascii="Arial" w:cs="Arial" w:eastAsia="Arial" w:hAnsi="Arial"/>
          <w:sz w:val="16"/>
          <w:szCs w:val="16"/>
          <w:color w:val="auto"/>
        </w:rPr>
        <w:t xml:space="preserve"> of strategic growth and achievement with you.</w:t>
      </w:r>
    </w:p>
    <w:p>
      <w:pPr>
        <w:spacing w:after="0" w:line="235"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:LWK</w:t>
      </w:r>
      <w:r>
        <w:rPr>
          <w:rFonts w:ascii="PMingLiU" w:cs="PMingLiU" w:eastAsia="PMingLiU" w:hAnsi="PMingLiU"/>
          <w:sz w:val="19"/>
          <w:szCs w:val="19"/>
          <w:color w:val="auto"/>
        </w:rPr>
        <w:t/>
      </w:r>
      <w:r>
        <w:rPr>
          <w:rFonts w:ascii="Arial" w:cs="Arial" w:eastAsia="Arial" w:hAnsi="Arial"/>
          <w:sz w:val="19"/>
          <w:szCs w:val="19"/>
          <w:color w:val="auto"/>
        </w:rPr>
        <w:t>JUDWLWXGH</w:t>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86360</wp:posOffset>
            </wp:positionV>
            <wp:extent cx="4966970" cy="152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66970" cy="152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006691"/>
        </w:rPr>
        <w:t>Farouq Tuweiq</w:t>
      </w:r>
    </w:p>
    <w:p>
      <w:pPr>
        <w:spacing w:after="0" w:line="56"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3UHVLGHQW</w:t>
      </w:r>
      <w:r>
        <w:rPr>
          <w:rFonts w:ascii="PMingLiU" w:cs="PMingLiU" w:eastAsia="PMingLiU" w:hAnsi="PMingLiU"/>
          <w:sz w:val="19"/>
          <w:szCs w:val="19"/>
          <w:color w:val="auto"/>
        </w:rPr>
        <w:t/>
      </w:r>
      <w:r>
        <w:rPr>
          <w:rFonts w:ascii="Arial" w:cs="Arial" w:eastAsia="Arial" w:hAnsi="Arial"/>
          <w:sz w:val="19"/>
          <w:szCs w:val="19"/>
          <w:color w:val="auto"/>
        </w:rPr>
        <w:t>DQG</w:t>
      </w:r>
      <w:r>
        <w:rPr>
          <w:rFonts w:ascii="PMingLiU" w:cs="PMingLiU" w:eastAsia="PMingLiU" w:hAnsi="PMingLiU"/>
          <w:sz w:val="19"/>
          <w:szCs w:val="19"/>
          <w:color w:val="auto"/>
        </w:rPr>
        <w:t/>
      </w:r>
      <w:r>
        <w:rPr>
          <w:rFonts w:ascii="Arial" w:cs="Arial" w:eastAsia="Arial" w:hAnsi="Arial"/>
          <w:sz w:val="19"/>
          <w:szCs w:val="19"/>
          <w:color w:val="auto"/>
        </w:rPr>
        <w:t>&amp;KLHI</w:t>
      </w:r>
      <w:r>
        <w:rPr>
          <w:rFonts w:ascii="PMingLiU" w:cs="PMingLiU" w:eastAsia="PMingLiU" w:hAnsi="PMingLiU"/>
          <w:sz w:val="19"/>
          <w:szCs w:val="19"/>
          <w:color w:val="auto"/>
        </w:rPr>
        <w:t/>
      </w:r>
      <w:r>
        <w:rPr>
          <w:rFonts w:ascii="Arial" w:cs="Arial" w:eastAsia="Arial" w:hAnsi="Arial"/>
          <w:sz w:val="19"/>
          <w:szCs w:val="19"/>
          <w:color w:val="auto"/>
        </w:rPr>
        <w:t>([HFXWLYH</w:t>
      </w:r>
      <w:r>
        <w:rPr>
          <w:rFonts w:ascii="PMingLiU" w:cs="PMingLiU" w:eastAsia="PMingLiU" w:hAnsi="PMingLiU"/>
          <w:sz w:val="19"/>
          <w:szCs w:val="19"/>
          <w:color w:val="auto"/>
        </w:rPr>
        <w:t/>
      </w:r>
      <w:r>
        <w:rPr>
          <w:rFonts w:ascii="Arial" w:cs="Arial" w:eastAsia="Arial" w:hAnsi="Arial"/>
          <w:sz w:val="19"/>
          <w:szCs w:val="19"/>
          <w:color w:val="auto"/>
        </w:rPr>
        <w:t>2I´FHU</w:t>
      </w:r>
    </w:p>
    <w:p>
      <w:pPr>
        <w:sectPr>
          <w:pgSz w:w="12240" w:h="15840" w:orient="portrait"/>
          <w:cols w:equalWidth="0" w:num="1">
            <w:col w:w="9720"/>
          </w:cols>
          <w:pgMar w:left="1080" w:top="1440" w:right="1440" w:bottom="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0086B7"/>
        </w:rPr>
        <w:t>4</w:t>
      </w:r>
    </w:p>
    <w:p>
      <w:pPr>
        <w:sectPr>
          <w:pgSz w:w="12240" w:h="15840" w:orient="portrait"/>
          <w:cols w:equalWidth="0" w:num="1">
            <w:col w:w="9720"/>
          </w:cols>
          <w:pgMar w:left="1080" w:top="1440" w:right="1440" w:bottom="82" w:gutter="0" w:footer="0" w:header="0"/>
          <w:type w:val="continuous"/>
        </w:sectPr>
      </w:pPr>
    </w:p>
    <w:bookmarkStart w:id="6" w:name="page7"/>
    <w:bookmarkEnd w:id="6"/>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4340"/>
        <w:spacing w:after="0"/>
        <w:rPr>
          <w:sz w:val="20"/>
          <w:szCs w:val="20"/>
          <w:color w:val="auto"/>
        </w:rPr>
      </w:pPr>
      <w:r>
        <w:rPr>
          <w:rFonts w:ascii="Arial" w:cs="Arial" w:eastAsia="Arial" w:hAnsi="Arial"/>
          <w:sz w:val="20"/>
          <w:szCs w:val="20"/>
          <w:b w:val="1"/>
          <w:bCs w:val="1"/>
          <w:color w:val="auto"/>
        </w:rPr>
        <w:t>_____________________</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204" w:lineRule="exact"/>
        <w:rPr>
          <w:sz w:val="20"/>
          <w:szCs w:val="20"/>
          <w:color w:val="auto"/>
        </w:rPr>
      </w:pPr>
    </w:p>
    <w:p>
      <w:pPr>
        <w:ind w:left="480" w:right="560" w:hanging="475"/>
        <w:spacing w:after="0" w:line="284" w:lineRule="auto"/>
        <w:tabs>
          <w:tab w:leader="none" w:pos="480" w:val="left"/>
        </w:tabs>
        <w:numPr>
          <w:ilvl w:val="0"/>
          <w:numId w:val="4"/>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 xml:space="preserve">ANNUAL REPORT PURSUANT TO SECTION 13 OR 15(d) OF THE SECURITIES EXCHANGE ACT OF 1934 </w:t>
      </w:r>
      <w:r>
        <w:rPr>
          <w:rFonts w:ascii="Arial" w:cs="Arial" w:eastAsia="Arial" w:hAnsi="Arial"/>
          <w:sz w:val="20"/>
          <w:szCs w:val="20"/>
          <w:color w:val="auto"/>
        </w:rPr>
        <w:t>For the Fiscal Year Ended December 31, 2025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or</w:t>
      </w:r>
    </w:p>
    <w:p>
      <w:pPr>
        <w:spacing w:after="0" w:line="4" w:lineRule="exact"/>
        <w:rPr>
          <w:sz w:val="20"/>
          <w:szCs w:val="20"/>
          <w:color w:val="auto"/>
        </w:rPr>
      </w:pPr>
    </w:p>
    <w:p>
      <w:pPr>
        <w:ind w:left="480" w:right="140" w:hanging="475"/>
        <w:spacing w:after="0" w:line="304" w:lineRule="auto"/>
        <w:tabs>
          <w:tab w:leader="none" w:pos="480" w:val="left"/>
        </w:tabs>
        <w:numPr>
          <w:ilvl w:val="0"/>
          <w:numId w:val="5"/>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 xml:space="preserve">TRANSITION REPORT PURSUANT TO SECTION 13 OR 15(d) OF THE SECURITIES EXCHANGE ACT OF 1934 </w:t>
      </w:r>
      <w:r>
        <w:rPr>
          <w:rFonts w:ascii="Arial" w:cs="Arial" w:eastAsia="Arial" w:hAnsi="Arial"/>
          <w:sz w:val="20"/>
          <w:szCs w:val="20"/>
          <w:color w:val="auto"/>
        </w:rPr>
        <w:t>For the transition period from ___________ to ____________</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Commission File No. 000-11676</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_____________________</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BEL FUSE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8" w:lineRule="exact"/>
        <w:rPr>
          <w:sz w:val="20"/>
          <w:szCs w:val="20"/>
          <w:color w:val="auto"/>
        </w:rPr>
      </w:pPr>
    </w:p>
    <w:p>
      <w:pPr>
        <w:ind w:left="2700"/>
        <w:spacing w:after="0"/>
        <w:tabs>
          <w:tab w:leader="none" w:pos="7120" w:val="left"/>
        </w:tabs>
        <w:rPr>
          <w:sz w:val="20"/>
          <w:szCs w:val="20"/>
          <w:color w:val="auto"/>
        </w:rPr>
      </w:pPr>
      <w:r>
        <w:rPr>
          <w:rFonts w:ascii="Arial" w:cs="Arial" w:eastAsia="Arial" w:hAnsi="Arial"/>
          <w:sz w:val="20"/>
          <w:szCs w:val="20"/>
          <w:color w:val="auto"/>
        </w:rPr>
        <w:t>New Jersey</w:t>
      </w:r>
      <w:r>
        <w:rPr>
          <w:sz w:val="20"/>
          <w:szCs w:val="20"/>
          <w:color w:val="auto"/>
        </w:rPr>
        <w:tab/>
      </w:r>
      <w:r>
        <w:rPr>
          <w:rFonts w:ascii="Arial" w:cs="Arial" w:eastAsia="Arial" w:hAnsi="Arial"/>
          <w:sz w:val="18"/>
          <w:szCs w:val="18"/>
          <w:color w:val="auto"/>
        </w:rPr>
        <w:t>22-1463699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3810</wp:posOffset>
            </wp:positionV>
            <wp:extent cx="517334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3345" cy="34290"/>
                    </a:xfrm>
                    <a:prstGeom prst="rect">
                      <a:avLst/>
                    </a:prstGeom>
                    <a:noFill/>
                  </pic:spPr>
                </pic:pic>
              </a:graphicData>
            </a:graphic>
          </wp:anchor>
        </w:drawing>
      </w:r>
    </w:p>
    <w:p>
      <w:pPr>
        <w:spacing w:after="0" w:line="15" w:lineRule="exact"/>
        <w:rPr>
          <w:sz w:val="20"/>
          <w:szCs w:val="20"/>
          <w:color w:val="auto"/>
        </w:rPr>
      </w:pPr>
    </w:p>
    <w:p>
      <w:pPr>
        <w:ind w:left="2240"/>
        <w:spacing w:after="0"/>
        <w:tabs>
          <w:tab w:leader="none" w:pos="6160" w:val="left"/>
        </w:tabs>
        <w:rPr>
          <w:sz w:val="20"/>
          <w:szCs w:val="20"/>
          <w:color w:val="auto"/>
        </w:rPr>
      </w:pPr>
      <w:r>
        <w:rPr>
          <w:rFonts w:ascii="Arial" w:cs="Arial" w:eastAsia="Arial" w:hAnsi="Arial"/>
          <w:sz w:val="20"/>
          <w:szCs w:val="20"/>
          <w:color w:val="auto"/>
        </w:rPr>
        <w:t>(State of incorporation)</w:t>
      </w:r>
      <w:r>
        <w:rPr>
          <w:sz w:val="20"/>
          <w:szCs w:val="20"/>
          <w:color w:val="auto"/>
        </w:rPr>
        <w:tab/>
      </w:r>
      <w:r>
        <w:rPr>
          <w:rFonts w:ascii="Arial" w:cs="Arial" w:eastAsia="Arial" w:hAnsi="Arial"/>
          <w:sz w:val="18"/>
          <w:szCs w:val="18"/>
          <w:color w:val="auto"/>
        </w:rPr>
        <w:t>(I.R.S. Employer Identification No.)</w:t>
      </w:r>
    </w:p>
    <w:p>
      <w:pPr>
        <w:spacing w:after="0" w:line="21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300 Executive Drive, Suite 300</w:t>
      </w:r>
    </w:p>
    <w:p>
      <w:pPr>
        <w:spacing w:after="0" w:line="32"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West Orange, NJ 07052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(Address of principal executive offices and zip code)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Registrant's telephone number, including area code: (201) 432-0463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263"/>
        </w:trPr>
        <w:tc>
          <w:tcPr>
            <w:tcW w:w="2240" w:type="dxa"/>
            <w:vAlign w:val="bottom"/>
          </w:tcPr>
          <w:p>
            <w:pPr>
              <w:jc w:val="center"/>
              <w:ind w:right="221"/>
              <w:spacing w:after="0"/>
              <w:rPr>
                <w:sz w:val="20"/>
                <w:szCs w:val="20"/>
                <w:color w:val="auto"/>
              </w:rPr>
            </w:pPr>
            <w:r>
              <w:rPr>
                <w:rFonts w:ascii="Arial" w:cs="Arial" w:eastAsia="Arial" w:hAnsi="Arial"/>
                <w:sz w:val="20"/>
                <w:szCs w:val="20"/>
                <w:i w:val="1"/>
                <w:iCs w:val="1"/>
                <w:color w:val="auto"/>
                <w:w w:val="91"/>
              </w:rPr>
              <w:t>Title of Each Class</w:t>
            </w:r>
          </w:p>
        </w:tc>
        <w:tc>
          <w:tcPr>
            <w:tcW w:w="1860" w:type="dxa"/>
            <w:vAlign w:val="bottom"/>
          </w:tcPr>
          <w:p>
            <w:pPr>
              <w:jc w:val="center"/>
              <w:spacing w:after="0"/>
              <w:rPr>
                <w:sz w:val="20"/>
                <w:szCs w:val="20"/>
                <w:color w:val="auto"/>
              </w:rPr>
            </w:pPr>
            <w:r>
              <w:rPr>
                <w:rFonts w:ascii="Arial" w:cs="Arial" w:eastAsia="Arial" w:hAnsi="Arial"/>
                <w:sz w:val="20"/>
                <w:szCs w:val="20"/>
                <w:i w:val="1"/>
                <w:iCs w:val="1"/>
                <w:color w:val="auto"/>
                <w:w w:val="92"/>
              </w:rPr>
              <w:t>Trading Symbol</w:t>
            </w:r>
          </w:p>
        </w:tc>
        <w:tc>
          <w:tcPr>
            <w:tcW w:w="3900" w:type="dxa"/>
            <w:vAlign w:val="bottom"/>
          </w:tcPr>
          <w:p>
            <w:pPr>
              <w:jc w:val="center"/>
              <w:ind w:left="161"/>
              <w:spacing w:after="0"/>
              <w:rPr>
                <w:sz w:val="20"/>
                <w:szCs w:val="20"/>
                <w:color w:val="auto"/>
              </w:rPr>
            </w:pPr>
            <w:r>
              <w:rPr>
                <w:rFonts w:ascii="Arial" w:cs="Arial" w:eastAsia="Arial" w:hAnsi="Arial"/>
                <w:sz w:val="20"/>
                <w:szCs w:val="20"/>
                <w:i w:val="1"/>
                <w:iCs w:val="1"/>
                <w:color w:val="auto"/>
                <w:w w:val="89"/>
              </w:rPr>
              <w:t>Name of Each Exchange on which Registered</w:t>
            </w:r>
          </w:p>
        </w:tc>
      </w:tr>
      <w:tr>
        <w:trPr>
          <w:trHeight w:val="241"/>
        </w:trPr>
        <w:tc>
          <w:tcPr>
            <w:tcW w:w="2240" w:type="dxa"/>
            <w:vAlign w:val="bottom"/>
          </w:tcPr>
          <w:p>
            <w:pPr>
              <w:jc w:val="center"/>
              <w:ind w:right="221"/>
              <w:spacing w:after="0"/>
              <w:rPr>
                <w:sz w:val="20"/>
                <w:szCs w:val="20"/>
                <w:color w:val="auto"/>
              </w:rPr>
            </w:pPr>
            <w:r>
              <w:rPr>
                <w:rFonts w:ascii="Arial" w:cs="Arial" w:eastAsia="Arial" w:hAnsi="Arial"/>
                <w:sz w:val="20"/>
                <w:szCs w:val="20"/>
                <w:color w:val="auto"/>
                <w:w w:val="90"/>
              </w:rPr>
              <w:t>Class A Common Stock</w:t>
            </w:r>
          </w:p>
        </w:tc>
        <w:tc>
          <w:tcPr>
            <w:tcW w:w="1860" w:type="dxa"/>
            <w:vAlign w:val="bottom"/>
          </w:tcPr>
          <w:p>
            <w:pPr>
              <w:jc w:val="center"/>
              <w:spacing w:after="0"/>
              <w:rPr>
                <w:sz w:val="20"/>
                <w:szCs w:val="20"/>
                <w:color w:val="auto"/>
              </w:rPr>
            </w:pPr>
            <w:r>
              <w:rPr>
                <w:rFonts w:ascii="Arial" w:cs="Arial" w:eastAsia="Arial" w:hAnsi="Arial"/>
                <w:sz w:val="20"/>
                <w:szCs w:val="20"/>
                <w:color w:val="auto"/>
              </w:rPr>
              <w:t>BELFA</w:t>
            </w:r>
          </w:p>
        </w:tc>
        <w:tc>
          <w:tcPr>
            <w:tcW w:w="3900" w:type="dxa"/>
            <w:vAlign w:val="bottom"/>
          </w:tcPr>
          <w:p>
            <w:pPr>
              <w:jc w:val="center"/>
              <w:ind w:left="161"/>
              <w:spacing w:after="0"/>
              <w:rPr>
                <w:sz w:val="20"/>
                <w:szCs w:val="20"/>
                <w:color w:val="auto"/>
              </w:rPr>
            </w:pPr>
            <w:r>
              <w:rPr>
                <w:rFonts w:ascii="Arial" w:cs="Arial" w:eastAsia="Arial" w:hAnsi="Arial"/>
                <w:sz w:val="20"/>
                <w:szCs w:val="20"/>
                <w:color w:val="auto"/>
                <w:w w:val="94"/>
              </w:rPr>
              <w:t>NASDAQ Global Select Market</w:t>
            </w:r>
          </w:p>
        </w:tc>
      </w:tr>
      <w:tr>
        <w:trPr>
          <w:trHeight w:val="240"/>
        </w:trPr>
        <w:tc>
          <w:tcPr>
            <w:tcW w:w="2240" w:type="dxa"/>
            <w:vAlign w:val="bottom"/>
          </w:tcPr>
          <w:p>
            <w:pPr>
              <w:jc w:val="center"/>
              <w:ind w:right="201"/>
              <w:spacing w:after="0"/>
              <w:rPr>
                <w:sz w:val="20"/>
                <w:szCs w:val="20"/>
                <w:color w:val="auto"/>
              </w:rPr>
            </w:pPr>
            <w:r>
              <w:rPr>
                <w:rFonts w:ascii="Arial" w:cs="Arial" w:eastAsia="Arial" w:hAnsi="Arial"/>
                <w:sz w:val="20"/>
                <w:szCs w:val="20"/>
                <w:color w:val="auto"/>
                <w:w w:val="91"/>
              </w:rPr>
              <w:t>($0.10 par value)</w:t>
            </w:r>
          </w:p>
        </w:tc>
        <w:tc>
          <w:tcPr>
            <w:tcW w:w="186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228"/>
        </w:trPr>
        <w:tc>
          <w:tcPr>
            <w:tcW w:w="2240" w:type="dxa"/>
            <w:vAlign w:val="bottom"/>
          </w:tcPr>
          <w:p>
            <w:pPr>
              <w:jc w:val="center"/>
              <w:ind w:right="221"/>
              <w:spacing w:after="0" w:line="228" w:lineRule="exact"/>
              <w:rPr>
                <w:sz w:val="20"/>
                <w:szCs w:val="20"/>
                <w:color w:val="auto"/>
              </w:rPr>
            </w:pPr>
            <w:r>
              <w:rPr>
                <w:rFonts w:ascii="Arial" w:cs="Arial" w:eastAsia="Arial" w:hAnsi="Arial"/>
                <w:sz w:val="20"/>
                <w:szCs w:val="20"/>
                <w:color w:val="auto"/>
                <w:w w:val="90"/>
              </w:rPr>
              <w:t>Class B Common Stock</w:t>
            </w:r>
          </w:p>
        </w:tc>
        <w:tc>
          <w:tcPr>
            <w:tcW w:w="1860" w:type="dxa"/>
            <w:vAlign w:val="bottom"/>
          </w:tcPr>
          <w:p>
            <w:pPr>
              <w:jc w:val="center"/>
              <w:spacing w:after="0" w:line="228" w:lineRule="exact"/>
              <w:rPr>
                <w:sz w:val="20"/>
                <w:szCs w:val="20"/>
                <w:color w:val="auto"/>
              </w:rPr>
            </w:pPr>
            <w:r>
              <w:rPr>
                <w:rFonts w:ascii="Arial" w:cs="Arial" w:eastAsia="Arial" w:hAnsi="Arial"/>
                <w:sz w:val="20"/>
                <w:szCs w:val="20"/>
                <w:color w:val="auto"/>
                <w:w w:val="97"/>
              </w:rPr>
              <w:t>BELFB</w:t>
            </w:r>
          </w:p>
        </w:tc>
        <w:tc>
          <w:tcPr>
            <w:tcW w:w="3900" w:type="dxa"/>
            <w:vAlign w:val="bottom"/>
          </w:tcPr>
          <w:p>
            <w:pPr>
              <w:jc w:val="center"/>
              <w:ind w:left="161"/>
              <w:spacing w:after="0" w:line="228" w:lineRule="exact"/>
              <w:rPr>
                <w:sz w:val="20"/>
                <w:szCs w:val="20"/>
                <w:color w:val="auto"/>
              </w:rPr>
            </w:pPr>
            <w:r>
              <w:rPr>
                <w:rFonts w:ascii="Arial" w:cs="Arial" w:eastAsia="Arial" w:hAnsi="Arial"/>
                <w:sz w:val="20"/>
                <w:szCs w:val="20"/>
                <w:color w:val="auto"/>
                <w:w w:val="94"/>
              </w:rPr>
              <w:t>NASDAQ Global Select Market</w:t>
            </w:r>
          </w:p>
        </w:tc>
      </w:tr>
      <w:tr>
        <w:trPr>
          <w:trHeight w:val="265"/>
        </w:trPr>
        <w:tc>
          <w:tcPr>
            <w:tcW w:w="2240" w:type="dxa"/>
            <w:vAlign w:val="bottom"/>
          </w:tcPr>
          <w:p>
            <w:pPr>
              <w:jc w:val="center"/>
              <w:ind w:right="201"/>
              <w:spacing w:after="0"/>
              <w:rPr>
                <w:sz w:val="20"/>
                <w:szCs w:val="20"/>
                <w:color w:val="auto"/>
              </w:rPr>
            </w:pPr>
            <w:r>
              <w:rPr>
                <w:rFonts w:ascii="Arial" w:cs="Arial" w:eastAsia="Arial" w:hAnsi="Arial"/>
                <w:sz w:val="20"/>
                <w:szCs w:val="20"/>
                <w:color w:val="auto"/>
                <w:w w:val="91"/>
              </w:rPr>
              <w:t>($0.10 par value)</w:t>
            </w:r>
          </w:p>
        </w:tc>
        <w:tc>
          <w:tcPr>
            <w:tcW w:w="1860" w:type="dxa"/>
            <w:vAlign w:val="bottom"/>
          </w:tcPr>
          <w:p>
            <w:pPr>
              <w:spacing w:after="0"/>
              <w:rPr>
                <w:sz w:val="23"/>
                <w:szCs w:val="23"/>
                <w:color w:val="auto"/>
              </w:rPr>
            </w:pPr>
          </w:p>
        </w:tc>
        <w:tc>
          <w:tcPr>
            <w:tcW w:w="39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-632460</wp:posOffset>
            </wp:positionV>
            <wp:extent cx="5173345" cy="43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73345" cy="4381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registered pursuant to Section 12(g) of the Act: None</w:t>
      </w:r>
    </w:p>
    <w:p>
      <w:pPr>
        <w:sectPr>
          <w:pgSz w:w="12240" w:h="15840" w:orient="portrait"/>
          <w:cols w:equalWidth="0" w:num="1">
            <w:col w:w="10800"/>
          </w:cols>
          <w:pgMar w:left="720" w:top="553" w:right="720"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Indicate by check mark if the registrant is not required to file reports pursuant to Section 13 or 15(d) of the Act.</w:t>
      </w:r>
    </w:p>
    <w:p>
      <w:pPr>
        <w:spacing w:after="0" w:line="298"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230" w:lineRule="exact"/>
        <w:tabs>
          <w:tab w:leader="none" w:pos="700" w:val="left"/>
        </w:tabs>
        <w:rPr>
          <w:sz w:val="20"/>
          <w:szCs w:val="20"/>
          <w:color w:val="auto"/>
        </w:rPr>
      </w:pPr>
      <w:r>
        <w:rPr>
          <w:rFonts w:ascii="Arial" w:cs="Arial" w:eastAsia="Arial" w:hAnsi="Arial"/>
          <w:sz w:val="20"/>
          <w:szCs w:val="20"/>
          <w:color w:val="auto"/>
        </w:rPr>
        <w:t xml:space="preserve">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86" w:lineRule="exact"/>
        <w:rPr>
          <w:sz w:val="20"/>
          <w:szCs w:val="20"/>
          <w:color w:val="auto"/>
        </w:rPr>
      </w:pPr>
    </w:p>
    <w:p>
      <w:pPr>
        <w:spacing w:after="0" w:line="230" w:lineRule="exact"/>
        <w:tabs>
          <w:tab w:leader="none" w:pos="700" w:val="left"/>
        </w:tabs>
        <w:rPr>
          <w:sz w:val="20"/>
          <w:szCs w:val="20"/>
          <w:color w:val="auto"/>
        </w:rPr>
      </w:pPr>
      <w:r>
        <w:rPr>
          <w:rFonts w:ascii="Arial" w:cs="Arial" w:eastAsia="Arial" w:hAnsi="Arial"/>
          <w:sz w:val="20"/>
          <w:szCs w:val="20"/>
          <w:color w:val="auto"/>
        </w:rPr>
        <w:t xml:space="preserve">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30" w:lineRule="exact"/>
        <w:tabs>
          <w:tab w:leader="none" w:pos="700" w:val="left"/>
        </w:tabs>
        <w:rPr>
          <w:sz w:val="20"/>
          <w:szCs w:val="20"/>
          <w:color w:val="auto"/>
        </w:rPr>
      </w:pPr>
      <w:r>
        <w:rPr>
          <w:rFonts w:ascii="Arial" w:cs="Arial" w:eastAsia="Arial" w:hAnsi="Arial"/>
          <w:sz w:val="20"/>
          <w:szCs w:val="20"/>
          <w:color w:val="auto"/>
        </w:rPr>
        <w:t xml:space="preserve">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30" w:lineRule="exact"/>
        <w:tabs>
          <w:tab w:leader="none" w:pos="700" w:val="left"/>
        </w:tabs>
        <w:rPr>
          <w:sz w:val="20"/>
          <w:szCs w:val="20"/>
          <w:color w:val="auto"/>
        </w:rPr>
      </w:pPr>
      <w:r>
        <w:rPr>
          <w:rFonts w:ascii="Arial" w:cs="Arial" w:eastAsia="Arial" w:hAnsi="Arial"/>
          <w:sz w:val="20"/>
          <w:szCs w:val="20"/>
          <w:color w:val="auto"/>
        </w:rPr>
        <w:t xml:space="preserve">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2240" w:h="15840" w:orient="portrait"/>
          <w:cols w:equalWidth="0" w:num="2">
            <w:col w:w="9500" w:space="120"/>
            <w:col w:w="1180"/>
          </w:cols>
          <w:pgMar w:left="720" w:top="553" w:right="720" w:bottom="1440" w:gutter="0" w:footer="0" w:header="0"/>
          <w:type w:val="continuous"/>
        </w:sectPr>
      </w:pPr>
    </w:p>
    <w:bookmarkStart w:id="7" w:name="page8"/>
    <w:bookmarkEnd w:id="7"/>
    <w:p>
      <w:pPr>
        <w:jc w:val="both"/>
        <w:spacing w:after="0" w:line="257"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0" w:lineRule="exact"/>
        <w:rPr>
          <w:sz w:val="20"/>
          <w:szCs w:val="20"/>
          <w:color w:val="auto"/>
        </w:rPr>
      </w:pPr>
    </w:p>
    <w:p>
      <w:pPr>
        <w:ind w:left="140"/>
        <w:spacing w:after="0"/>
        <w:tabs>
          <w:tab w:leader="none" w:pos="2500" w:val="left"/>
          <w:tab w:leader="none" w:pos="4460" w:val="left"/>
          <w:tab w:leader="none" w:pos="6420" w:val="left"/>
          <w:tab w:leader="none" w:pos="9020" w:val="left"/>
        </w:tabs>
        <w:rPr>
          <w:sz w:val="20"/>
          <w:szCs w:val="20"/>
          <w:color w:val="auto"/>
        </w:rPr>
      </w:pPr>
      <w:r>
        <w:rPr>
          <w:rFonts w:ascii="Arial" w:cs="Arial" w:eastAsia="Arial" w:hAnsi="Arial"/>
          <w:sz w:val="20"/>
          <w:szCs w:val="20"/>
          <w:color w:val="auto"/>
        </w:rPr>
        <w:t>Large accelerated filer</w:t>
      </w:r>
      <w:r>
        <w:rPr>
          <w:sz w:val="20"/>
          <w:szCs w:val="20"/>
          <w:color w:val="auto"/>
        </w:rPr>
        <w:tab/>
      </w:r>
      <w:r>
        <w:rPr>
          <w:rFonts w:ascii="Arial" w:cs="Arial" w:eastAsia="Arial" w:hAnsi="Arial"/>
          <w:sz w:val="20"/>
          <w:szCs w:val="20"/>
          <w:color w:val="auto"/>
        </w:rPr>
        <w:t>Accelerated filer</w:t>
      </w:r>
      <w:r>
        <w:rPr>
          <w:sz w:val="20"/>
          <w:szCs w:val="20"/>
          <w:color w:val="auto"/>
        </w:rPr>
        <w:tab/>
      </w:r>
      <w:r>
        <w:rPr>
          <w:rFonts w:ascii="Arial" w:cs="Arial" w:eastAsia="Arial" w:hAnsi="Arial"/>
          <w:sz w:val="20"/>
          <w:szCs w:val="20"/>
          <w:color w:val="auto"/>
        </w:rPr>
        <w:t>Non-accelerated filer</w:t>
        <w:tab/>
        <w:t>Smaller reporting company</w:t>
      </w:r>
      <w:r>
        <w:rPr>
          <w:sz w:val="20"/>
          <w:szCs w:val="20"/>
          <w:color w:val="auto"/>
        </w:rPr>
        <w:tab/>
      </w:r>
      <w:r>
        <w:rPr>
          <w:rFonts w:ascii="Arial" w:cs="Arial" w:eastAsia="Arial" w:hAnsi="Arial"/>
          <w:sz w:val="18"/>
          <w:szCs w:val="18"/>
          <w:color w:val="auto"/>
        </w:rPr>
        <w:t>Emerging growth</w:t>
      </w:r>
    </w:p>
    <w:p>
      <w:pPr>
        <w:spacing w:after="0" w:line="20" w:lineRule="exact"/>
        <w:rPr>
          <w:sz w:val="20"/>
          <w:szCs w:val="20"/>
          <w:color w:val="auto"/>
        </w:rPr>
      </w:pPr>
    </w:p>
    <w:p>
      <w:pPr>
        <w:ind w:left="980"/>
        <w:spacing w:after="0" w:line="230" w:lineRule="exact"/>
        <w:tabs>
          <w:tab w:leader="none" w:pos="3100" w:val="left"/>
          <w:tab w:leader="none" w:pos="5260" w:val="left"/>
          <w:tab w:leader="none" w:pos="7440" w:val="left"/>
          <w:tab w:leader="none" w:pos="9240" w:val="left"/>
        </w:tabs>
        <w:rPr>
          <w:sz w:val="20"/>
          <w:szCs w:val="20"/>
          <w:color w:val="auto"/>
        </w:rPr>
      </w:pPr>
      <w:r>
        <w:rPr>
          <w:rFonts w:ascii="MS PGothic" w:cs="MS PGothic" w:eastAsia="MS PGothic" w:hAnsi="MS PGothic"/>
          <w:sz w:val="20"/>
          <w:szCs w:val="20"/>
          <w:color w:val="auto"/>
        </w:rPr>
        <w: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Arial" w:cs="Arial" w:eastAsia="Arial" w:hAnsi="Arial"/>
          <w:sz w:val="17"/>
          <w:szCs w:val="17"/>
          <w:color w:val="auto"/>
        </w:rPr>
        <w:t xml:space="preserve">company </w:t>
      </w:r>
      <w:r>
        <w:rPr>
          <w:rFonts w:ascii="MS PGothic" w:cs="MS PGothic" w:eastAsia="MS PGothic" w:hAnsi="MS PGothic"/>
          <w:sz w:val="17"/>
          <w:szCs w:val="17"/>
          <w:color w:val="auto"/>
        </w:rPr>
        <w:t>☐</w:t>
      </w:r>
    </w:p>
    <w:p>
      <w:pPr>
        <w:sectPr>
          <w:pgSz w:w="12240" w:h="15840" w:orient="portrait"/>
          <w:cols w:equalWidth="0" w:num="1">
            <w:col w:w="10800"/>
          </w:cols>
          <w:pgMar w:left="720" w:top="1023" w:right="720" w:bottom="1440" w:gutter="0" w:footer="0" w:header="0"/>
        </w:sectPr>
      </w:pPr>
    </w:p>
    <w:p>
      <w:pPr>
        <w:spacing w:after="0" w:line="26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
        <w:spacing w:after="0" w:line="201" w:lineRule="exact"/>
        <w:rPr>
          <w:sz w:val="20"/>
          <w:szCs w:val="20"/>
          <w:color w:val="auto"/>
        </w:rPr>
      </w:pPr>
      <w:r>
        <w:rPr>
          <w:rFonts w:ascii="MS PGothic" w:cs="MS PGothic" w:eastAsia="MS PGothic" w:hAnsi="MS PGothic"/>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line="201" w:lineRule="exact"/>
        <w:rPr>
          <w:sz w:val="20"/>
          <w:szCs w:val="20"/>
          <w:color w:val="auto"/>
        </w:rPr>
      </w:pPr>
      <w:r>
        <w:rPr>
          <w:rFonts w:ascii="MS PGothic" w:cs="MS PGothic" w:eastAsia="MS PGothic" w:hAnsi="MS PGothic"/>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0"/>
        <w:spacing w:after="0" w:line="201" w:lineRule="exact"/>
        <w:rPr>
          <w:sz w:val="20"/>
          <w:szCs w:val="20"/>
          <w:color w:val="auto"/>
        </w:rPr>
      </w:pPr>
      <w:r>
        <w:rPr>
          <w:rFonts w:ascii="MS PGothic" w:cs="MS PGothic" w:eastAsia="MS PGothic" w:hAnsi="MS PGothic"/>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0"/>
        <w:spacing w:after="0" w:line="201" w:lineRule="exact"/>
        <w:rPr>
          <w:sz w:val="20"/>
          <w:szCs w:val="20"/>
          <w:color w:val="auto"/>
        </w:rPr>
      </w:pPr>
      <w:r>
        <w:rPr>
          <w:rFonts w:ascii="MS PGothic" w:cs="MS PGothic" w:eastAsia="MS PGothic" w:hAnsi="MS PGothic"/>
          <w:sz w:val="20"/>
          <w:szCs w:val="20"/>
          <w:color w:val="auto"/>
        </w:rPr>
        <w:t>☐</w:t>
      </w:r>
    </w:p>
    <w:p>
      <w:pPr>
        <w:spacing w:after="0" w:line="316" w:lineRule="exact"/>
        <w:rPr>
          <w:sz w:val="20"/>
          <w:szCs w:val="20"/>
          <w:color w:val="auto"/>
        </w:rPr>
      </w:pPr>
    </w:p>
    <w:p>
      <w:pPr>
        <w:spacing w:after="0" w:line="230" w:lineRule="exact"/>
        <w:tabs>
          <w:tab w:leader="none" w:pos="1120" w:val="left"/>
        </w:tabs>
        <w:rPr>
          <w:sz w:val="20"/>
          <w:szCs w:val="20"/>
          <w:color w:val="auto"/>
        </w:rPr>
      </w:pPr>
      <w:r>
        <w:rPr>
          <w:rFonts w:ascii="Arial" w:cs="Arial" w:eastAsia="Arial" w:hAnsi="Arial"/>
          <w:sz w:val="20"/>
          <w:szCs w:val="20"/>
          <w:color w:val="auto"/>
        </w:rPr>
        <w:t xml:space="preserve">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1" w:lineRule="exact"/>
        <w:rPr>
          <w:sz w:val="20"/>
          <w:szCs w:val="20"/>
          <w:color w:val="auto"/>
        </w:rPr>
      </w:pPr>
    </w:p>
    <w:p>
      <w:pPr>
        <w:sectPr>
          <w:pgSz w:w="12240" w:h="15840" w:orient="portrait"/>
          <w:cols w:equalWidth="0" w:num="2">
            <w:col w:w="8660" w:space="540"/>
            <w:col w:w="1600"/>
          </w:cols>
          <w:pgMar w:left="720" w:top="1023" w:right="720" w:bottom="1440" w:gutter="0" w:footer="0" w:header="0"/>
          <w:type w:val="continuous"/>
        </w:sectPr>
      </w:pP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aggregate market value of the voting and non-voting common equity of the registrant held by non-affiliates (for this purpose, persons and entities other than executive officers and directors) of the registrant, as of the last business day of the registrant's most recently completed second fiscal quarter (June 30, 2025) was approximately $1.2 billion based on the closing sale price as reported on the NASDAQ Global Select Market.</w:t>
      </w:r>
    </w:p>
    <w:p>
      <w:pPr>
        <w:spacing w:after="0" w:line="194" w:lineRule="exact"/>
        <w:rPr>
          <w:sz w:val="20"/>
          <w:szCs w:val="20"/>
          <w:color w:val="auto"/>
        </w:rPr>
      </w:pPr>
    </w:p>
    <w:tbl>
      <w:tblPr>
        <w:tblLayout w:type="fixed"/>
        <w:tblInd w:w="1480" w:type="dxa"/>
        <w:tblCellMar>
          <w:top w:w="0" w:type="dxa"/>
          <w:left w:w="0" w:type="dxa"/>
          <w:bottom w:w="0" w:type="dxa"/>
          <w:right w:w="0" w:type="dxa"/>
        </w:tblCellMar>
      </w:tblPr>
      <w:tr>
        <w:trPr>
          <w:trHeight w:val="250"/>
        </w:trPr>
        <w:tc>
          <w:tcPr>
            <w:tcW w:w="2040" w:type="dxa"/>
            <w:vAlign w:val="bottom"/>
          </w:tcPr>
          <w:p>
            <w:pPr>
              <w:jc w:val="center"/>
              <w:ind w:right="21"/>
              <w:spacing w:after="0"/>
              <w:rPr>
                <w:sz w:val="20"/>
                <w:szCs w:val="20"/>
                <w:color w:val="auto"/>
              </w:rPr>
            </w:pPr>
            <w:r>
              <w:rPr>
                <w:rFonts w:ascii="Arial" w:cs="Arial" w:eastAsia="Arial" w:hAnsi="Arial"/>
                <w:sz w:val="20"/>
                <w:szCs w:val="20"/>
                <w:i w:val="1"/>
                <w:iCs w:val="1"/>
                <w:color w:val="auto"/>
                <w:w w:val="91"/>
              </w:rPr>
              <w:t>Title of Each Class</w:t>
            </w:r>
          </w:p>
        </w:tc>
        <w:tc>
          <w:tcPr>
            <w:tcW w:w="5920" w:type="dxa"/>
            <w:vAlign w:val="bottom"/>
          </w:tcPr>
          <w:p>
            <w:pPr>
              <w:ind w:left="100"/>
              <w:spacing w:after="0"/>
              <w:rPr>
                <w:sz w:val="20"/>
                <w:szCs w:val="20"/>
                <w:color w:val="auto"/>
              </w:rPr>
            </w:pPr>
            <w:r>
              <w:rPr>
                <w:rFonts w:ascii="Arial" w:cs="Arial" w:eastAsia="Arial" w:hAnsi="Arial"/>
                <w:sz w:val="20"/>
                <w:szCs w:val="20"/>
                <w:i w:val="1"/>
                <w:iCs w:val="1"/>
                <w:color w:val="auto"/>
                <w:w w:val="89"/>
              </w:rPr>
              <w:t>Number of Shares of Common Stock Outstanding as of January 31, 2026</w:t>
            </w:r>
          </w:p>
        </w:tc>
      </w:tr>
      <w:tr>
        <w:trPr>
          <w:trHeight w:val="240"/>
        </w:trPr>
        <w:tc>
          <w:tcPr>
            <w:tcW w:w="2040" w:type="dxa"/>
            <w:vAlign w:val="bottom"/>
          </w:tcPr>
          <w:p>
            <w:pPr>
              <w:jc w:val="center"/>
              <w:ind w:right="21"/>
              <w:spacing w:after="0"/>
              <w:rPr>
                <w:sz w:val="20"/>
                <w:szCs w:val="20"/>
                <w:color w:val="auto"/>
              </w:rPr>
            </w:pPr>
            <w:r>
              <w:rPr>
                <w:rFonts w:ascii="Arial" w:cs="Arial" w:eastAsia="Arial" w:hAnsi="Arial"/>
                <w:sz w:val="20"/>
                <w:szCs w:val="20"/>
                <w:color w:val="auto"/>
                <w:w w:val="90"/>
              </w:rPr>
              <w:t>Class A Common Stock</w:t>
            </w:r>
          </w:p>
        </w:tc>
        <w:tc>
          <w:tcPr>
            <w:tcW w:w="5920" w:type="dxa"/>
            <w:vAlign w:val="bottom"/>
          </w:tcPr>
          <w:p>
            <w:pPr>
              <w:jc w:val="right"/>
              <w:ind w:right="2401"/>
              <w:spacing w:after="0"/>
              <w:rPr>
                <w:sz w:val="20"/>
                <w:szCs w:val="20"/>
                <w:color w:val="auto"/>
              </w:rPr>
            </w:pPr>
            <w:r>
              <w:rPr>
                <w:rFonts w:ascii="Arial" w:cs="Arial" w:eastAsia="Arial" w:hAnsi="Arial"/>
                <w:sz w:val="20"/>
                <w:szCs w:val="20"/>
                <w:color w:val="auto"/>
              </w:rPr>
              <w:t>2,115,263</w:t>
            </w:r>
          </w:p>
        </w:tc>
      </w:tr>
      <w:tr>
        <w:trPr>
          <w:trHeight w:val="265"/>
        </w:trPr>
        <w:tc>
          <w:tcPr>
            <w:tcW w:w="2040" w:type="dxa"/>
            <w:vAlign w:val="bottom"/>
          </w:tcPr>
          <w:p>
            <w:pPr>
              <w:jc w:val="center"/>
              <w:ind w:right="21"/>
              <w:spacing w:after="0"/>
              <w:rPr>
                <w:sz w:val="20"/>
                <w:szCs w:val="20"/>
                <w:color w:val="auto"/>
              </w:rPr>
            </w:pPr>
            <w:r>
              <w:rPr>
                <w:rFonts w:ascii="Arial" w:cs="Arial" w:eastAsia="Arial" w:hAnsi="Arial"/>
                <w:sz w:val="20"/>
                <w:szCs w:val="20"/>
                <w:color w:val="auto"/>
                <w:w w:val="90"/>
              </w:rPr>
              <w:t>Class B Common Stock</w:t>
            </w:r>
          </w:p>
        </w:tc>
        <w:tc>
          <w:tcPr>
            <w:tcW w:w="5920" w:type="dxa"/>
            <w:vAlign w:val="bottom"/>
          </w:tcPr>
          <w:p>
            <w:pPr>
              <w:jc w:val="right"/>
              <w:ind w:right="2361"/>
              <w:spacing w:after="0"/>
              <w:rPr>
                <w:sz w:val="20"/>
                <w:szCs w:val="20"/>
                <w:color w:val="auto"/>
              </w:rPr>
            </w:pPr>
            <w:r>
              <w:rPr>
                <w:rFonts w:ascii="Arial" w:cs="Arial" w:eastAsia="Arial" w:hAnsi="Arial"/>
                <w:sz w:val="20"/>
                <w:szCs w:val="20"/>
                <w:color w:val="auto"/>
              </w:rPr>
              <w:t>10,541,050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-330835</wp:posOffset>
            </wp:positionV>
            <wp:extent cx="517334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7334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DOCUMENTS INCORPORATED BY REFERENCE:</w:t>
      </w:r>
    </w:p>
    <w:p>
      <w:pPr>
        <w:spacing w:after="0" w:line="23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Portions of Bel Fuse Inc.'s Definitive Proxy Statement for the 2026 Annual Meeting of Shareholders are incorporated by reference into Part III of this Annual Report on Form 10-K, which Definitive Proxy Statement shall be filed with the Securities and Exchange Commission within 120 days after the end of the fiscal year to which this Annual Report on Form 10-K relates.</w:t>
      </w:r>
    </w:p>
    <w:p>
      <w:pPr>
        <w:sectPr>
          <w:pgSz w:w="12240" w:h="15840" w:orient="portrait"/>
          <w:cols w:equalWidth="0" w:num="1">
            <w:col w:w="10800"/>
          </w:cols>
          <w:pgMar w:left="720" w:top="1023" w:right="72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65"/>
        </w:trPr>
        <w:tc>
          <w:tcPr>
            <w:tcW w:w="1580" w:type="dxa"/>
            <w:vAlign w:val="bottom"/>
          </w:tcPr>
          <w:p>
            <w:pPr>
              <w:spacing w:after="0"/>
              <w:rPr>
                <w:sz w:val="23"/>
                <w:szCs w:val="23"/>
                <w:color w:val="auto"/>
              </w:rPr>
            </w:pPr>
          </w:p>
        </w:tc>
        <w:tc>
          <w:tcPr>
            <w:tcW w:w="7500" w:type="dxa"/>
            <w:vAlign w:val="bottom"/>
          </w:tcPr>
          <w:p>
            <w:pPr>
              <w:ind w:left="2480"/>
              <w:spacing w:after="0"/>
              <w:rPr>
                <w:sz w:val="20"/>
                <w:szCs w:val="20"/>
                <w:color w:val="auto"/>
              </w:rPr>
            </w:pPr>
            <w:r>
              <w:rPr>
                <w:rFonts w:ascii="Arial" w:cs="Arial" w:eastAsia="Arial" w:hAnsi="Arial"/>
                <w:sz w:val="20"/>
                <w:szCs w:val="20"/>
                <w:color w:val="auto"/>
              </w:rPr>
              <w:t>BEL FUSE INC.</w:t>
            </w:r>
          </w:p>
        </w:tc>
        <w:tc>
          <w:tcPr>
            <w:tcW w:w="400" w:type="dxa"/>
            <w:vAlign w:val="bottom"/>
          </w:tcPr>
          <w:p>
            <w:pPr>
              <w:spacing w:after="0"/>
              <w:rPr>
                <w:sz w:val="23"/>
                <w:szCs w:val="23"/>
                <w:color w:val="auto"/>
              </w:rPr>
            </w:pPr>
          </w:p>
        </w:tc>
      </w:tr>
      <w:tr>
        <w:trPr>
          <w:trHeight w:val="480"/>
        </w:trPr>
        <w:tc>
          <w:tcPr>
            <w:tcW w:w="1580" w:type="dxa"/>
            <w:vAlign w:val="bottom"/>
          </w:tcPr>
          <w:p>
            <w:pPr>
              <w:spacing w:after="0"/>
              <w:rPr>
                <w:sz w:val="24"/>
                <w:szCs w:val="24"/>
                <w:color w:val="auto"/>
              </w:rPr>
            </w:pPr>
          </w:p>
        </w:tc>
        <w:tc>
          <w:tcPr>
            <w:tcW w:w="7500" w:type="dxa"/>
            <w:vAlign w:val="bottom"/>
          </w:tcPr>
          <w:p>
            <w:pPr>
              <w:ind w:left="2300"/>
              <w:spacing w:after="0"/>
              <w:rPr>
                <w:sz w:val="20"/>
                <w:szCs w:val="20"/>
                <w:color w:val="auto"/>
              </w:rPr>
            </w:pPr>
            <w:r>
              <w:rPr>
                <w:rFonts w:ascii="Arial" w:cs="Arial" w:eastAsia="Arial" w:hAnsi="Arial"/>
                <w:sz w:val="20"/>
                <w:szCs w:val="20"/>
                <w:color w:val="auto"/>
              </w:rPr>
              <w:t>FORM 10-K INDEX</w:t>
            </w:r>
          </w:p>
        </w:tc>
        <w:tc>
          <w:tcPr>
            <w:tcW w:w="400" w:type="dxa"/>
            <w:vAlign w:val="bottom"/>
          </w:tcPr>
          <w:p>
            <w:pPr>
              <w:spacing w:after="0"/>
              <w:rPr>
                <w:sz w:val="24"/>
                <w:szCs w:val="24"/>
                <w:color w:val="auto"/>
              </w:rPr>
            </w:pPr>
          </w:p>
        </w:tc>
      </w:tr>
      <w:tr>
        <w:trPr>
          <w:trHeight w:val="470"/>
        </w:trPr>
        <w:tc>
          <w:tcPr>
            <w:tcW w:w="15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6"/>
              </w:rPr>
              <w:t>Page</w:t>
            </w:r>
          </w:p>
        </w:tc>
      </w:tr>
      <w:tr>
        <w:trPr>
          <w:trHeight w:val="482"/>
        </w:trPr>
        <w:tc>
          <w:tcPr>
            <w:tcW w:w="9080" w:type="dxa"/>
            <w:vAlign w:val="bottom"/>
            <w:gridSpan w:val="2"/>
          </w:tcPr>
          <w:p>
            <w:pPr>
              <w:spacing w:after="0"/>
              <w:rPr>
                <w:sz w:val="20"/>
                <w:szCs w:val="20"/>
                <w:color w:val="auto"/>
              </w:rPr>
            </w:pPr>
            <w:r>
              <w:rPr>
                <w:rFonts w:ascii="Arial" w:cs="Arial" w:eastAsia="Arial" w:hAnsi="Arial"/>
                <w:sz w:val="20"/>
                <w:szCs w:val="20"/>
                <w:color w:val="auto"/>
              </w:rPr>
              <w:t>Cautionary Notice Regarding Forward-Looking Information</w:t>
            </w: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80"/>
        </w:trPr>
        <w:tc>
          <w:tcPr>
            <w:tcW w:w="1580" w:type="dxa"/>
            <w:vAlign w:val="bottom"/>
          </w:tcPr>
          <w:p>
            <w:pPr>
              <w:spacing w:after="0"/>
              <w:rPr>
                <w:sz w:val="20"/>
                <w:szCs w:val="20"/>
                <w:color w:val="auto"/>
              </w:rPr>
            </w:pPr>
            <w:r>
              <w:rPr>
                <w:rFonts w:ascii="Arial" w:cs="Arial" w:eastAsia="Arial" w:hAnsi="Arial"/>
                <w:sz w:val="20"/>
                <w:szCs w:val="20"/>
                <w:color w:val="auto"/>
              </w:rPr>
              <w:t>Part I</w:t>
            </w:r>
          </w:p>
        </w:tc>
        <w:tc>
          <w:tcPr>
            <w:tcW w:w="7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1.</w:t>
            </w:r>
          </w:p>
        </w:tc>
        <w:tc>
          <w:tcPr>
            <w:tcW w:w="7500" w:type="dxa"/>
            <w:vAlign w:val="bottom"/>
          </w:tcPr>
          <w:p>
            <w:pPr>
              <w:ind w:left="140"/>
              <w:spacing w:after="0"/>
              <w:rPr>
                <w:sz w:val="20"/>
                <w:szCs w:val="20"/>
                <w:color w:val="auto"/>
              </w:rPr>
            </w:pPr>
            <w:r>
              <w:rPr>
                <w:rFonts w:ascii="Arial" w:cs="Arial" w:eastAsia="Arial" w:hAnsi="Arial"/>
                <w:sz w:val="20"/>
                <w:szCs w:val="20"/>
                <w:color w:val="auto"/>
              </w:rPr>
              <w:t>Business</w:t>
            </w:r>
          </w:p>
        </w:tc>
        <w:tc>
          <w:tcPr>
            <w:tcW w:w="4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1A.</w:t>
            </w:r>
          </w:p>
        </w:tc>
        <w:tc>
          <w:tcPr>
            <w:tcW w:w="7500" w:type="dxa"/>
            <w:vAlign w:val="bottom"/>
          </w:tcPr>
          <w:p>
            <w:pPr>
              <w:ind w:left="140"/>
              <w:spacing w:after="0"/>
              <w:rPr>
                <w:sz w:val="20"/>
                <w:szCs w:val="20"/>
                <w:color w:val="auto"/>
              </w:rPr>
            </w:pPr>
            <w:r>
              <w:rPr>
                <w:rFonts w:ascii="Arial" w:cs="Arial" w:eastAsia="Arial" w:hAnsi="Arial"/>
                <w:sz w:val="20"/>
                <w:szCs w:val="20"/>
                <w:color w:val="auto"/>
              </w:rPr>
              <w:t>Risk Factors</w:t>
            </w:r>
          </w:p>
        </w:tc>
        <w:tc>
          <w:tcPr>
            <w:tcW w:w="4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1B.</w:t>
            </w:r>
          </w:p>
        </w:tc>
        <w:tc>
          <w:tcPr>
            <w:tcW w:w="7500" w:type="dxa"/>
            <w:vAlign w:val="bottom"/>
          </w:tcPr>
          <w:p>
            <w:pPr>
              <w:ind w:left="140"/>
              <w:spacing w:after="0"/>
              <w:rPr>
                <w:sz w:val="20"/>
                <w:szCs w:val="20"/>
                <w:color w:val="auto"/>
              </w:rPr>
            </w:pPr>
            <w:r>
              <w:rPr>
                <w:rFonts w:ascii="Arial" w:cs="Arial" w:eastAsia="Arial" w:hAnsi="Arial"/>
                <w:sz w:val="20"/>
                <w:szCs w:val="20"/>
                <w:color w:val="auto"/>
              </w:rPr>
              <w:t>Unresolved Staff Comments</w:t>
            </w:r>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1C.</w:t>
            </w:r>
          </w:p>
        </w:tc>
        <w:tc>
          <w:tcPr>
            <w:tcW w:w="7500" w:type="dxa"/>
            <w:vAlign w:val="bottom"/>
          </w:tcPr>
          <w:p>
            <w:pPr>
              <w:ind w:left="140"/>
              <w:spacing w:after="0"/>
              <w:rPr>
                <w:sz w:val="20"/>
                <w:szCs w:val="20"/>
                <w:color w:val="auto"/>
              </w:rPr>
            </w:pPr>
            <w:r>
              <w:rPr>
                <w:rFonts w:ascii="Arial" w:cs="Arial" w:eastAsia="Arial" w:hAnsi="Arial"/>
                <w:sz w:val="20"/>
                <w:szCs w:val="20"/>
                <w:color w:val="auto"/>
              </w:rPr>
              <w:t>Cybersecurity</w:t>
            </w:r>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2.</w:t>
            </w:r>
          </w:p>
        </w:tc>
        <w:tc>
          <w:tcPr>
            <w:tcW w:w="7500" w:type="dxa"/>
            <w:vAlign w:val="bottom"/>
          </w:tcPr>
          <w:p>
            <w:pPr>
              <w:ind w:left="140"/>
              <w:spacing w:after="0"/>
              <w:rPr>
                <w:sz w:val="20"/>
                <w:szCs w:val="20"/>
                <w:color w:val="auto"/>
              </w:rPr>
            </w:pPr>
            <w:r>
              <w:rPr>
                <w:rFonts w:ascii="Arial" w:cs="Arial" w:eastAsia="Arial" w:hAnsi="Arial"/>
                <w:sz w:val="20"/>
                <w:szCs w:val="20"/>
                <w:color w:val="auto"/>
              </w:rPr>
              <w:t>Properties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3.</w:t>
            </w:r>
          </w:p>
        </w:tc>
        <w:tc>
          <w:tcPr>
            <w:tcW w:w="7500" w:type="dxa"/>
            <w:vAlign w:val="bottom"/>
          </w:tcPr>
          <w:p>
            <w:pPr>
              <w:ind w:left="140"/>
              <w:spacing w:after="0"/>
              <w:rPr>
                <w:sz w:val="20"/>
                <w:szCs w:val="20"/>
                <w:color w:val="auto"/>
              </w:rPr>
            </w:pPr>
            <w:r>
              <w:rPr>
                <w:rFonts w:ascii="Arial" w:cs="Arial" w:eastAsia="Arial" w:hAnsi="Arial"/>
                <w:sz w:val="20"/>
                <w:szCs w:val="20"/>
                <w:color w:val="auto"/>
              </w:rPr>
              <w:t>Legal Proceedings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4.</w:t>
            </w:r>
          </w:p>
        </w:tc>
        <w:tc>
          <w:tcPr>
            <w:tcW w:w="7500" w:type="dxa"/>
            <w:vAlign w:val="bottom"/>
          </w:tcPr>
          <w:p>
            <w:pPr>
              <w:ind w:left="140"/>
              <w:spacing w:after="0"/>
              <w:rPr>
                <w:sz w:val="20"/>
                <w:szCs w:val="20"/>
                <w:color w:val="auto"/>
              </w:rPr>
            </w:pPr>
            <w:r>
              <w:rPr>
                <w:rFonts w:ascii="Arial" w:cs="Arial" w:eastAsia="Arial" w:hAnsi="Arial"/>
                <w:sz w:val="20"/>
                <w:szCs w:val="20"/>
                <w:color w:val="auto"/>
              </w:rPr>
              <w:t>Mine Safety Disclosures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80"/>
        </w:trPr>
        <w:tc>
          <w:tcPr>
            <w:tcW w:w="1580" w:type="dxa"/>
            <w:vAlign w:val="bottom"/>
          </w:tcPr>
          <w:p>
            <w:pPr>
              <w:spacing w:after="0"/>
              <w:rPr>
                <w:sz w:val="20"/>
                <w:szCs w:val="20"/>
                <w:color w:val="auto"/>
              </w:rPr>
            </w:pPr>
            <w:r>
              <w:rPr>
                <w:rFonts w:ascii="Arial" w:cs="Arial" w:eastAsia="Arial" w:hAnsi="Arial"/>
                <w:sz w:val="20"/>
                <w:szCs w:val="20"/>
                <w:color w:val="auto"/>
              </w:rPr>
              <w:t>Part II</w:t>
            </w:r>
          </w:p>
        </w:tc>
        <w:tc>
          <w:tcPr>
            <w:tcW w:w="7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5"/>
        </w:trPr>
        <w:tc>
          <w:tcPr>
            <w:tcW w:w="1580" w:type="dxa"/>
            <w:vAlign w:val="bottom"/>
          </w:tcPr>
          <w:p>
            <w:pPr>
              <w:ind w:left="720"/>
              <w:spacing w:after="0"/>
              <w:rPr>
                <w:sz w:val="20"/>
                <w:szCs w:val="20"/>
                <w:color w:val="auto"/>
              </w:rPr>
            </w:pPr>
            <w:r>
              <w:rPr>
                <w:rFonts w:ascii="Arial" w:cs="Arial" w:eastAsia="Arial" w:hAnsi="Arial"/>
                <w:sz w:val="20"/>
                <w:szCs w:val="20"/>
                <w:color w:val="auto"/>
              </w:rPr>
              <w:t>Item 5.</w:t>
            </w:r>
          </w:p>
        </w:tc>
        <w:tc>
          <w:tcPr>
            <w:tcW w:w="7500" w:type="dxa"/>
            <w:vAlign w:val="bottom"/>
          </w:tcPr>
          <w:p>
            <w:pPr>
              <w:ind w:left="140"/>
              <w:spacing w:after="0"/>
              <w:rPr>
                <w:sz w:val="20"/>
                <w:szCs w:val="20"/>
                <w:color w:val="auto"/>
              </w:rPr>
            </w:pPr>
            <w:r>
              <w:rPr>
                <w:rFonts w:ascii="Arial" w:cs="Arial" w:eastAsia="Arial" w:hAnsi="Arial"/>
                <w:sz w:val="20"/>
                <w:szCs w:val="20"/>
                <w:color w:val="auto"/>
                <w:w w:val="90"/>
              </w:rPr>
              <w:t>Market for Registrant's Common Equity, Related Stockholder Matters and Issuer Purchases</w:t>
            </w:r>
          </w:p>
        </w:tc>
        <w:tc>
          <w:tcPr>
            <w:tcW w:w="400" w:type="dxa"/>
            <w:vAlign w:val="bottom"/>
          </w:tcPr>
          <w:p>
            <w:pPr>
              <w:spacing w:after="0"/>
              <w:rPr>
                <w:sz w:val="24"/>
                <w:szCs w:val="24"/>
                <w:color w:val="auto"/>
              </w:rPr>
            </w:pPr>
          </w:p>
        </w:tc>
      </w:tr>
      <w:tr>
        <w:trPr>
          <w:trHeight w:val="265"/>
        </w:trPr>
        <w:tc>
          <w:tcPr>
            <w:tcW w:w="1580" w:type="dxa"/>
            <w:vAlign w:val="bottom"/>
          </w:tcPr>
          <w:p>
            <w:pPr>
              <w:spacing w:after="0"/>
              <w:rPr>
                <w:sz w:val="23"/>
                <w:szCs w:val="23"/>
                <w:color w:val="auto"/>
              </w:rPr>
            </w:pPr>
          </w:p>
        </w:tc>
        <w:tc>
          <w:tcPr>
            <w:tcW w:w="7500" w:type="dxa"/>
            <w:vAlign w:val="bottom"/>
          </w:tcPr>
          <w:p>
            <w:pPr>
              <w:ind w:left="140"/>
              <w:spacing w:after="0"/>
              <w:rPr>
                <w:sz w:val="20"/>
                <w:szCs w:val="20"/>
                <w:color w:val="auto"/>
              </w:rPr>
            </w:pPr>
            <w:r>
              <w:rPr>
                <w:rFonts w:ascii="Arial" w:cs="Arial" w:eastAsia="Arial" w:hAnsi="Arial"/>
                <w:sz w:val="20"/>
                <w:szCs w:val="20"/>
                <w:color w:val="auto"/>
              </w:rPr>
              <w:t>of Equity Securities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6.</w:t>
            </w:r>
          </w:p>
        </w:tc>
        <w:tc>
          <w:tcPr>
            <w:tcW w:w="7500" w:type="dxa"/>
            <w:vAlign w:val="bottom"/>
          </w:tcPr>
          <w:p>
            <w:pPr>
              <w:ind w:left="140"/>
              <w:spacing w:after="0"/>
              <w:rPr>
                <w:sz w:val="20"/>
                <w:szCs w:val="20"/>
                <w:color w:val="auto"/>
              </w:rPr>
            </w:pPr>
            <w:r>
              <w:rPr>
                <w:rFonts w:ascii="Arial" w:cs="Arial" w:eastAsia="Arial" w:hAnsi="Arial"/>
                <w:sz w:val="20"/>
                <w:szCs w:val="20"/>
                <w:color w:val="auto"/>
              </w:rPr>
              <w:t>[Reserved]</w:t>
            </w:r>
          </w:p>
        </w:tc>
        <w:tc>
          <w:tcPr>
            <w:tcW w:w="4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7.</w:t>
            </w:r>
          </w:p>
        </w:tc>
        <w:tc>
          <w:tcPr>
            <w:tcW w:w="7500" w:type="dxa"/>
            <w:vAlign w:val="bottom"/>
          </w:tcPr>
          <w:p>
            <w:pPr>
              <w:ind w:left="140"/>
              <w:spacing w:after="0"/>
              <w:rPr>
                <w:sz w:val="20"/>
                <w:szCs w:val="20"/>
                <w:color w:val="auto"/>
              </w:rPr>
            </w:pPr>
            <w:r>
              <w:rPr>
                <w:rFonts w:ascii="Arial" w:cs="Arial" w:eastAsia="Arial" w:hAnsi="Arial"/>
                <w:sz w:val="20"/>
                <w:szCs w:val="20"/>
                <w:color w:val="auto"/>
                <w:w w:val="93"/>
              </w:rPr>
              <w:t>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7A.</w:t>
            </w:r>
          </w:p>
        </w:tc>
        <w:tc>
          <w:tcPr>
            <w:tcW w:w="7500" w:type="dxa"/>
            <w:vAlign w:val="bottom"/>
          </w:tcPr>
          <w:p>
            <w:pPr>
              <w:ind w:left="140"/>
              <w:spacing w:after="0"/>
              <w:rPr>
                <w:sz w:val="20"/>
                <w:szCs w:val="20"/>
                <w:color w:val="auto"/>
              </w:rPr>
            </w:pPr>
            <w:r>
              <w:rPr>
                <w:rFonts w:ascii="Arial" w:cs="Arial" w:eastAsia="Arial" w:hAnsi="Arial"/>
                <w:sz w:val="20"/>
                <w:szCs w:val="20"/>
                <w:color w:val="auto"/>
              </w:rPr>
              <w:t>Quantitative and Qualitative Disclosures About Market Risk</w:t>
            </w:r>
          </w:p>
        </w:tc>
        <w:tc>
          <w:tcPr>
            <w:tcW w:w="4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8.</w:t>
            </w:r>
          </w:p>
        </w:tc>
        <w:tc>
          <w:tcPr>
            <w:tcW w:w="7500" w:type="dxa"/>
            <w:vAlign w:val="bottom"/>
          </w:tcPr>
          <w:p>
            <w:pPr>
              <w:ind w:left="140"/>
              <w:spacing w:after="0"/>
              <w:rPr>
                <w:sz w:val="20"/>
                <w:szCs w:val="20"/>
                <w:color w:val="auto"/>
              </w:rPr>
            </w:pPr>
            <w:r>
              <w:rPr>
                <w:rFonts w:ascii="Arial" w:cs="Arial" w:eastAsia="Arial" w:hAnsi="Arial"/>
                <w:sz w:val="20"/>
                <w:szCs w:val="20"/>
                <w:color w:val="auto"/>
              </w:rPr>
              <w:t>Financial Statements and Supplementary Data</w:t>
            </w:r>
          </w:p>
        </w:tc>
        <w:tc>
          <w:tcPr>
            <w:tcW w:w="4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9.</w:t>
            </w:r>
          </w:p>
        </w:tc>
        <w:tc>
          <w:tcPr>
            <w:tcW w:w="7500" w:type="dxa"/>
            <w:vAlign w:val="bottom"/>
          </w:tcPr>
          <w:p>
            <w:pPr>
              <w:ind w:left="140"/>
              <w:spacing w:after="0"/>
              <w:rPr>
                <w:sz w:val="20"/>
                <w:szCs w:val="20"/>
                <w:color w:val="auto"/>
              </w:rPr>
            </w:pPr>
            <w:r>
              <w:rPr>
                <w:rFonts w:ascii="Arial" w:cs="Arial" w:eastAsia="Arial" w:hAnsi="Arial"/>
                <w:sz w:val="20"/>
                <w:szCs w:val="20"/>
                <w:color w:val="auto"/>
                <w:w w:val="92"/>
              </w:rPr>
              <w:t>Changes in and Disagreements With Accountants on Accounting and Financial Disclosure</w:t>
            </w:r>
          </w:p>
        </w:tc>
        <w:tc>
          <w:tcPr>
            <w:tcW w:w="40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9A.</w:t>
            </w:r>
          </w:p>
        </w:tc>
        <w:tc>
          <w:tcPr>
            <w:tcW w:w="7500" w:type="dxa"/>
            <w:vAlign w:val="bottom"/>
          </w:tcPr>
          <w:p>
            <w:pPr>
              <w:ind w:left="140"/>
              <w:spacing w:after="0"/>
              <w:rPr>
                <w:sz w:val="20"/>
                <w:szCs w:val="20"/>
                <w:color w:val="auto"/>
              </w:rPr>
            </w:pPr>
            <w:r>
              <w:rPr>
                <w:rFonts w:ascii="Arial" w:cs="Arial" w:eastAsia="Arial" w:hAnsi="Arial"/>
                <w:sz w:val="20"/>
                <w:szCs w:val="20"/>
                <w:color w:val="auto"/>
              </w:rPr>
              <w:t>Controls and Procedures</w:t>
            </w:r>
          </w:p>
        </w:tc>
        <w:tc>
          <w:tcPr>
            <w:tcW w:w="40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9B.</w:t>
            </w:r>
          </w:p>
        </w:tc>
        <w:tc>
          <w:tcPr>
            <w:tcW w:w="7500" w:type="dxa"/>
            <w:vAlign w:val="bottom"/>
          </w:tcPr>
          <w:p>
            <w:pPr>
              <w:ind w:left="140"/>
              <w:spacing w:after="0"/>
              <w:rPr>
                <w:sz w:val="20"/>
                <w:szCs w:val="20"/>
                <w:color w:val="auto"/>
              </w:rPr>
            </w:pPr>
            <w:r>
              <w:rPr>
                <w:rFonts w:ascii="Arial" w:cs="Arial" w:eastAsia="Arial" w:hAnsi="Arial"/>
                <w:sz w:val="20"/>
                <w:szCs w:val="20"/>
                <w:color w:val="auto"/>
              </w:rPr>
              <w:t>Other Information</w:t>
            </w:r>
          </w:p>
        </w:tc>
        <w:tc>
          <w:tcPr>
            <w:tcW w:w="40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480"/>
        </w:trPr>
        <w:tc>
          <w:tcPr>
            <w:tcW w:w="1580" w:type="dxa"/>
            <w:vAlign w:val="bottom"/>
          </w:tcPr>
          <w:p>
            <w:pPr>
              <w:ind w:left="720"/>
              <w:spacing w:after="0"/>
              <w:rPr>
                <w:sz w:val="20"/>
                <w:szCs w:val="20"/>
                <w:color w:val="auto"/>
              </w:rPr>
            </w:pPr>
            <w:r>
              <w:rPr>
                <w:rFonts w:ascii="Arial" w:cs="Arial" w:eastAsia="Arial" w:hAnsi="Arial"/>
                <w:sz w:val="20"/>
                <w:szCs w:val="20"/>
                <w:color w:val="auto"/>
              </w:rPr>
              <w:t>Item 9C.</w:t>
            </w:r>
          </w:p>
        </w:tc>
        <w:tc>
          <w:tcPr>
            <w:tcW w:w="7500" w:type="dxa"/>
            <w:vAlign w:val="bottom"/>
          </w:tcPr>
          <w:p>
            <w:pPr>
              <w:ind w:left="14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400" w:type="dxa"/>
            <w:vAlign w:val="bottom"/>
          </w:tcPr>
          <w:p>
            <w:pPr>
              <w:jc w:val="right"/>
              <w:spacing w:after="0"/>
              <w:rPr>
                <w:sz w:val="20"/>
                <w:szCs w:val="20"/>
                <w:color w:val="auto"/>
              </w:rPr>
            </w:pPr>
            <w:r>
              <w:rPr>
                <w:rFonts w:ascii="Arial" w:cs="Arial" w:eastAsia="Arial" w:hAnsi="Arial"/>
                <w:sz w:val="20"/>
                <w:szCs w:val="20"/>
                <w:color w:val="auto"/>
              </w:rPr>
              <w:t>92</w:t>
            </w:r>
          </w:p>
        </w:tc>
      </w:tr>
    </w:tbl>
    <w:p>
      <w:pPr>
        <w:sectPr>
          <w:pgSz w:w="12240" w:h="15840" w:orient="portrait"/>
          <w:cols w:equalWidth="0" w:num="1">
            <w:col w:w="10080"/>
          </w:cols>
          <w:pgMar w:left="720" w:top="1069"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620" w:type="dxa"/>
            <w:vAlign w:val="bottom"/>
          </w:tcPr>
          <w:p>
            <w:pPr>
              <w:spacing w:after="0"/>
              <w:rPr>
                <w:sz w:val="20"/>
                <w:szCs w:val="20"/>
                <w:color w:val="auto"/>
              </w:rPr>
            </w:pPr>
            <w:r>
              <w:rPr>
                <w:rFonts w:ascii="Arial" w:cs="Arial" w:eastAsia="Arial" w:hAnsi="Arial"/>
                <w:sz w:val="20"/>
                <w:szCs w:val="20"/>
                <w:color w:val="auto"/>
              </w:rPr>
              <w:t>Part III</w:t>
            </w:r>
          </w:p>
        </w:tc>
        <w:tc>
          <w:tcPr>
            <w:tcW w:w="70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80"/>
        </w:trPr>
        <w:tc>
          <w:tcPr>
            <w:tcW w:w="8660" w:type="dxa"/>
            <w:vAlign w:val="bottom"/>
            <w:gridSpan w:val="2"/>
          </w:tcPr>
          <w:p>
            <w:pPr>
              <w:ind w:left="860"/>
              <w:spacing w:after="0"/>
              <w:rPr>
                <w:sz w:val="20"/>
                <w:szCs w:val="20"/>
                <w:color w:val="auto"/>
              </w:rPr>
            </w:pPr>
            <w:r>
              <w:rPr>
                <w:rFonts w:ascii="Arial" w:cs="Arial" w:eastAsia="Arial" w:hAnsi="Arial"/>
                <w:sz w:val="20"/>
                <w:szCs w:val="20"/>
                <w:color w:val="auto"/>
              </w:rPr>
              <w:t>Item 10.  Directors, Executive Officers and Corporate Governance</w:t>
            </w:r>
          </w:p>
        </w:tc>
        <w:tc>
          <w:tcPr>
            <w:tcW w:w="74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480"/>
        </w:trPr>
        <w:tc>
          <w:tcPr>
            <w:tcW w:w="1620" w:type="dxa"/>
            <w:vAlign w:val="bottom"/>
          </w:tcPr>
          <w:p>
            <w:pPr>
              <w:ind w:left="860"/>
              <w:spacing w:after="0"/>
              <w:rPr>
                <w:sz w:val="20"/>
                <w:szCs w:val="20"/>
                <w:color w:val="auto"/>
              </w:rPr>
            </w:pPr>
            <w:r>
              <w:rPr>
                <w:rFonts w:ascii="Arial" w:cs="Arial" w:eastAsia="Arial" w:hAnsi="Arial"/>
                <w:sz w:val="20"/>
                <w:szCs w:val="20"/>
                <w:color w:val="auto"/>
              </w:rPr>
              <w:t>Item 11.</w:t>
            </w:r>
          </w:p>
        </w:tc>
        <w:tc>
          <w:tcPr>
            <w:tcW w:w="7040" w:type="dxa"/>
            <w:vAlign w:val="bottom"/>
          </w:tcPr>
          <w:p>
            <w:pPr>
              <w:ind w:left="100"/>
              <w:spacing w:after="0"/>
              <w:rPr>
                <w:sz w:val="20"/>
                <w:szCs w:val="20"/>
                <w:color w:val="auto"/>
              </w:rPr>
            </w:pPr>
            <w:r>
              <w:rPr>
                <w:rFonts w:ascii="Arial" w:cs="Arial" w:eastAsia="Arial" w:hAnsi="Arial"/>
                <w:sz w:val="20"/>
                <w:szCs w:val="20"/>
                <w:color w:val="auto"/>
              </w:rPr>
              <w:t>Executive Compensation</w:t>
            </w:r>
          </w:p>
        </w:tc>
        <w:tc>
          <w:tcPr>
            <w:tcW w:w="74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445"/>
        </w:trPr>
        <w:tc>
          <w:tcPr>
            <w:tcW w:w="1620" w:type="dxa"/>
            <w:vAlign w:val="bottom"/>
          </w:tcPr>
          <w:p>
            <w:pPr>
              <w:spacing w:after="0"/>
              <w:rPr>
                <w:sz w:val="24"/>
                <w:szCs w:val="24"/>
                <w:color w:val="auto"/>
              </w:rPr>
            </w:pPr>
          </w:p>
        </w:tc>
        <w:tc>
          <w:tcPr>
            <w:tcW w:w="7040" w:type="dxa"/>
            <w:vAlign w:val="bottom"/>
          </w:tcPr>
          <w:p>
            <w:pPr>
              <w:ind w:left="100"/>
              <w:spacing w:after="0"/>
              <w:rPr>
                <w:sz w:val="20"/>
                <w:szCs w:val="20"/>
                <w:color w:val="auto"/>
              </w:rPr>
            </w:pPr>
            <w:r>
              <w:rPr>
                <w:rFonts w:ascii="Arial" w:cs="Arial" w:eastAsia="Arial" w:hAnsi="Arial"/>
                <w:sz w:val="20"/>
                <w:szCs w:val="20"/>
                <w:color w:val="auto"/>
                <w:w w:val="97"/>
              </w:rPr>
              <w:t>Security Ownership of Certain Beneficial Owners and Management and Related</w:t>
            </w:r>
          </w:p>
        </w:tc>
        <w:tc>
          <w:tcPr>
            <w:tcW w:w="740" w:type="dxa"/>
            <w:vAlign w:val="bottom"/>
          </w:tcPr>
          <w:p>
            <w:pPr>
              <w:spacing w:after="0"/>
              <w:rPr>
                <w:sz w:val="24"/>
                <w:szCs w:val="24"/>
                <w:color w:val="auto"/>
              </w:rPr>
            </w:pPr>
          </w:p>
        </w:tc>
      </w:tr>
      <w:tr>
        <w:trPr>
          <w:trHeight w:val="265"/>
        </w:trPr>
        <w:tc>
          <w:tcPr>
            <w:tcW w:w="1620" w:type="dxa"/>
            <w:vAlign w:val="bottom"/>
          </w:tcPr>
          <w:p>
            <w:pPr>
              <w:ind w:left="860"/>
              <w:spacing w:after="0"/>
              <w:rPr>
                <w:sz w:val="20"/>
                <w:szCs w:val="20"/>
                <w:color w:val="auto"/>
              </w:rPr>
            </w:pPr>
            <w:r>
              <w:rPr>
                <w:rFonts w:ascii="Arial" w:cs="Arial" w:eastAsia="Arial" w:hAnsi="Arial"/>
                <w:sz w:val="20"/>
                <w:szCs w:val="20"/>
                <w:color w:val="auto"/>
              </w:rPr>
              <w:t>Item 12.</w:t>
            </w:r>
          </w:p>
        </w:tc>
        <w:tc>
          <w:tcPr>
            <w:tcW w:w="7040" w:type="dxa"/>
            <w:vAlign w:val="bottom"/>
          </w:tcPr>
          <w:p>
            <w:pPr>
              <w:ind w:left="100"/>
              <w:spacing w:after="0"/>
              <w:rPr>
                <w:sz w:val="20"/>
                <w:szCs w:val="20"/>
                <w:color w:val="auto"/>
              </w:rPr>
            </w:pPr>
            <w:r>
              <w:rPr>
                <w:rFonts w:ascii="Arial" w:cs="Arial" w:eastAsia="Arial" w:hAnsi="Arial"/>
                <w:sz w:val="20"/>
                <w:szCs w:val="20"/>
                <w:color w:val="auto"/>
              </w:rPr>
              <w:t>Stockholder Matters</w:t>
            </w:r>
          </w:p>
        </w:tc>
        <w:tc>
          <w:tcPr>
            <w:tcW w:w="74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480"/>
        </w:trPr>
        <w:tc>
          <w:tcPr>
            <w:tcW w:w="8660" w:type="dxa"/>
            <w:vAlign w:val="bottom"/>
            <w:gridSpan w:val="2"/>
          </w:tcPr>
          <w:p>
            <w:pPr>
              <w:ind w:left="860"/>
              <w:spacing w:after="0"/>
              <w:rPr>
                <w:sz w:val="20"/>
                <w:szCs w:val="20"/>
                <w:color w:val="auto"/>
              </w:rPr>
            </w:pPr>
            <w:r>
              <w:rPr>
                <w:rFonts w:ascii="Arial" w:cs="Arial" w:eastAsia="Arial" w:hAnsi="Arial"/>
                <w:sz w:val="20"/>
                <w:szCs w:val="20"/>
                <w:color w:val="auto"/>
              </w:rPr>
              <w:t>Item 13.  Certain Relationships and Related Transactions, and Director Independence</w:t>
            </w:r>
          </w:p>
        </w:tc>
        <w:tc>
          <w:tcPr>
            <w:tcW w:w="74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480"/>
        </w:trPr>
        <w:tc>
          <w:tcPr>
            <w:tcW w:w="8660" w:type="dxa"/>
            <w:vAlign w:val="bottom"/>
            <w:gridSpan w:val="2"/>
          </w:tcPr>
          <w:p>
            <w:pPr>
              <w:ind w:left="860"/>
              <w:spacing w:after="0"/>
              <w:rPr>
                <w:sz w:val="20"/>
                <w:szCs w:val="20"/>
                <w:color w:val="auto"/>
              </w:rPr>
            </w:pPr>
            <w:r>
              <w:rPr>
                <w:rFonts w:ascii="Arial" w:cs="Arial" w:eastAsia="Arial" w:hAnsi="Arial"/>
                <w:sz w:val="20"/>
                <w:szCs w:val="20"/>
                <w:color w:val="auto"/>
              </w:rPr>
              <w:t>Item 14.  Principal Accountant Fees and Services</w:t>
            </w:r>
          </w:p>
        </w:tc>
        <w:tc>
          <w:tcPr>
            <w:tcW w:w="74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480"/>
        </w:trPr>
        <w:tc>
          <w:tcPr>
            <w:tcW w:w="1620" w:type="dxa"/>
            <w:vAlign w:val="bottom"/>
          </w:tcPr>
          <w:p>
            <w:pPr>
              <w:spacing w:after="0"/>
              <w:rPr>
                <w:sz w:val="20"/>
                <w:szCs w:val="20"/>
                <w:color w:val="auto"/>
              </w:rPr>
            </w:pPr>
            <w:r>
              <w:rPr>
                <w:rFonts w:ascii="Arial" w:cs="Arial" w:eastAsia="Arial" w:hAnsi="Arial"/>
                <w:sz w:val="20"/>
                <w:szCs w:val="20"/>
                <w:color w:val="auto"/>
              </w:rPr>
              <w:t>Part IV</w:t>
            </w:r>
          </w:p>
        </w:tc>
        <w:tc>
          <w:tcPr>
            <w:tcW w:w="70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80"/>
        </w:trPr>
        <w:tc>
          <w:tcPr>
            <w:tcW w:w="8660" w:type="dxa"/>
            <w:vAlign w:val="bottom"/>
            <w:gridSpan w:val="2"/>
          </w:tcPr>
          <w:p>
            <w:pPr>
              <w:ind w:left="860"/>
              <w:spacing w:after="0"/>
              <w:rPr>
                <w:sz w:val="20"/>
                <w:szCs w:val="20"/>
                <w:color w:val="auto"/>
              </w:rPr>
            </w:pPr>
            <w:r>
              <w:rPr>
                <w:rFonts w:ascii="Arial" w:cs="Arial" w:eastAsia="Arial" w:hAnsi="Arial"/>
                <w:sz w:val="20"/>
                <w:szCs w:val="20"/>
                <w:color w:val="auto"/>
              </w:rPr>
              <w:t>Item 15.  Exhibits and Financial Statement Schedules</w:t>
            </w:r>
          </w:p>
        </w:tc>
        <w:tc>
          <w:tcPr>
            <w:tcW w:w="74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480"/>
        </w:trPr>
        <w:tc>
          <w:tcPr>
            <w:tcW w:w="8660" w:type="dxa"/>
            <w:vAlign w:val="bottom"/>
            <w:gridSpan w:val="2"/>
          </w:tcPr>
          <w:p>
            <w:pPr>
              <w:ind w:left="860"/>
              <w:spacing w:after="0"/>
              <w:rPr>
                <w:sz w:val="20"/>
                <w:szCs w:val="20"/>
                <w:color w:val="auto"/>
              </w:rPr>
            </w:pPr>
            <w:r>
              <w:rPr>
                <w:rFonts w:ascii="Arial" w:cs="Arial" w:eastAsia="Arial" w:hAnsi="Arial"/>
                <w:sz w:val="20"/>
                <w:szCs w:val="20"/>
                <w:color w:val="auto"/>
              </w:rPr>
              <w:t>Item 16.  Form 10-K Summary</w:t>
            </w:r>
          </w:p>
        </w:tc>
        <w:tc>
          <w:tcPr>
            <w:tcW w:w="74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480"/>
        </w:trPr>
        <w:tc>
          <w:tcPr>
            <w:tcW w:w="1620" w:type="dxa"/>
            <w:vAlign w:val="bottom"/>
          </w:tcPr>
          <w:p>
            <w:pPr>
              <w:spacing w:after="0"/>
              <w:rPr>
                <w:sz w:val="20"/>
                <w:szCs w:val="20"/>
                <w:color w:val="auto"/>
              </w:rPr>
            </w:pPr>
            <w:r>
              <w:rPr>
                <w:rFonts w:ascii="Arial" w:cs="Arial" w:eastAsia="Arial" w:hAnsi="Arial"/>
                <w:sz w:val="20"/>
                <w:szCs w:val="20"/>
                <w:color w:val="auto"/>
              </w:rPr>
              <w:t>Signatures</w:t>
            </w:r>
          </w:p>
        </w:tc>
        <w:tc>
          <w:tcPr>
            <w:tcW w:w="70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98</w:t>
            </w:r>
          </w:p>
        </w:tc>
      </w:tr>
    </w:tbl>
    <w:p>
      <w:pPr>
        <w:sectPr>
          <w:pgSz w:w="12240" w:h="15840" w:orient="portrait"/>
          <w:cols w:equalWidth="0" w:num="1">
            <w:col w:w="10080"/>
          </w:cols>
          <w:pgMar w:left="720" w:top="562"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CAUTIONARY NOTICE REGARDING FORWARD-LOOKING INFORMATION</w:t>
      </w:r>
    </w:p>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terms the "Company," "Bel," "we," "us," and "our" as used in this Annual Report on Form 10- K (this "Form 10-K" or this "Annual Report on Form 10-K") refer to Bel Fuse Inc. and its consolidated subsidiaries unless otherwise specified.</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Company's consolidated operating results are affected by a wide variety of factors that could materially and adversely affect revenues and profitability, including the risk factors described in Item 1A of this Form 10-K, and the risk factors described in our other reports and documents filed from time to time with the Securities and Exchange Commission (the "SEC"). As a result of these and other factors, the Company may experience material fluctuations in future operating results on a quarterly or annual basis, which could materially and adversely affect its business, consolidated financial condition, operating results, and common stock prices. Furthermore, this document and other reports and documents filed by the Company with the SEC contain certain forward-looking statements under the Private Securities Litigation Reform Act of 1995 ("Forward-Looking Statements") with respect to the business of the Company. Forward -Looking Statements are necessarily subject to risks and uncertainties, many of which are outside our control, that could cause actual results to differ materially from these statements. Forward-Looking Statements can be identified by such words as "anticipates," "believes," "plan," "assumes," "forecasts," "project," "could," "should," "estimates," "expects," "intends," "potential," "seek," "predict," "may," "will" and similar references to future periods. All statements other than statements of historical facts included in this report regarding our strategies, prospects, financial condition, operations, costs, plans and objectives are Forward-Looking Statements.</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These Forward-Looking Statements are subject to certain risks and uncertainties, including those detailed in Item 1A of this Form 10-K, and the risk factors described in our other reports and documents filed from time to time with the SEC, which could cause actual results to differ materially from these Forward-Looking Statements. Any Forward-Looking Statements are qualified in the entirety by reference to such risk factors discussed throughout this Form 10-K and as described in our other reports and documents filed from time to time with the SEC. Some of the risks, uncertainties and assumptions that could cause actual results to differ materially from estimates or projections contained in the Forward-Looking Statements include but are not limited to:</w:t>
      </w:r>
    </w:p>
    <w:p>
      <w:pPr>
        <w:spacing w:after="0" w:line="169" w:lineRule="exact"/>
        <w:rPr>
          <w:sz w:val="20"/>
          <w:szCs w:val="20"/>
          <w:color w:val="auto"/>
        </w:rPr>
      </w:pPr>
    </w:p>
    <w:p>
      <w:pPr>
        <w:ind w:left="1080" w:hanging="396"/>
        <w:spacing w:after="0" w:line="257" w:lineRule="auto"/>
        <w:tabs>
          <w:tab w:leader="none" w:pos="10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market concerns facing our customers, and risks for the Company’s business in the event of the loss of certain substantial customers;</w:t>
      </w:r>
    </w:p>
    <w:p>
      <w:pPr>
        <w:ind w:left="1040" w:hanging="356"/>
        <w:spacing w:after="0"/>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continuing viability of sectors that rely on our products;</w:t>
      </w:r>
    </w:p>
    <w:p>
      <w:pPr>
        <w:spacing w:after="0" w:line="8" w:lineRule="exact"/>
        <w:rPr>
          <w:rFonts w:ascii="Arial" w:cs="Arial" w:eastAsia="Arial" w:hAnsi="Arial"/>
          <w:sz w:val="20"/>
          <w:szCs w:val="20"/>
          <w:color w:val="auto"/>
        </w:rPr>
      </w:pPr>
    </w:p>
    <w:p>
      <w:pPr>
        <w:ind w:left="1040" w:hanging="356"/>
        <w:spacing w:after="0" w:line="244" w:lineRule="auto"/>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effects of business and economic conditions, and challenges impacting the macroeconomic environment generally and/or our industry in particular;</w:t>
      </w:r>
    </w:p>
    <w:p>
      <w:pPr>
        <w:ind w:left="1040" w:hanging="356"/>
        <w:spacing w:after="0" w:line="244" w:lineRule="auto"/>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effects of rising input costs, and cost changes generally, including the potential impact and effects of inflationary pressures;</w:t>
      </w:r>
    </w:p>
    <w:p>
      <w:pPr>
        <w:jc w:val="both"/>
        <w:ind w:left="1040" w:hanging="356"/>
        <w:spacing w:after="0" w:line="26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associated with integrating previously acquired companies, including any unanticipated difficulties relating to Bel’s November 2024 acquisition of its majority 80% owned subsidiary Enercon Technologies, Ltd. (“Enercon”), and including, without limitation, the risk that Bel is unable to integrate the Enercon business successfully or difficulties that result in the failure to realize anticipated strategic and revenue opportunities within the expected time period (if at all);</w:t>
      </w:r>
    </w:p>
    <w:p>
      <w:pPr>
        <w:spacing w:after="0" w:line="3" w:lineRule="exact"/>
        <w:rPr>
          <w:rFonts w:ascii="Arial" w:cs="Arial" w:eastAsia="Arial" w:hAnsi="Arial"/>
          <w:sz w:val="18"/>
          <w:szCs w:val="18"/>
          <w:color w:val="auto"/>
        </w:rPr>
      </w:pPr>
    </w:p>
    <w:p>
      <w:pPr>
        <w:jc w:val="both"/>
        <w:ind w:left="1040" w:hanging="356"/>
        <w:spacing w:after="0" w:line="242" w:lineRule="auto"/>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possibility that Bel’s intended acquisition of the remaining 20% stake in Enercon is not completed in accordance with the shareholders agreement as contemplated for any reason, and any resulting disruptions that may result to Bel’s business and our currently 80% owned Enercon subsidiary as a result thereof;</w:t>
      </w:r>
    </w:p>
    <w:p>
      <w:pPr>
        <w:spacing w:after="0" w:line="1" w:lineRule="exact"/>
        <w:rPr>
          <w:rFonts w:ascii="Arial" w:cs="Arial" w:eastAsia="Arial" w:hAnsi="Arial"/>
          <w:sz w:val="20"/>
          <w:szCs w:val="20"/>
          <w:color w:val="auto"/>
        </w:rPr>
      </w:pPr>
    </w:p>
    <w:p>
      <w:pPr>
        <w:jc w:val="both"/>
        <w:ind w:left="1040" w:hanging="356"/>
        <w:spacing w:after="0" w:line="241" w:lineRule="auto"/>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trends in demand which can affect our products and results, including that demand in Enercon’s end markets can be cyclical, impacting the demand for Enercon’s products, which could be materially adversely affected by reductions in defense spending;</w:t>
      </w:r>
    </w:p>
    <w:p>
      <w:pPr>
        <w:spacing w:after="0" w:line="2" w:lineRule="exact"/>
        <w:rPr>
          <w:rFonts w:ascii="Arial" w:cs="Arial" w:eastAsia="Arial" w:hAnsi="Arial"/>
          <w:sz w:val="20"/>
          <w:szCs w:val="20"/>
          <w:color w:val="auto"/>
        </w:rPr>
      </w:pPr>
    </w:p>
    <w:p>
      <w:pPr>
        <w:ind w:left="1040" w:hanging="356"/>
        <w:spacing w:after="0"/>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capacity and supply constraints or difficulties, including supply chain constraints or other challenges;</w:t>
      </w:r>
    </w:p>
    <w:p>
      <w:pPr>
        <w:spacing w:after="0" w:line="8" w:lineRule="exact"/>
        <w:rPr>
          <w:rFonts w:ascii="Arial" w:cs="Arial" w:eastAsia="Arial" w:hAnsi="Arial"/>
          <w:sz w:val="20"/>
          <w:szCs w:val="20"/>
          <w:color w:val="auto"/>
        </w:rPr>
      </w:pPr>
    </w:p>
    <w:p>
      <w:pPr>
        <w:ind w:left="1040" w:hanging="356"/>
        <w:spacing w:after="0"/>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impact of public health crises including potential future outbreaks, epidemics or pandemics;</w:t>
      </w:r>
    </w:p>
    <w:p>
      <w:pPr>
        <w:spacing w:after="0" w:line="8" w:lineRule="exact"/>
        <w:rPr>
          <w:rFonts w:ascii="Arial" w:cs="Arial" w:eastAsia="Arial" w:hAnsi="Arial"/>
          <w:sz w:val="20"/>
          <w:szCs w:val="20"/>
          <w:color w:val="auto"/>
        </w:rPr>
      </w:pPr>
    </w:p>
    <w:p>
      <w:pPr>
        <w:ind w:left="1040" w:hanging="356"/>
        <w:spacing w:after="0"/>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difficulties associated with the availability of labor, and the risks of any labor unrest or labor shortages;</w:t>
      </w:r>
    </w:p>
    <w:p>
      <w:pPr>
        <w:spacing w:after="0" w:line="8" w:lineRule="exact"/>
        <w:rPr>
          <w:rFonts w:ascii="Arial" w:cs="Arial" w:eastAsia="Arial" w:hAnsi="Arial"/>
          <w:sz w:val="20"/>
          <w:szCs w:val="20"/>
          <w:color w:val="auto"/>
        </w:rPr>
      </w:pPr>
    </w:p>
    <w:p>
      <w:pPr>
        <w:jc w:val="both"/>
        <w:ind w:left="1040" w:hanging="356"/>
        <w:spacing w:after="0" w:line="241" w:lineRule="auto"/>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risks associated with our international operations, including our substantial manufacturing operations in the People's Republic of China (the "PRC"), and following Bel’s acquisition of Enercon which closed in November 2024, risks associated with operations in Israel, which may be adversely affected by political or economic instability, military activity, major hostilities or acts of terrorism in the region;</w:t>
      </w:r>
    </w:p>
    <w:p>
      <w:pPr>
        <w:spacing w:after="0" w:line="2" w:lineRule="exact"/>
        <w:rPr>
          <w:rFonts w:ascii="Arial" w:cs="Arial" w:eastAsia="Arial" w:hAnsi="Arial"/>
          <w:sz w:val="20"/>
          <w:szCs w:val="20"/>
          <w:color w:val="auto"/>
        </w:rPr>
      </w:pPr>
    </w:p>
    <w:p>
      <w:pPr>
        <w:ind w:left="1040" w:hanging="356"/>
        <w:spacing w:after="0" w:line="244" w:lineRule="auto"/>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risks associated with restructuring programs or other strategic initiatives, including any difficulties in implementation or realization of the expected benefits or cost savings;</w:t>
      </w:r>
    </w:p>
    <w:p>
      <w:pPr>
        <w:ind w:left="1040" w:hanging="356"/>
        <w:spacing w:after="0"/>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product development, commercialization or technological difficulties;</w:t>
      </w:r>
    </w:p>
    <w:p>
      <w:pPr>
        <w:spacing w:after="0" w:line="8" w:lineRule="exact"/>
        <w:rPr>
          <w:rFonts w:ascii="Arial" w:cs="Arial" w:eastAsia="Arial" w:hAnsi="Arial"/>
          <w:sz w:val="20"/>
          <w:szCs w:val="20"/>
          <w:color w:val="auto"/>
        </w:rPr>
      </w:pPr>
    </w:p>
    <w:p>
      <w:pPr>
        <w:ind w:left="1040" w:hanging="356"/>
        <w:spacing w:after="0"/>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regulatory and trade environment;</w:t>
      </w:r>
    </w:p>
    <w:p>
      <w:pPr>
        <w:spacing w:after="0" w:line="8" w:lineRule="exact"/>
        <w:rPr>
          <w:rFonts w:ascii="Arial" w:cs="Arial" w:eastAsia="Arial" w:hAnsi="Arial"/>
          <w:sz w:val="20"/>
          <w:szCs w:val="20"/>
          <w:color w:val="auto"/>
        </w:rPr>
      </w:pPr>
    </w:p>
    <w:p>
      <w:pPr>
        <w:ind w:left="1040" w:hanging="356"/>
        <w:spacing w:after="0"/>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risks associated with fluctuations in foreign currency exchange rates and interest rates;</w:t>
      </w:r>
    </w:p>
    <w:p>
      <w:pPr>
        <w:spacing w:after="0" w:line="8" w:lineRule="exact"/>
        <w:rPr>
          <w:rFonts w:ascii="Arial" w:cs="Arial" w:eastAsia="Arial" w:hAnsi="Arial"/>
          <w:sz w:val="20"/>
          <w:szCs w:val="20"/>
          <w:color w:val="auto"/>
        </w:rPr>
      </w:pPr>
    </w:p>
    <w:p>
      <w:pPr>
        <w:ind w:left="1040" w:hanging="356"/>
        <w:spacing w:after="0"/>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color w:val="auto"/>
        </w:rPr>
        <w:t>uncertainties associated with legal proceedings;</w:t>
      </w:r>
    </w:p>
    <w:p>
      <w:pPr>
        <w:spacing w:after="0" w:line="8" w:lineRule="exact"/>
        <w:rPr>
          <w:rFonts w:ascii="Arial" w:cs="Arial" w:eastAsia="Arial" w:hAnsi="Arial"/>
          <w:sz w:val="20"/>
          <w:szCs w:val="20"/>
          <w:color w:val="auto"/>
        </w:rPr>
      </w:pPr>
    </w:p>
    <w:p>
      <w:pPr>
        <w:ind w:left="1040" w:hanging="356"/>
        <w:spacing w:after="0"/>
        <w:tabs>
          <w:tab w:leader="none" w:pos="10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market's acceptance of the Company's new products and competitive responses to those new products; and</w:t>
      </w:r>
    </w:p>
    <w:p>
      <w:pPr>
        <w:spacing w:after="0" w:line="20" w:lineRule="exact"/>
        <w:rPr>
          <w:rFonts w:ascii="Arial" w:cs="Arial" w:eastAsia="Arial" w:hAnsi="Arial"/>
          <w:sz w:val="19"/>
          <w:szCs w:val="19"/>
          <w:color w:val="auto"/>
        </w:rPr>
      </w:pPr>
    </w:p>
    <w:p>
      <w:pPr>
        <w:jc w:val="both"/>
        <w:ind w:left="1040" w:hanging="356"/>
        <w:spacing w:after="0" w:line="261" w:lineRule="auto"/>
        <w:tabs>
          <w:tab w:leader="none" w:pos="10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impact of changes to U.S. and applicable foreign legal and regulatory requirements, including tax laws, trade and tariff policies, such as any new or increase in tariffs, imposed either by the U.S. government on foreign imports or by a foreign government on U.S. exports related to the countries in which Bel transacts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2240" w:h="15840" w:orient="portrait"/>
          <w:cols w:equalWidth="0" w:num="1">
            <w:col w:w="10800"/>
          </w:cols>
          <w:pgMar w:left="720" w:top="781" w:right="720" w:bottom="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8"/>
          <w:szCs w:val="18"/>
          <w:color w:val="auto"/>
        </w:rPr>
        <w:t>The foregoing list sets forth some, but not all, of the factors that could affect our ability to achieve results described in any Forward-Looking Statements, which speak only as of the date of this Form 10-K or the date of the document incorporated by reference into this report. Except as required by law, we assume no obligation and expressly disclaim any duty to publicly release the results of any revisions to these Forward-Looking Statements or otherwise update any Forward-Looking Statement to reflect events or circumstances after the date of this Form 10-K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 contained in this Form 10- K. Any Forward-Looking Statement made by the Company is based only on information currently available to us and speaks only as of the date on which it is made. All Forward-Looking Statements are expressly qualified in their entirety by the cautionary statements contained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2240" w:h="15840" w:orient="portrait"/>
          <w:cols w:equalWidth="0" w:num="1">
            <w:col w:w="10800"/>
          </w:cols>
          <w:pgMar w:left="720" w:top="556" w:right="720" w:bottom="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PART I</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 </w:t>
      </w:r>
      <w:r>
        <w:rPr>
          <w:rFonts w:ascii="Arial" w:cs="Arial" w:eastAsia="Arial" w:hAnsi="Arial"/>
          <w:sz w:val="20"/>
          <w:szCs w:val="20"/>
          <w:b w:val="1"/>
          <w:bCs w:val="1"/>
          <w:i w:val="1"/>
          <w:iCs w:val="1"/>
          <w:color w:val="auto"/>
        </w:rPr>
        <w:t>Business</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Bel Fuse Inc. designs, manufactures and markets a broad array of products that power, protect and connect electronic circuits. These products are primarily used in the defense, commercial aerospace, networking, telecommunications, computing, general industrial, high-speed data transmission, transportation and eMobility industries. Bel's portfolio of products also finds application in the automotive, medical, broadcasting and consumer electronics markets. Bel's product groups include Power Solutions and Protection (front-end, board-mount, industrial and transportation power products, module products and circuit protection), Connectivity Solutions (expanded beam fiber optic, copper-based, RF and RJ connectors and cable assemblies), and Magnetic Solutions (integrated connector modules, power transformers, power inductors and discrete components).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With more than 75 years in operation, Bel has reliably demonstrated the ability to participate in a variety of product areas across a global platform. The Company has a strong track record of technical innovation working with the engineering teams of market leaders. Bel has proven itself a valuable supplier to world-class companies by developing new products with cost effective solutions.</w:t>
      </w:r>
    </w:p>
    <w:p>
      <w:pPr>
        <w:spacing w:after="0" w:line="1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The Company was incorporated in 1949 and is organized under New Jersey law. Bel's principal executive offices are located at 300 Executive Drive, Suite 300, West Orange, New Jersey 07052, and Bel's telephone number is (201) 432-0463. The Company operates facilities in North America, Europe and the Middle East (referred to as the "EMEA" region throughout), and Asia and trades on the NASDAQ Global Select Market (ticker symbols BELFA and BELFB). For information regarding Bel's operating segments, see Note 14, </w:t>
      </w:r>
      <w:r>
        <w:rPr>
          <w:rFonts w:ascii="Arial" w:cs="Arial" w:eastAsia="Arial" w:hAnsi="Arial"/>
          <w:sz w:val="20"/>
          <w:szCs w:val="20"/>
          <w:i w:val="1"/>
          <w:iCs w:val="1"/>
          <w:color w:val="auto"/>
        </w:rPr>
        <w:t>"Segments"</w:t>
      </w:r>
      <w:r>
        <w:rPr>
          <w:rFonts w:ascii="Arial" w:cs="Arial" w:eastAsia="Arial" w:hAnsi="Arial"/>
          <w:sz w:val="20"/>
          <w:szCs w:val="20"/>
          <w:color w:val="auto"/>
        </w:rPr>
        <w:t xml:space="preserve">, of the notes to our consolidated financial statements. Hereinafter, all references to "Note" will refer to the notes to our consolidated financial statements included in Part II, Item 8. </w:t>
      </w:r>
      <w:r>
        <w:rPr>
          <w:rFonts w:ascii="Arial" w:cs="Arial" w:eastAsia="Arial" w:hAnsi="Arial"/>
          <w:sz w:val="20"/>
          <w:szCs w:val="20"/>
          <w:i w:val="1"/>
          <w:iCs w:val="1"/>
          <w:color w:val="auto"/>
        </w:rPr>
        <w:t>"Financial Statements and Supplementary Data"</w:t>
      </w:r>
      <w:r>
        <w:rPr>
          <w:rFonts w:ascii="Arial" w:cs="Arial" w:eastAsia="Arial" w:hAnsi="Arial"/>
          <w:sz w:val="20"/>
          <w:szCs w:val="20"/>
          <w:color w:val="auto"/>
        </w:rPr>
        <w:t xml:space="preserve"> of this Annual Report on Form 10-K.</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Acquisitions have played a critical role in the growth of Bel and the expansion of both our product portfolio and our customer base and continue to be an important element in our growth strategy. We frequently evaluate possible acquisition candidates that would expand our product and technology offerings to our customers and/or optimize our overall cost structure.</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On November 14, 2024, the Company closed on the acquisition of its majority 80% stake in Enercon Technologies, Ltd. (“Enercon”) pursuant to the terms of the Share Purchase Agreement, dated as of September 19, 2024 (the “Purchase Agreement”), by and among the Company, Enercon, and FF3 Holdings, L.P., for itself and as Sellers’ Representative (“FF3”), and each of the other seller parties signatory thereto (collectively with FF3, the “Sellers”). Enercon is a leading supplier of highly customized power conversion and networking solutions to aerospace and defense markets globally, providing robust and reliable solutions across air, land and sea applications. Enercon is based in Netanya, Israel with additional facilities in New Hampshire, U.S. and Haryana, India. The Enercon business is part of Bel’s Power Solutions and Protection group. At the closing, Bel paid an aggregate of approximately $325.6 million in cash in respect of the cash purchase price (after giving effect to estimated adjustments taken at closing including for Enercon’s cash, indebtedness, net working capital and unpaid transaction costs, and subject to further adjustment post-closing). Bel funded the closing of the transaction through cash on hand of approximately $85.6 million and with approximately $240 million provided through incremental borrowings under the Company’s revolving credit facility. Pursuant to the transaction documents, Bel may acquire the remaining 20% stake in Enercon and has the current intention to so purchase such remaining interest by early 2027 in accordance with the terms and subject to the conditions of a shareholders’ agreement, which was also entered into on November 14, 2024. The preceding statement regarding Bel’s intention to purchase the remaining interest in Enercon represents a Forward-Looking Statement. See </w:t>
      </w:r>
      <w:r>
        <w:rPr>
          <w:rFonts w:ascii="Arial" w:cs="Arial" w:eastAsia="Arial" w:hAnsi="Arial"/>
          <w:sz w:val="18"/>
          <w:szCs w:val="18"/>
          <w:i w:val="1"/>
          <w:iCs w:val="1"/>
          <w:color w:val="auto"/>
        </w:rPr>
        <w:t>"Cautionary Notice Regarding Forward-Looking Information."</w:t>
      </w:r>
      <w:r>
        <w:rPr>
          <w:rFonts w:ascii="Arial" w:cs="Arial" w:eastAsia="Arial" w:hAnsi="Arial"/>
          <w:sz w:val="18"/>
          <w:szCs w:val="18"/>
          <w:color w:val="auto"/>
        </w:rPr>
        <w:t xml:space="preserve"> See Note 3, “</w:t>
      </w:r>
      <w:r>
        <w:rPr>
          <w:rFonts w:ascii="Arial" w:cs="Arial" w:eastAsia="Arial" w:hAnsi="Arial"/>
          <w:sz w:val="18"/>
          <w:szCs w:val="18"/>
          <w:i w:val="1"/>
          <w:iCs w:val="1"/>
          <w:color w:val="auto"/>
        </w:rPr>
        <w:t>Acquisition</w:t>
      </w:r>
      <w:r>
        <w:rPr>
          <w:rFonts w:ascii="Arial" w:cs="Arial" w:eastAsia="Arial" w:hAnsi="Arial"/>
          <w:sz w:val="18"/>
          <w:szCs w:val="18"/>
          <w:color w:val="auto"/>
        </w:rPr>
        <w:t>” for further details about the Enercon acquisition.</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On February 1, 2023, Bel closed on an €8.0 million (approximately $8.8 million as of the February 2023 closing) noncontrolling (one-third) investment in innolectric AG ("innolectric"), a Germany-based business in the field of on-board charging for eMobility applications. This passive investment was intended to create a strategic alliance that is focused on Electric Vehicles (“EV”) on -board power electronics, and in particular next generation fast-charging technology. The innolectric investment has been part of Bel's Power Solutions and Protection group. See Note 2, “</w:t>
      </w:r>
      <w:r>
        <w:rPr>
          <w:rFonts w:ascii="Arial" w:cs="Arial" w:eastAsia="Arial" w:hAnsi="Arial"/>
          <w:sz w:val="20"/>
          <w:szCs w:val="20"/>
          <w:i w:val="1"/>
          <w:iCs w:val="1"/>
          <w:color w:val="auto"/>
        </w:rPr>
        <w:t>Investment and Impairment in Innolectric</w:t>
      </w:r>
      <w:r>
        <w:rPr>
          <w:rFonts w:ascii="Arial" w:cs="Arial" w:eastAsia="Arial" w:hAnsi="Arial"/>
          <w:sz w:val="20"/>
          <w:szCs w:val="20"/>
          <w:color w:val="auto"/>
        </w:rPr>
        <w:t>” for further information on the current status of the Company’s investment in innolectric.</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On March 31, 2021, the Company completed the acquisition of EOS Power ("EOS") through a stock purchase agreement for $7.8 million, net of cash acquired, including a working capital adjustment. EOS, located in Mumbai, India, enhanced Bel's position related to certain industrial and medical markets historically served by EOS, with a strong line of high-power density and low-profile products with high convection ratings. In addition to new products and customers acquired, this acquisition diversified Bel's manufacturing footprint in Asia. The EOS business is part of Bel's Power Solutions and Protection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2240" w:h="15840" w:orient="portrait"/>
          <w:cols w:equalWidth="0" w:num="1">
            <w:col w:w="10800"/>
          </w:cols>
          <w:pgMar w:left="720" w:top="551" w:right="720" w:bottom="0" w:gutter="0" w:footer="0" w:header="0"/>
        </w:sectPr>
      </w:pPr>
    </w:p>
    <w:bookmarkStart w:id="13" w:name="page14"/>
    <w:bookmarkEnd w:id="13"/>
    <w:p>
      <w:pPr>
        <w:jc w:val="both"/>
        <w:ind w:right="80"/>
        <w:spacing w:after="0" w:line="259" w:lineRule="auto"/>
        <w:rPr>
          <w:sz w:val="20"/>
          <w:szCs w:val="20"/>
          <w:color w:val="auto"/>
        </w:rPr>
      </w:pPr>
      <w:r>
        <w:rPr>
          <w:rFonts w:ascii="Arial" w:cs="Arial" w:eastAsia="Arial" w:hAnsi="Arial"/>
          <w:sz w:val="19"/>
          <w:szCs w:val="19"/>
          <w:color w:val="auto"/>
        </w:rPr>
        <w:t>On January 8, 2021, the Company acquired rms Connectors, Inc. (“rms Connectors” or "rms"), from rms Company Inc., a division of Cretex Companies, Inc., for $9.0 million in cash, including a working capital adjustment. rms Connectors is a highly regarded connector manufacturer with over 30 years of experience producing harsh environment circular connectors used in a variety of military and aerospace applications. This acquisition complemented Bel's existing military and aerospace product portfolio and enabled us to expand key customer relationships within these end markets and leverage the combined manufacturing resources to improve our operational efficiency. Originally based in Coon Rapids, Minnesota, the rms Connectors business was relocated into Bel's existing facilities during 2021 and is part of Bel's Connectivity Solutions group.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w:t>
      </w:r>
    </w:p>
    <w:p>
      <w:pPr>
        <w:spacing w:after="0" w:line="233" w:lineRule="exact"/>
        <w:rPr>
          <w:sz w:val="20"/>
          <w:szCs w:val="20"/>
          <w:color w:val="auto"/>
        </w:rPr>
      </w:pPr>
    </w:p>
    <w:p>
      <w:pPr>
        <w:jc w:val="both"/>
        <w:ind w:right="80"/>
        <w:spacing w:after="0" w:line="263" w:lineRule="auto"/>
        <w:rPr>
          <w:sz w:val="20"/>
          <w:szCs w:val="20"/>
          <w:color w:val="auto"/>
        </w:rPr>
      </w:pPr>
      <w:r>
        <w:rPr>
          <w:rFonts w:ascii="Arial" w:cs="Arial" w:eastAsia="Arial" w:hAnsi="Arial"/>
          <w:sz w:val="19"/>
          <w:szCs w:val="19"/>
          <w:color w:val="auto"/>
        </w:rPr>
        <w:t>The Company primarily generates revenue through the sale of its products. Bel offers a broad array of product offerings, which are grouped as follows: Power Solutions &amp; Protection (53% of net sales in 2025), Connectivity Solutions (34% of net sales in 2025) and Magnetic Solutions (13% of net sales in 2025). While there are key customers and end markets within each of the three product groups, there were no direct customers who accounted for more than 10% of our consolidated net sales in 2025. Our diverse product mix and customer base minimizes our dependence on any one customer or end market.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Power Solutions and Protection</w:t>
      </w:r>
    </w:p>
    <w:p>
      <w:pPr>
        <w:spacing w:after="0" w:line="229" w:lineRule="exact"/>
        <w:rPr>
          <w:sz w:val="20"/>
          <w:szCs w:val="20"/>
          <w:color w:val="auto"/>
        </w:rPr>
      </w:pPr>
    </w:p>
    <w:p>
      <w:pPr>
        <w:jc w:val="both"/>
        <w:ind w:right="80"/>
        <w:spacing w:after="0" w:line="267" w:lineRule="auto"/>
        <w:rPr>
          <w:sz w:val="20"/>
          <w:szCs w:val="20"/>
          <w:color w:val="auto"/>
        </w:rPr>
      </w:pPr>
      <w:r>
        <w:rPr>
          <w:rFonts w:ascii="Arial" w:cs="Arial" w:eastAsia="Arial" w:hAnsi="Arial"/>
          <w:sz w:val="19"/>
          <w:szCs w:val="19"/>
          <w:color w:val="auto"/>
        </w:rPr>
        <w:t>Bel's power conversion products include internal and external AC/DC power supplies, DC/DC converters and DC/AC inverters. Bel circuit protection products include a board offering of surface mount and through-hole level fuses as well as Polymeric PTC (Positive Temperature Coefficient) devices. The Power and Protection products are primarily used in Aerospace, Defense, Servers, Storage, Networking, Transportation, Harsh Environment, Consumer, Medical and Industrial markets.</w:t>
      </w:r>
    </w:p>
    <w:p>
      <w:pPr>
        <w:sectPr>
          <w:pgSz w:w="12240" w:h="15840" w:orient="portrait"/>
          <w:cols w:equalWidth="0" w:num="1">
            <w:col w:w="10880"/>
          </w:cols>
          <w:pgMar w:left="720" w:top="555" w:right="640" w:bottom="0" w:gutter="0" w:footer="0" w:header="0"/>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ind w:left="580"/>
              <w:spacing w:after="0"/>
              <w:rPr>
                <w:sz w:val="20"/>
                <w:szCs w:val="20"/>
                <w:color w:val="auto"/>
              </w:rPr>
            </w:pPr>
            <w:r>
              <w:rPr>
                <w:rFonts w:ascii="Arial" w:cs="Arial" w:eastAsia="Arial" w:hAnsi="Arial"/>
                <w:sz w:val="20"/>
                <w:szCs w:val="20"/>
                <w:b w:val="1"/>
                <w:bCs w:val="1"/>
                <w:color w:val="auto"/>
              </w:rPr>
              <w:t>Product Line</w:t>
            </w:r>
          </w:p>
        </w:tc>
        <w:tc>
          <w:tcPr>
            <w:tcW w:w="2600" w:type="dxa"/>
            <w:vAlign w:val="bottom"/>
            <w:tcBorders>
              <w:bottom w:val="single" w:sz="8" w:color="auto"/>
            </w:tcBorders>
          </w:tcPr>
          <w:p>
            <w:pPr>
              <w:ind w:left="920"/>
              <w:spacing w:after="0"/>
              <w:rPr>
                <w:sz w:val="20"/>
                <w:szCs w:val="20"/>
                <w:color w:val="auto"/>
              </w:rPr>
            </w:pPr>
            <w:r>
              <w:rPr>
                <w:rFonts w:ascii="Arial" w:cs="Arial" w:eastAsia="Arial" w:hAnsi="Arial"/>
                <w:sz w:val="20"/>
                <w:szCs w:val="20"/>
                <w:b w:val="1"/>
                <w:bCs w:val="1"/>
                <w:color w:val="auto"/>
              </w:rPr>
              <w:t>Function</w:t>
            </w:r>
          </w:p>
        </w:tc>
        <w:tc>
          <w:tcPr>
            <w:tcW w:w="20" w:type="dxa"/>
            <w:vAlign w:val="bottom"/>
          </w:tcPr>
          <w:p>
            <w:pPr>
              <w:spacing w:after="0"/>
              <w:rPr>
                <w:sz w:val="24"/>
                <w:szCs w:val="24"/>
                <w:color w:val="auto"/>
              </w:rPr>
            </w:pPr>
          </w:p>
        </w:tc>
        <w:tc>
          <w:tcPr>
            <w:tcW w:w="260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Applications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w w:val="99"/>
              </w:rPr>
              <w:t>Provides the primary point of</w:t>
            </w:r>
          </w:p>
        </w:tc>
        <w:tc>
          <w:tcPr>
            <w:tcW w:w="20" w:type="dxa"/>
            <w:vAlign w:val="bottom"/>
          </w:tcPr>
          <w:p>
            <w:pPr>
              <w:spacing w:after="0"/>
              <w:rPr>
                <w:sz w:val="20"/>
                <w:szCs w:val="20"/>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Servers, telecommunication,</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w w:val="92"/>
              </w:rPr>
              <w:t>isolation between AC main line</w:t>
            </w:r>
          </w:p>
        </w:tc>
        <w:tc>
          <w:tcPr>
            <w:tcW w:w="2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network and data storage</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280" w:type="dxa"/>
            <w:vAlign w:val="bottom"/>
          </w:tcPr>
          <w:p>
            <w:pPr>
              <w:ind w:left="40"/>
              <w:spacing w:after="0"/>
              <w:rPr>
                <w:sz w:val="20"/>
                <w:szCs w:val="20"/>
                <w:color w:val="auto"/>
              </w:rPr>
            </w:pPr>
            <w:r>
              <w:rPr>
                <w:rFonts w:ascii="Arial" w:cs="Arial" w:eastAsia="Arial" w:hAnsi="Arial"/>
                <w:sz w:val="20"/>
                <w:szCs w:val="20"/>
                <w:color w:val="auto"/>
                <w:w w:val="95"/>
              </w:rPr>
              <w:t>Front-End Power Supplies</w:t>
            </w:r>
          </w:p>
        </w:tc>
        <w:tc>
          <w:tcPr>
            <w:tcW w:w="2600" w:type="dxa"/>
            <w:vAlign w:val="bottom"/>
          </w:tcPr>
          <w:p>
            <w:pPr>
              <w:ind w:left="40"/>
              <w:spacing w:after="0"/>
              <w:rPr>
                <w:sz w:val="20"/>
                <w:szCs w:val="20"/>
                <w:color w:val="auto"/>
              </w:rPr>
            </w:pPr>
            <w:r>
              <w:rPr>
                <w:rFonts w:ascii="Arial" w:cs="Arial" w:eastAsia="Arial" w:hAnsi="Arial"/>
                <w:sz w:val="20"/>
                <w:szCs w:val="20"/>
                <w:color w:val="auto"/>
                <w:w w:val="94"/>
              </w:rPr>
              <w:t>(input) and the low-voltage DC</w:t>
            </w:r>
          </w:p>
        </w:tc>
        <w:tc>
          <w:tcPr>
            <w:tcW w:w="2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equipment.</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w w:val="93"/>
              </w:rPr>
              <w:t>output that is used to power all</w:t>
            </w: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rPr>
              <w:t>electronics downstream.</w:t>
            </w:r>
          </w:p>
        </w:tc>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0" w:type="dxa"/>
            <w:vAlign w:val="bottom"/>
          </w:tcPr>
          <w:p>
            <w:pPr>
              <w:ind w:left="40"/>
              <w:spacing w:after="0" w:line="225" w:lineRule="exact"/>
              <w:rPr>
                <w:sz w:val="20"/>
                <w:szCs w:val="20"/>
                <w:color w:val="auto"/>
              </w:rPr>
            </w:pPr>
            <w:r>
              <w:rPr>
                <w:rFonts w:ascii="Arial" w:cs="Arial" w:eastAsia="Arial" w:hAnsi="Arial"/>
                <w:sz w:val="20"/>
                <w:szCs w:val="20"/>
                <w:color w:val="auto"/>
              </w:rPr>
              <w:t>These are designed to be</w:t>
            </w:r>
          </w:p>
        </w:tc>
        <w:tc>
          <w:tcPr>
            <w:tcW w:w="20" w:type="dxa"/>
            <w:vAlign w:val="bottom"/>
          </w:tcPr>
          <w:p>
            <w:pPr>
              <w:spacing w:after="0"/>
              <w:rPr>
                <w:sz w:val="19"/>
                <w:szCs w:val="19"/>
                <w:color w:val="auto"/>
              </w:rPr>
            </w:pPr>
          </w:p>
        </w:tc>
        <w:tc>
          <w:tcPr>
            <w:tcW w:w="2600" w:type="dxa"/>
            <w:vAlign w:val="bottom"/>
          </w:tcPr>
          <w:p>
            <w:pPr>
              <w:ind w:left="20"/>
              <w:spacing w:after="0" w:line="225" w:lineRule="exact"/>
              <w:rPr>
                <w:sz w:val="20"/>
                <w:szCs w:val="20"/>
                <w:color w:val="auto"/>
              </w:rPr>
            </w:pPr>
            <w:r>
              <w:rPr>
                <w:rFonts w:ascii="Arial" w:cs="Arial" w:eastAsia="Arial" w:hAnsi="Arial"/>
                <w:sz w:val="20"/>
                <w:szCs w:val="20"/>
                <w:color w:val="auto"/>
              </w:rPr>
              <w:t>Telecommunication,</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rPr>
              <w:t>mounted on a circuit board.</w:t>
            </w:r>
          </w:p>
        </w:tc>
        <w:tc>
          <w:tcPr>
            <w:tcW w:w="2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w w:val="96"/>
              </w:rPr>
              <w:t>networking and a broad range</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280" w:type="dxa"/>
            <w:vAlign w:val="bottom"/>
          </w:tcPr>
          <w:p>
            <w:pPr>
              <w:ind w:left="40"/>
              <w:spacing w:after="0"/>
              <w:rPr>
                <w:sz w:val="20"/>
                <w:szCs w:val="20"/>
                <w:color w:val="auto"/>
              </w:rPr>
            </w:pPr>
            <w:r>
              <w:rPr>
                <w:rFonts w:ascii="Arial" w:cs="Arial" w:eastAsia="Arial" w:hAnsi="Arial"/>
                <w:sz w:val="20"/>
                <w:szCs w:val="20"/>
                <w:color w:val="auto"/>
              </w:rPr>
              <w:t>Board-Mount Power</w:t>
            </w:r>
          </w:p>
        </w:tc>
        <w:tc>
          <w:tcPr>
            <w:tcW w:w="2600" w:type="dxa"/>
            <w:vAlign w:val="bottom"/>
          </w:tcPr>
          <w:p>
            <w:pPr>
              <w:ind w:left="40"/>
              <w:spacing w:after="0"/>
              <w:rPr>
                <w:sz w:val="20"/>
                <w:szCs w:val="20"/>
                <w:color w:val="auto"/>
              </w:rPr>
            </w:pPr>
            <w:r>
              <w:rPr>
                <w:rFonts w:ascii="Arial" w:cs="Arial" w:eastAsia="Arial" w:hAnsi="Arial"/>
                <w:sz w:val="20"/>
                <w:szCs w:val="20"/>
                <w:color w:val="auto"/>
              </w:rPr>
              <w:t>These converters take input</w:t>
            </w:r>
          </w:p>
        </w:tc>
        <w:tc>
          <w:tcPr>
            <w:tcW w:w="2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of industrial applications.</w:t>
            </w:r>
          </w:p>
        </w:tc>
        <w:tc>
          <w:tcPr>
            <w:tcW w:w="0" w:type="dxa"/>
            <w:vAlign w:val="bottom"/>
          </w:tcPr>
          <w:p>
            <w:pPr>
              <w:spacing w:after="0"/>
              <w:rPr>
                <w:sz w:val="1"/>
                <w:szCs w:val="1"/>
                <w:color w:val="auto"/>
              </w:rPr>
            </w:pPr>
          </w:p>
        </w:tc>
      </w:tr>
      <w:tr>
        <w:trPr>
          <w:trHeight w:val="227"/>
        </w:trPr>
        <w:tc>
          <w:tcPr>
            <w:tcW w:w="980" w:type="dxa"/>
            <w:vAlign w:val="bottom"/>
          </w:tcPr>
          <w:p>
            <w:pPr>
              <w:spacing w:after="0"/>
              <w:rPr>
                <w:sz w:val="19"/>
                <w:szCs w:val="19"/>
                <w:color w:val="auto"/>
              </w:rPr>
            </w:pPr>
          </w:p>
        </w:tc>
        <w:tc>
          <w:tcPr>
            <w:tcW w:w="2280" w:type="dxa"/>
            <w:vAlign w:val="bottom"/>
          </w:tcPr>
          <w:p>
            <w:pPr>
              <w:ind w:left="40"/>
              <w:spacing w:after="0" w:line="227" w:lineRule="exact"/>
              <w:rPr>
                <w:sz w:val="20"/>
                <w:szCs w:val="20"/>
                <w:color w:val="auto"/>
              </w:rPr>
            </w:pPr>
            <w:r>
              <w:rPr>
                <w:rFonts w:ascii="Arial" w:cs="Arial" w:eastAsia="Arial" w:hAnsi="Arial"/>
                <w:sz w:val="20"/>
                <w:szCs w:val="20"/>
                <w:color w:val="auto"/>
              </w:rPr>
              <w:t>Products</w:t>
            </w:r>
          </w:p>
        </w:tc>
        <w:tc>
          <w:tcPr>
            <w:tcW w:w="2600" w:type="dxa"/>
            <w:vAlign w:val="bottom"/>
          </w:tcPr>
          <w:p>
            <w:pPr>
              <w:ind w:left="40"/>
              <w:spacing w:after="0" w:line="227" w:lineRule="exact"/>
              <w:rPr>
                <w:sz w:val="20"/>
                <w:szCs w:val="20"/>
                <w:color w:val="auto"/>
              </w:rPr>
            </w:pPr>
            <w:r>
              <w:rPr>
                <w:rFonts w:ascii="Arial" w:cs="Arial" w:eastAsia="Arial" w:hAnsi="Arial"/>
                <w:sz w:val="20"/>
                <w:szCs w:val="20"/>
                <w:color w:val="auto"/>
                <w:w w:val="98"/>
              </w:rPr>
              <w:t>voltage and provide localized</w:t>
            </w: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w w:val="94"/>
              </w:rPr>
              <w:t>on-board power to low-voltage</w:t>
            </w: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rPr>
              <w:t>electronics.</w:t>
            </w:r>
          </w:p>
        </w:tc>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0" w:type="dxa"/>
            <w:vAlign w:val="bottom"/>
          </w:tcPr>
          <w:p>
            <w:pPr>
              <w:ind w:left="40"/>
              <w:spacing w:after="0" w:line="225" w:lineRule="exact"/>
              <w:rPr>
                <w:sz w:val="20"/>
                <w:szCs w:val="20"/>
                <w:color w:val="auto"/>
              </w:rPr>
            </w:pPr>
            <w:r>
              <w:rPr>
                <w:rFonts w:ascii="Arial" w:cs="Arial" w:eastAsia="Arial" w:hAnsi="Arial"/>
                <w:sz w:val="20"/>
                <w:szCs w:val="20"/>
                <w:color w:val="auto"/>
              </w:rPr>
              <w:t>Designed to be used in</w:t>
            </w:r>
          </w:p>
        </w:tc>
        <w:tc>
          <w:tcPr>
            <w:tcW w:w="20" w:type="dxa"/>
            <w:vAlign w:val="bottom"/>
          </w:tcPr>
          <w:p>
            <w:pPr>
              <w:spacing w:after="0"/>
              <w:rPr>
                <w:sz w:val="19"/>
                <w:szCs w:val="19"/>
                <w:color w:val="auto"/>
              </w:rPr>
            </w:pPr>
          </w:p>
        </w:tc>
        <w:tc>
          <w:tcPr>
            <w:tcW w:w="2600" w:type="dxa"/>
            <w:vAlign w:val="bottom"/>
          </w:tcPr>
          <w:p>
            <w:pPr>
              <w:ind w:left="20"/>
              <w:spacing w:after="0" w:line="225" w:lineRule="exact"/>
              <w:rPr>
                <w:sz w:val="20"/>
                <w:szCs w:val="20"/>
                <w:color w:val="auto"/>
              </w:rPr>
            </w:pPr>
            <w:r>
              <w:rPr>
                <w:rFonts w:ascii="Arial" w:cs="Arial" w:eastAsia="Arial" w:hAnsi="Arial"/>
                <w:sz w:val="20"/>
                <w:szCs w:val="20"/>
                <w:color w:val="auto"/>
              </w:rPr>
              <w:t>Rail, transportation,</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rPr>
              <w:t>industrial equipment or on-</w:t>
            </w:r>
          </w:p>
        </w:tc>
        <w:tc>
          <w:tcPr>
            <w:tcW w:w="2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automation, test and</w:t>
            </w:r>
          </w:p>
        </w:tc>
        <w:tc>
          <w:tcPr>
            <w:tcW w:w="0" w:type="dxa"/>
            <w:vAlign w:val="bottom"/>
          </w:tcPr>
          <w:p>
            <w:pPr>
              <w:spacing w:after="0"/>
              <w:rPr>
                <w:sz w:val="1"/>
                <w:szCs w:val="1"/>
                <w:color w:val="auto"/>
              </w:rPr>
            </w:pPr>
          </w:p>
        </w:tc>
      </w:tr>
      <w:tr>
        <w:trPr>
          <w:trHeight w:val="229"/>
        </w:trPr>
        <w:tc>
          <w:tcPr>
            <w:tcW w:w="9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Power</w:t>
            </w:r>
          </w:p>
        </w:tc>
        <w:tc>
          <w:tcPr>
            <w:tcW w:w="2280" w:type="dxa"/>
            <w:vAlign w:val="bottom"/>
          </w:tcPr>
          <w:p>
            <w:pPr>
              <w:ind w:left="40"/>
              <w:spacing w:after="0"/>
              <w:rPr>
                <w:sz w:val="20"/>
                <w:szCs w:val="20"/>
                <w:color w:val="auto"/>
              </w:rPr>
            </w:pPr>
            <w:r>
              <w:rPr>
                <w:rFonts w:ascii="Arial" w:cs="Arial" w:eastAsia="Arial" w:hAnsi="Arial"/>
                <w:sz w:val="20"/>
                <w:szCs w:val="20"/>
                <w:color w:val="auto"/>
              </w:rPr>
              <w:t>Industrial and</w:t>
            </w:r>
          </w:p>
        </w:tc>
        <w:tc>
          <w:tcPr>
            <w:tcW w:w="2600" w:type="dxa"/>
            <w:vAlign w:val="bottom"/>
          </w:tcPr>
          <w:p>
            <w:pPr>
              <w:ind w:left="40"/>
              <w:spacing w:after="0"/>
              <w:rPr>
                <w:sz w:val="20"/>
                <w:szCs w:val="20"/>
                <w:color w:val="auto"/>
              </w:rPr>
            </w:pPr>
            <w:r>
              <w:rPr>
                <w:rFonts w:ascii="Arial" w:cs="Arial" w:eastAsia="Arial" w:hAnsi="Arial"/>
                <w:sz w:val="20"/>
                <w:szCs w:val="20"/>
                <w:color w:val="auto"/>
              </w:rPr>
              <w:t>board and off-board</w:t>
            </w:r>
          </w:p>
        </w:tc>
        <w:tc>
          <w:tcPr>
            <w:tcW w:w="2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measurement, medical and</w:t>
            </w: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2280" w:type="dxa"/>
            <w:vAlign w:val="bottom"/>
            <w:vMerge w:val="restart"/>
          </w:tcPr>
          <w:p>
            <w:pPr>
              <w:ind w:left="40"/>
              <w:spacing w:after="0"/>
              <w:rPr>
                <w:sz w:val="20"/>
                <w:szCs w:val="20"/>
                <w:color w:val="auto"/>
              </w:rPr>
            </w:pPr>
            <w:r>
              <w:rPr>
                <w:rFonts w:ascii="Arial" w:cs="Arial" w:eastAsia="Arial" w:hAnsi="Arial"/>
                <w:sz w:val="20"/>
                <w:szCs w:val="20"/>
                <w:color w:val="auto"/>
              </w:rPr>
              <w:t>Transportation Power</w:t>
            </w:r>
          </w:p>
        </w:tc>
        <w:tc>
          <w:tcPr>
            <w:tcW w:w="2600" w:type="dxa"/>
            <w:vAlign w:val="bottom"/>
            <w:vMerge w:val="restart"/>
          </w:tcPr>
          <w:p>
            <w:pPr>
              <w:ind w:left="40"/>
              <w:spacing w:after="0"/>
              <w:rPr>
                <w:sz w:val="20"/>
                <w:szCs w:val="20"/>
                <w:color w:val="auto"/>
              </w:rPr>
            </w:pPr>
            <w:r>
              <w:rPr>
                <w:rFonts w:ascii="Arial" w:cs="Arial" w:eastAsia="Arial" w:hAnsi="Arial"/>
                <w:sz w:val="20"/>
                <w:szCs w:val="20"/>
                <w:color w:val="auto"/>
                <w:w w:val="96"/>
              </w:rPr>
              <w:t>transportation applications for</w:t>
            </w:r>
          </w:p>
        </w:tc>
        <w:tc>
          <w:tcPr>
            <w:tcW w:w="20" w:type="dxa"/>
            <w:vAlign w:val="bottom"/>
          </w:tcPr>
          <w:p>
            <w:pPr>
              <w:spacing w:after="0"/>
              <w:rPr>
                <w:sz w:val="12"/>
                <w:szCs w:val="12"/>
                <w:color w:val="auto"/>
              </w:rPr>
            </w:pPr>
          </w:p>
        </w:tc>
        <w:tc>
          <w:tcPr>
            <w:tcW w:w="2600" w:type="dxa"/>
            <w:vAlign w:val="bottom"/>
            <w:vMerge w:val="restart"/>
          </w:tcPr>
          <w:p>
            <w:pPr>
              <w:ind w:left="20"/>
              <w:spacing w:after="0"/>
              <w:rPr>
                <w:sz w:val="20"/>
                <w:szCs w:val="20"/>
                <w:color w:val="auto"/>
              </w:rPr>
            </w:pPr>
            <w:r>
              <w:rPr>
                <w:rFonts w:ascii="Arial" w:cs="Arial" w:eastAsia="Arial" w:hAnsi="Arial"/>
                <w:sz w:val="20"/>
                <w:szCs w:val="20"/>
                <w:color w:val="auto"/>
              </w:rPr>
              <w:t>eMobility applications.</w:t>
            </w:r>
          </w:p>
        </w:tc>
        <w:tc>
          <w:tcPr>
            <w:tcW w:w="0" w:type="dxa"/>
            <w:vAlign w:val="bottom"/>
          </w:tcPr>
          <w:p>
            <w:pPr>
              <w:spacing w:after="0"/>
              <w:rPr>
                <w:sz w:val="1"/>
                <w:szCs w:val="1"/>
                <w:color w:val="auto"/>
              </w:rPr>
            </w:pPr>
          </w:p>
        </w:tc>
      </w:tr>
      <w:tr>
        <w:trPr>
          <w:trHeight w:val="83"/>
        </w:trPr>
        <w:tc>
          <w:tcPr>
            <w:tcW w:w="9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5"/>
              </w:rPr>
              <w:t>Solutions</w:t>
            </w:r>
          </w:p>
        </w:tc>
        <w:tc>
          <w:tcPr>
            <w:tcW w:w="22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980" w:type="dxa"/>
            <w:vAlign w:val="bottom"/>
            <w:vMerge w:val="continue"/>
          </w:tcPr>
          <w:p>
            <w:pPr>
              <w:spacing w:after="0"/>
              <w:rPr>
                <w:sz w:val="17"/>
                <w:szCs w:val="17"/>
                <w:color w:val="auto"/>
              </w:rPr>
            </w:pPr>
          </w:p>
        </w:tc>
        <w:tc>
          <w:tcPr>
            <w:tcW w:w="2280" w:type="dxa"/>
            <w:vAlign w:val="bottom"/>
          </w:tcPr>
          <w:p>
            <w:pPr>
              <w:ind w:left="40"/>
              <w:spacing w:after="0" w:line="205" w:lineRule="exact"/>
              <w:rPr>
                <w:sz w:val="20"/>
                <w:szCs w:val="20"/>
                <w:color w:val="auto"/>
              </w:rPr>
            </w:pPr>
            <w:r>
              <w:rPr>
                <w:rFonts w:ascii="Arial" w:cs="Arial" w:eastAsia="Arial" w:hAnsi="Arial"/>
                <w:sz w:val="20"/>
                <w:szCs w:val="20"/>
                <w:color w:val="auto"/>
              </w:rPr>
              <w:t>Products</w:t>
            </w:r>
          </w:p>
        </w:tc>
        <w:tc>
          <w:tcPr>
            <w:tcW w:w="2600" w:type="dxa"/>
            <w:vAlign w:val="bottom"/>
          </w:tcPr>
          <w:p>
            <w:pPr>
              <w:ind w:left="40"/>
              <w:spacing w:after="0" w:line="205" w:lineRule="exact"/>
              <w:rPr>
                <w:sz w:val="20"/>
                <w:szCs w:val="20"/>
                <w:color w:val="auto"/>
              </w:rPr>
            </w:pPr>
            <w:r>
              <w:rPr>
                <w:rFonts w:ascii="Arial" w:cs="Arial" w:eastAsia="Arial" w:hAnsi="Arial"/>
                <w:sz w:val="20"/>
                <w:szCs w:val="20"/>
                <w:color w:val="auto"/>
                <w:w w:val="98"/>
              </w:rPr>
              <w:t>powering various AC and DC</w:t>
            </w:r>
          </w:p>
        </w:tc>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98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rPr>
              <w:t>and</w:t>
            </w:r>
          </w:p>
        </w:tc>
        <w:tc>
          <w:tcPr>
            <w:tcW w:w="2280" w:type="dxa"/>
            <w:vAlign w:val="bottom"/>
          </w:tcPr>
          <w:p>
            <w:pPr>
              <w:spacing w:after="0"/>
              <w:rPr>
                <w:sz w:val="14"/>
                <w:szCs w:val="14"/>
                <w:color w:val="auto"/>
              </w:rPr>
            </w:pPr>
          </w:p>
        </w:tc>
        <w:tc>
          <w:tcPr>
            <w:tcW w:w="2600" w:type="dxa"/>
            <w:vAlign w:val="bottom"/>
            <w:vMerge w:val="restart"/>
          </w:tcPr>
          <w:p>
            <w:pPr>
              <w:ind w:left="40"/>
              <w:spacing w:after="0"/>
              <w:rPr>
                <w:sz w:val="20"/>
                <w:szCs w:val="20"/>
                <w:color w:val="auto"/>
              </w:rPr>
            </w:pPr>
            <w:r>
              <w:rPr>
                <w:rFonts w:ascii="Arial" w:cs="Arial" w:eastAsia="Arial" w:hAnsi="Arial"/>
                <w:sz w:val="20"/>
                <w:szCs w:val="20"/>
                <w:color w:val="auto"/>
              </w:rPr>
              <w:t>electronics, battery charging</w:t>
            </w:r>
          </w:p>
        </w:tc>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9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0"/>
              </w:rPr>
              <w:t>Protection</w:t>
            </w:r>
          </w:p>
        </w:tc>
        <w:tc>
          <w:tcPr>
            <w:tcW w:w="2280" w:type="dxa"/>
            <w:vAlign w:val="bottom"/>
          </w:tcPr>
          <w:p>
            <w:pPr>
              <w:spacing w:after="0"/>
              <w:rPr>
                <w:sz w:val="6"/>
                <w:szCs w:val="6"/>
                <w:color w:val="auto"/>
              </w:rPr>
            </w:pPr>
          </w:p>
        </w:tc>
        <w:tc>
          <w:tcPr>
            <w:tcW w:w="2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98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2600" w:type="dxa"/>
            <w:vAlign w:val="bottom"/>
            <w:vMerge w:val="restart"/>
          </w:tcPr>
          <w:p>
            <w:pPr>
              <w:ind w:left="40"/>
              <w:spacing w:after="0"/>
              <w:rPr>
                <w:sz w:val="20"/>
                <w:szCs w:val="20"/>
                <w:color w:val="auto"/>
              </w:rPr>
            </w:pPr>
            <w:r>
              <w:rPr>
                <w:rFonts w:ascii="Arial" w:cs="Arial" w:eastAsia="Arial" w:hAnsi="Arial"/>
                <w:sz w:val="20"/>
                <w:szCs w:val="20"/>
                <w:color w:val="auto"/>
              </w:rPr>
              <w:t>and power management.</w:t>
            </w:r>
          </w:p>
        </w:tc>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9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-2739390</wp:posOffset>
            </wp:positionV>
            <wp:extent cx="6936740" cy="4791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6740" cy="4791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Brands Sold Under</w:t>
      </w:r>
    </w:p>
    <w:p>
      <w:pPr>
        <w:spacing w:after="0" w:line="77" w:lineRule="exact"/>
        <w:rPr>
          <w:sz w:val="20"/>
          <w:szCs w:val="20"/>
          <w:color w:val="auto"/>
        </w:rPr>
      </w:pPr>
    </w:p>
    <w:p>
      <w:pPr>
        <w:ind w:right="520"/>
        <w:spacing w:after="0" w:line="272" w:lineRule="auto"/>
        <w:rPr>
          <w:sz w:val="20"/>
          <w:szCs w:val="20"/>
          <w:color w:val="auto"/>
        </w:rPr>
      </w:pPr>
      <w:r>
        <w:rPr>
          <w:rFonts w:ascii="Arial" w:cs="Arial" w:eastAsia="Arial" w:hAnsi="Arial"/>
          <w:sz w:val="20"/>
          <w:szCs w:val="20"/>
          <w:color w:val="auto"/>
        </w:rPr>
        <w:t>Bel Power Solutions &amp; Protection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60"/>
        <w:spacing w:after="0" w:line="332" w:lineRule="auto"/>
        <w:rPr>
          <w:sz w:val="20"/>
          <w:szCs w:val="20"/>
          <w:color w:val="auto"/>
        </w:rPr>
      </w:pPr>
      <w:r>
        <w:rPr>
          <w:rFonts w:ascii="Arial" w:cs="Arial" w:eastAsia="Arial" w:hAnsi="Arial"/>
          <w:sz w:val="18"/>
          <w:szCs w:val="18"/>
          <w:color w:val="auto"/>
        </w:rPr>
        <w:t>Bel Power Solutions &amp; Protection, Melcher</w:t>
      </w:r>
      <w:r>
        <w:rPr>
          <w:rFonts w:ascii="Arial" w:cs="Arial" w:eastAsia="Arial" w:hAnsi="Arial"/>
          <w:sz w:val="9"/>
          <w:szCs w:val="9"/>
          <w:color w:val="auto"/>
        </w:rPr>
        <w:t>TM</w:t>
      </w:r>
      <w:r>
        <w:rPr>
          <w:rFonts w:ascii="Arial" w:cs="Arial" w:eastAsia="Arial" w:hAnsi="Arial"/>
          <w:sz w:val="18"/>
          <w:szCs w:val="18"/>
          <w:color w:val="auto"/>
        </w:rPr>
        <w:t>, CUI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Bel Power Solutions &amp; Protection, Melcher</w:t>
      </w:r>
      <w:r>
        <w:rPr>
          <w:rFonts w:ascii="Arial" w:cs="Arial" w:eastAsia="Arial" w:hAnsi="Arial"/>
          <w:sz w:val="10"/>
          <w:szCs w:val="10"/>
          <w:color w:val="auto"/>
        </w:rPr>
        <w:t>TM</w:t>
      </w:r>
      <w:r>
        <w:rPr>
          <w:rFonts w:ascii="Arial" w:cs="Arial" w:eastAsia="Arial" w:hAnsi="Arial"/>
          <w:sz w:val="20"/>
          <w:szCs w:val="20"/>
          <w:color w:val="auto"/>
        </w:rPr>
        <w:t>, CUI, EOS</w:t>
      </w:r>
    </w:p>
    <w:p>
      <w:pPr>
        <w:spacing w:after="0" w:line="939" w:lineRule="exact"/>
        <w:rPr>
          <w:sz w:val="20"/>
          <w:szCs w:val="20"/>
          <w:color w:val="auto"/>
        </w:rPr>
      </w:pPr>
    </w:p>
    <w:p>
      <w:pPr>
        <w:sectPr>
          <w:pgSz w:w="12240" w:h="15840" w:orient="portrait"/>
          <w:cols w:equalWidth="0" w:num="2">
            <w:col w:w="8480" w:space="40"/>
            <w:col w:w="2360"/>
          </w:cols>
          <w:pgMar w:left="720" w:top="555" w:right="640" w:bottom="0" w:gutter="0" w:footer="0" w:header="0"/>
          <w:type w:val="continuous"/>
        </w:sectPr>
      </w:pPr>
    </w:p>
    <w:tbl>
      <w:tblPr>
        <w:tblLayout w:type="fixed"/>
        <w:tblInd w:w="980" w:type="dxa"/>
        <w:tblCellMar>
          <w:top w:w="0" w:type="dxa"/>
          <w:left w:w="0" w:type="dxa"/>
          <w:bottom w:w="0" w:type="dxa"/>
          <w:right w:w="0" w:type="dxa"/>
        </w:tblCellMar>
      </w:tblPr>
      <w:tr>
        <w:trPr>
          <w:trHeight w:val="230"/>
        </w:trPr>
        <w:tc>
          <w:tcPr>
            <w:tcW w:w="2280" w:type="dxa"/>
            <w:vAlign w:val="bottom"/>
          </w:tcPr>
          <w:p>
            <w:pPr>
              <w:spacing w:after="0"/>
              <w:rPr>
                <w:sz w:val="19"/>
                <w:szCs w:val="19"/>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rPr>
              <w:t>Customized Power and</w:t>
            </w:r>
          </w:p>
        </w:tc>
        <w:tc>
          <w:tcPr>
            <w:tcW w:w="2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Military, Aerospace and</w:t>
            </w:r>
          </w:p>
        </w:tc>
        <w:tc>
          <w:tcPr>
            <w:tcW w:w="24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Enercon, MilPower</w:t>
            </w:r>
          </w:p>
        </w:tc>
      </w:tr>
      <w:tr>
        <w:trPr>
          <w:trHeight w:val="227"/>
        </w:trPr>
        <w:tc>
          <w:tcPr>
            <w:tcW w:w="2280" w:type="dxa"/>
            <w:vAlign w:val="bottom"/>
          </w:tcPr>
          <w:p>
            <w:pPr>
              <w:ind w:left="40"/>
              <w:spacing w:after="0" w:line="227" w:lineRule="exact"/>
              <w:rPr>
                <w:sz w:val="20"/>
                <w:szCs w:val="20"/>
                <w:color w:val="auto"/>
              </w:rPr>
            </w:pPr>
            <w:r>
              <w:rPr>
                <w:rFonts w:ascii="Arial" w:cs="Arial" w:eastAsia="Arial" w:hAnsi="Arial"/>
                <w:sz w:val="20"/>
                <w:szCs w:val="20"/>
                <w:color w:val="auto"/>
              </w:rPr>
              <w:t>Military, Aerospace and</w:t>
            </w:r>
          </w:p>
        </w:tc>
        <w:tc>
          <w:tcPr>
            <w:tcW w:w="2600" w:type="dxa"/>
            <w:vAlign w:val="bottom"/>
          </w:tcPr>
          <w:p>
            <w:pPr>
              <w:ind w:left="40"/>
              <w:spacing w:after="0" w:line="227" w:lineRule="exact"/>
              <w:rPr>
                <w:sz w:val="20"/>
                <w:szCs w:val="20"/>
                <w:color w:val="auto"/>
              </w:rPr>
            </w:pPr>
            <w:r>
              <w:rPr>
                <w:rFonts w:ascii="Arial" w:cs="Arial" w:eastAsia="Arial" w:hAnsi="Arial"/>
                <w:sz w:val="20"/>
                <w:szCs w:val="20"/>
                <w:color w:val="auto"/>
                <w:w w:val="93"/>
              </w:rPr>
              <w:t>Networking solutions designed</w:t>
            </w:r>
          </w:p>
        </w:tc>
        <w:tc>
          <w:tcPr>
            <w:tcW w:w="20" w:type="dxa"/>
            <w:vAlign w:val="bottom"/>
          </w:tcPr>
          <w:p>
            <w:pPr>
              <w:spacing w:after="0"/>
              <w:rPr>
                <w:sz w:val="19"/>
                <w:szCs w:val="19"/>
                <w:color w:val="auto"/>
              </w:rPr>
            </w:pPr>
          </w:p>
        </w:tc>
        <w:tc>
          <w:tcPr>
            <w:tcW w:w="2600" w:type="dxa"/>
            <w:vAlign w:val="bottom"/>
          </w:tcPr>
          <w:p>
            <w:pPr>
              <w:ind w:left="20"/>
              <w:spacing w:after="0" w:line="227" w:lineRule="exact"/>
              <w:rPr>
                <w:sz w:val="20"/>
                <w:szCs w:val="20"/>
                <w:color w:val="auto"/>
              </w:rPr>
            </w:pPr>
            <w:r>
              <w:rPr>
                <w:rFonts w:ascii="Arial" w:cs="Arial" w:eastAsia="Arial" w:hAnsi="Arial"/>
                <w:sz w:val="20"/>
                <w:szCs w:val="20"/>
                <w:color w:val="auto"/>
                <w:w w:val="94"/>
              </w:rPr>
              <w:t>Defense applications including</w:t>
            </w:r>
          </w:p>
        </w:tc>
        <w:tc>
          <w:tcPr>
            <w:tcW w:w="2400" w:type="dxa"/>
            <w:vAlign w:val="bottom"/>
            <w:tcBorders>
              <w:right w:val="single" w:sz="8" w:color="auto"/>
            </w:tcBorders>
          </w:tcPr>
          <w:p>
            <w:pPr>
              <w:spacing w:after="0"/>
              <w:rPr>
                <w:sz w:val="19"/>
                <w:szCs w:val="19"/>
                <w:color w:val="auto"/>
              </w:rPr>
            </w:pPr>
          </w:p>
        </w:tc>
      </w:tr>
      <w:tr>
        <w:trPr>
          <w:trHeight w:val="229"/>
        </w:trPr>
        <w:tc>
          <w:tcPr>
            <w:tcW w:w="2280" w:type="dxa"/>
            <w:vAlign w:val="bottom"/>
          </w:tcPr>
          <w:p>
            <w:pPr>
              <w:ind w:left="40"/>
              <w:spacing w:after="0"/>
              <w:rPr>
                <w:sz w:val="20"/>
                <w:szCs w:val="20"/>
                <w:color w:val="auto"/>
              </w:rPr>
            </w:pPr>
            <w:r>
              <w:rPr>
                <w:rFonts w:ascii="Arial" w:cs="Arial" w:eastAsia="Arial" w:hAnsi="Arial"/>
                <w:sz w:val="20"/>
                <w:szCs w:val="20"/>
                <w:color w:val="auto"/>
              </w:rPr>
              <w:t>Defense Products</w:t>
            </w:r>
          </w:p>
        </w:tc>
        <w:tc>
          <w:tcPr>
            <w:tcW w:w="2600" w:type="dxa"/>
            <w:vAlign w:val="bottom"/>
          </w:tcPr>
          <w:p>
            <w:pPr>
              <w:ind w:left="40"/>
              <w:spacing w:after="0"/>
              <w:rPr>
                <w:sz w:val="20"/>
                <w:szCs w:val="20"/>
                <w:color w:val="auto"/>
              </w:rPr>
            </w:pPr>
            <w:r>
              <w:rPr>
                <w:rFonts w:ascii="Arial" w:cs="Arial" w:eastAsia="Arial" w:hAnsi="Arial"/>
                <w:sz w:val="20"/>
                <w:szCs w:val="20"/>
                <w:color w:val="auto"/>
              </w:rPr>
              <w:t>to meet harsh environment</w:t>
            </w:r>
          </w:p>
        </w:tc>
        <w:tc>
          <w:tcPr>
            <w:tcW w:w="2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air, ground, sea, space and</w:t>
            </w:r>
          </w:p>
        </w:tc>
        <w:tc>
          <w:tcPr>
            <w:tcW w:w="2400" w:type="dxa"/>
            <w:vAlign w:val="bottom"/>
            <w:tcBorders>
              <w:right w:val="single" w:sz="8" w:color="auto"/>
            </w:tcBorders>
          </w:tcPr>
          <w:p>
            <w:pPr>
              <w:spacing w:after="0"/>
              <w:rPr>
                <w:sz w:val="19"/>
                <w:szCs w:val="19"/>
                <w:color w:val="auto"/>
              </w:rPr>
            </w:pPr>
          </w:p>
        </w:tc>
      </w:tr>
      <w:tr>
        <w:trPr>
          <w:trHeight w:val="264"/>
        </w:trPr>
        <w:tc>
          <w:tcPr>
            <w:tcW w:w="2280" w:type="dxa"/>
            <w:vAlign w:val="bottom"/>
          </w:tcPr>
          <w:p>
            <w:pPr>
              <w:spacing w:after="0"/>
              <w:rPr>
                <w:sz w:val="22"/>
                <w:szCs w:val="22"/>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rPr>
              <w:t>standards.</w:t>
            </w:r>
          </w:p>
        </w:tc>
        <w:tc>
          <w:tcPr>
            <w:tcW w:w="20" w:type="dxa"/>
            <w:vAlign w:val="bottom"/>
          </w:tcPr>
          <w:p>
            <w:pPr>
              <w:spacing w:after="0"/>
              <w:rPr>
                <w:sz w:val="22"/>
                <w:szCs w:val="22"/>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soldier.</w:t>
            </w:r>
          </w:p>
        </w:tc>
        <w:tc>
          <w:tcPr>
            <w:tcW w:w="2400" w:type="dxa"/>
            <w:vAlign w:val="bottom"/>
            <w:tcBorders>
              <w:right w:val="single" w:sz="8" w:color="auto"/>
            </w:tcBorders>
          </w:tcPr>
          <w:p>
            <w:pPr>
              <w:spacing w:after="0"/>
              <w:rPr>
                <w:sz w:val="22"/>
                <w:szCs w:val="22"/>
                <w:color w:val="auto"/>
              </w:rPr>
            </w:pPr>
          </w:p>
        </w:tc>
      </w:tr>
      <w:tr>
        <w:trPr>
          <w:trHeight w:val="21"/>
        </w:trPr>
        <w:tc>
          <w:tcPr>
            <w:tcW w:w="22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25"/>
        </w:trPr>
        <w:tc>
          <w:tcPr>
            <w:tcW w:w="2280" w:type="dxa"/>
            <w:vAlign w:val="bottom"/>
          </w:tcPr>
          <w:p>
            <w:pPr>
              <w:spacing w:after="0"/>
              <w:rPr>
                <w:sz w:val="19"/>
                <w:szCs w:val="19"/>
                <w:color w:val="auto"/>
              </w:rPr>
            </w:pPr>
          </w:p>
        </w:tc>
        <w:tc>
          <w:tcPr>
            <w:tcW w:w="2600" w:type="dxa"/>
            <w:vAlign w:val="bottom"/>
          </w:tcPr>
          <w:p>
            <w:pPr>
              <w:ind w:left="40"/>
              <w:spacing w:after="0" w:line="225" w:lineRule="exact"/>
              <w:rPr>
                <w:sz w:val="20"/>
                <w:szCs w:val="20"/>
                <w:color w:val="auto"/>
              </w:rPr>
            </w:pPr>
            <w:r>
              <w:rPr>
                <w:rFonts w:ascii="Arial" w:cs="Arial" w:eastAsia="Arial" w:hAnsi="Arial"/>
                <w:sz w:val="20"/>
                <w:szCs w:val="20"/>
                <w:color w:val="auto"/>
              </w:rPr>
              <w:t>Standard and customizable</w:t>
            </w:r>
          </w:p>
        </w:tc>
        <w:tc>
          <w:tcPr>
            <w:tcW w:w="20" w:type="dxa"/>
            <w:vAlign w:val="bottom"/>
          </w:tcPr>
          <w:p>
            <w:pPr>
              <w:spacing w:after="0"/>
              <w:rPr>
                <w:sz w:val="19"/>
                <w:szCs w:val="19"/>
                <w:color w:val="auto"/>
              </w:rPr>
            </w:pPr>
          </w:p>
        </w:tc>
        <w:tc>
          <w:tcPr>
            <w:tcW w:w="2600" w:type="dxa"/>
            <w:vAlign w:val="bottom"/>
          </w:tcPr>
          <w:p>
            <w:pPr>
              <w:ind w:left="20"/>
              <w:spacing w:after="0" w:line="225" w:lineRule="exact"/>
              <w:rPr>
                <w:sz w:val="20"/>
                <w:szCs w:val="20"/>
                <w:color w:val="auto"/>
              </w:rPr>
            </w:pPr>
            <w:r>
              <w:rPr>
                <w:rFonts w:ascii="Arial" w:cs="Arial" w:eastAsia="Arial" w:hAnsi="Arial"/>
                <w:sz w:val="20"/>
                <w:szCs w:val="20"/>
                <w:color w:val="auto"/>
              </w:rPr>
              <w:t>Consumer and industrial</w:t>
            </w:r>
          </w:p>
        </w:tc>
        <w:tc>
          <w:tcPr>
            <w:tcW w:w="2400" w:type="dxa"/>
            <w:vAlign w:val="bottom"/>
          </w:tcPr>
          <w:p>
            <w:pPr>
              <w:ind w:left="40"/>
              <w:spacing w:after="0" w:line="225" w:lineRule="exact"/>
              <w:rPr>
                <w:sz w:val="20"/>
                <w:szCs w:val="20"/>
                <w:color w:val="auto"/>
              </w:rPr>
            </w:pPr>
            <w:r>
              <w:rPr>
                <w:rFonts w:ascii="Arial" w:cs="Arial" w:eastAsia="Arial" w:hAnsi="Arial"/>
                <w:sz w:val="20"/>
                <w:szCs w:val="20"/>
                <w:color w:val="auto"/>
              </w:rPr>
              <w:t>CUI, EOS</w:t>
            </w:r>
          </w:p>
        </w:tc>
      </w:tr>
      <w:tr>
        <w:trPr>
          <w:trHeight w:val="229"/>
        </w:trPr>
        <w:tc>
          <w:tcPr>
            <w:tcW w:w="2280" w:type="dxa"/>
            <w:vAlign w:val="bottom"/>
          </w:tcPr>
          <w:p>
            <w:pPr>
              <w:spacing w:after="0"/>
              <w:rPr>
                <w:sz w:val="19"/>
                <w:szCs w:val="19"/>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w w:val="92"/>
              </w:rPr>
              <w:t>desktop and wall plug adapters</w:t>
            </w:r>
          </w:p>
        </w:tc>
        <w:tc>
          <w:tcPr>
            <w:tcW w:w="2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devices and equipment.</w:t>
            </w:r>
          </w:p>
        </w:tc>
        <w:tc>
          <w:tcPr>
            <w:tcW w:w="2400" w:type="dxa"/>
            <w:vAlign w:val="bottom"/>
          </w:tcPr>
          <w:p>
            <w:pPr>
              <w:spacing w:after="0"/>
              <w:rPr>
                <w:sz w:val="19"/>
                <w:szCs w:val="19"/>
                <w:color w:val="auto"/>
              </w:rPr>
            </w:pPr>
          </w:p>
        </w:tc>
      </w:tr>
      <w:tr>
        <w:trPr>
          <w:trHeight w:val="229"/>
        </w:trPr>
        <w:tc>
          <w:tcPr>
            <w:tcW w:w="2280" w:type="dxa"/>
            <w:vAlign w:val="bottom"/>
          </w:tcPr>
          <w:p>
            <w:pPr>
              <w:ind w:left="40"/>
              <w:spacing w:after="0"/>
              <w:rPr>
                <w:sz w:val="20"/>
                <w:szCs w:val="20"/>
                <w:color w:val="auto"/>
              </w:rPr>
            </w:pPr>
            <w:r>
              <w:rPr>
                <w:rFonts w:ascii="Arial" w:cs="Arial" w:eastAsia="Arial" w:hAnsi="Arial"/>
                <w:sz w:val="20"/>
                <w:szCs w:val="20"/>
                <w:color w:val="auto"/>
              </w:rPr>
              <w:t>External Power Products</w:t>
            </w:r>
          </w:p>
        </w:tc>
        <w:tc>
          <w:tcPr>
            <w:tcW w:w="2600" w:type="dxa"/>
            <w:vAlign w:val="bottom"/>
          </w:tcPr>
          <w:p>
            <w:pPr>
              <w:ind w:left="40"/>
              <w:spacing w:after="0"/>
              <w:rPr>
                <w:sz w:val="20"/>
                <w:szCs w:val="20"/>
                <w:color w:val="auto"/>
              </w:rPr>
            </w:pPr>
            <w:r>
              <w:rPr>
                <w:rFonts w:ascii="Arial" w:cs="Arial" w:eastAsia="Arial" w:hAnsi="Arial"/>
                <w:sz w:val="20"/>
                <w:szCs w:val="20"/>
                <w:color w:val="auto"/>
              </w:rPr>
              <w:t>that convert AC main input</w:t>
            </w: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29"/>
        </w:trPr>
        <w:tc>
          <w:tcPr>
            <w:tcW w:w="2280" w:type="dxa"/>
            <w:vAlign w:val="bottom"/>
          </w:tcPr>
          <w:p>
            <w:pPr>
              <w:spacing w:after="0"/>
              <w:rPr>
                <w:sz w:val="19"/>
                <w:szCs w:val="19"/>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rPr>
              <w:t>voltages to a variety of DC</w:t>
            </w: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64"/>
        </w:trPr>
        <w:tc>
          <w:tcPr>
            <w:tcW w:w="2280" w:type="dxa"/>
            <w:vAlign w:val="bottom"/>
          </w:tcPr>
          <w:p>
            <w:pPr>
              <w:spacing w:after="0"/>
              <w:rPr>
                <w:sz w:val="22"/>
                <w:szCs w:val="22"/>
                <w:color w:val="auto"/>
              </w:rPr>
            </w:pPr>
          </w:p>
        </w:tc>
        <w:tc>
          <w:tcPr>
            <w:tcW w:w="2600" w:type="dxa"/>
            <w:vAlign w:val="bottom"/>
          </w:tcPr>
          <w:p>
            <w:pPr>
              <w:ind w:left="40"/>
              <w:spacing w:after="0"/>
              <w:rPr>
                <w:sz w:val="20"/>
                <w:szCs w:val="20"/>
                <w:color w:val="auto"/>
              </w:rPr>
            </w:pPr>
            <w:r>
              <w:rPr>
                <w:rFonts w:ascii="Arial" w:cs="Arial" w:eastAsia="Arial" w:hAnsi="Arial"/>
                <w:sz w:val="20"/>
                <w:szCs w:val="20"/>
                <w:color w:val="auto"/>
              </w:rPr>
              <w:t>output voltages.</w:t>
            </w:r>
          </w:p>
        </w:tc>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400" w:type="dxa"/>
            <w:vAlign w:val="bottom"/>
          </w:tcPr>
          <w:p>
            <w:pPr>
              <w:spacing w:after="0"/>
              <w:rPr>
                <w:sz w:val="22"/>
                <w:szCs w:val="22"/>
                <w:color w:val="auto"/>
              </w:rPr>
            </w:pPr>
          </w:p>
        </w:tc>
      </w:tr>
    </w:tbl>
    <w:p>
      <w:pPr>
        <w:spacing w:after="0" w:line="21" w:lineRule="exact"/>
        <w:rPr>
          <w:sz w:val="20"/>
          <w:szCs w:val="20"/>
          <w:color w:val="auto"/>
        </w:rPr>
      </w:pPr>
    </w:p>
    <w:p>
      <w:pPr>
        <w:sectPr>
          <w:pgSz w:w="12240" w:h="15840" w:orient="portrait"/>
          <w:cols w:equalWidth="0" w:num="1">
            <w:col w:w="10880"/>
          </w:cols>
          <w:pgMar w:left="720" w:top="555" w:right="640" w:bottom="0" w:gutter="0" w:footer="0" w:header="0"/>
          <w:type w:val="continuous"/>
        </w:sectPr>
      </w:pPr>
    </w:p>
    <w:p>
      <w:pPr>
        <w:spacing w:after="0" w:line="1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Protects devices by preventing</w:t>
      </w:r>
    </w:p>
    <w:p>
      <w:pPr>
        <w:spacing w:after="0" w:line="50" w:lineRule="exact"/>
        <w:rPr>
          <w:sz w:val="20"/>
          <w:szCs w:val="20"/>
          <w:color w:val="auto"/>
        </w:rPr>
      </w:pPr>
    </w:p>
    <w:p>
      <w:pPr>
        <w:ind w:left="3300" w:right="100" w:hanging="2286"/>
        <w:spacing w:after="0" w:line="264" w:lineRule="auto"/>
        <w:tabs>
          <w:tab w:leader="none" w:pos="3280" w:val="left"/>
        </w:tabs>
        <w:rPr>
          <w:sz w:val="20"/>
          <w:szCs w:val="20"/>
          <w:color w:val="auto"/>
        </w:rPr>
      </w:pPr>
      <w:r>
        <w:rPr>
          <w:rFonts w:ascii="Arial" w:cs="Arial" w:eastAsia="Arial" w:hAnsi="Arial"/>
          <w:sz w:val="39"/>
          <w:szCs w:val="39"/>
          <w:color w:val="auto"/>
          <w:vertAlign w:val="subscript"/>
        </w:rPr>
        <w:t>Circuit Protection</w:t>
      </w:r>
      <w:r>
        <w:rPr>
          <w:sz w:val="20"/>
          <w:szCs w:val="20"/>
          <w:color w:val="auto"/>
        </w:rPr>
        <w:tab/>
      </w:r>
      <w:r>
        <w:rPr>
          <w:rFonts w:ascii="Arial" w:cs="Arial" w:eastAsia="Arial" w:hAnsi="Arial"/>
          <w:sz w:val="18"/>
          <w:szCs w:val="18"/>
          <w:color w:val="auto"/>
        </w:rPr>
        <w:t>current in an electrical circuit from exceeding acceptable</w:t>
      </w:r>
    </w:p>
    <w:p>
      <w:pPr>
        <w:spacing w:after="0" w:line="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levels.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60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Consumer electronics, power</w:t>
            </w:r>
          </w:p>
        </w:tc>
        <w:tc>
          <w:tcPr>
            <w:tcW w:w="1860" w:type="dxa"/>
            <w:vAlign w:val="bottom"/>
          </w:tcPr>
          <w:p>
            <w:pPr>
              <w:ind w:left="20"/>
              <w:spacing w:after="0"/>
              <w:rPr>
                <w:sz w:val="20"/>
                <w:szCs w:val="20"/>
                <w:color w:val="auto"/>
              </w:rPr>
            </w:pPr>
            <w:r>
              <w:rPr>
                <w:rFonts w:ascii="Arial" w:cs="Arial" w:eastAsia="Arial" w:hAnsi="Arial"/>
                <w:sz w:val="20"/>
                <w:szCs w:val="20"/>
                <w:color w:val="auto"/>
                <w:w w:val="91"/>
              </w:rPr>
              <w:t>Bel Power Solutions &amp;</w:t>
            </w:r>
          </w:p>
        </w:tc>
      </w:tr>
      <w:tr>
        <w:trPr>
          <w:trHeight w:val="229"/>
        </w:trPr>
        <w:tc>
          <w:tcPr>
            <w:tcW w:w="260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supplies, electric vehicles, EV</w:t>
            </w:r>
          </w:p>
        </w:tc>
        <w:tc>
          <w:tcPr>
            <w:tcW w:w="1860" w:type="dxa"/>
            <w:vAlign w:val="bottom"/>
          </w:tcPr>
          <w:p>
            <w:pPr>
              <w:ind w:left="20"/>
              <w:spacing w:after="0"/>
              <w:rPr>
                <w:sz w:val="20"/>
                <w:szCs w:val="20"/>
                <w:color w:val="auto"/>
              </w:rPr>
            </w:pPr>
            <w:r>
              <w:rPr>
                <w:rFonts w:ascii="Arial" w:cs="Arial" w:eastAsia="Arial" w:hAnsi="Arial"/>
                <w:sz w:val="20"/>
                <w:szCs w:val="20"/>
                <w:color w:val="auto"/>
              </w:rPr>
              <w:t>Protection</w:t>
            </w:r>
          </w:p>
        </w:tc>
      </w:tr>
      <w:tr>
        <w:trPr>
          <w:trHeight w:val="227"/>
        </w:trPr>
        <w:tc>
          <w:tcPr>
            <w:tcW w:w="2600" w:type="dxa"/>
            <w:vAlign w:val="bottom"/>
            <w:tcBorders>
              <w:right w:val="single" w:sz="8" w:color="auto"/>
            </w:tcBorders>
          </w:tcPr>
          <w:p>
            <w:pPr>
              <w:spacing w:after="0" w:line="227" w:lineRule="exact"/>
              <w:rPr>
                <w:sz w:val="20"/>
                <w:szCs w:val="20"/>
                <w:color w:val="auto"/>
              </w:rPr>
            </w:pPr>
            <w:r>
              <w:rPr>
                <w:rFonts w:ascii="Arial" w:cs="Arial" w:eastAsia="Arial" w:hAnsi="Arial"/>
                <w:sz w:val="20"/>
                <w:szCs w:val="20"/>
                <w:color w:val="auto"/>
                <w:w w:val="94"/>
              </w:rPr>
              <w:t>chargers, battery charging and</w:t>
            </w:r>
          </w:p>
        </w:tc>
        <w:tc>
          <w:tcPr>
            <w:tcW w:w="1860" w:type="dxa"/>
            <w:vAlign w:val="bottom"/>
          </w:tcPr>
          <w:p>
            <w:pPr>
              <w:spacing w:after="0"/>
              <w:rPr>
                <w:sz w:val="19"/>
                <w:szCs w:val="19"/>
                <w:color w:val="auto"/>
              </w:rPr>
            </w:pPr>
          </w:p>
        </w:tc>
      </w:tr>
      <w:tr>
        <w:trPr>
          <w:trHeight w:val="264"/>
        </w:trPr>
        <w:tc>
          <w:tcPr>
            <w:tcW w:w="26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lighting.</w:t>
            </w:r>
          </w:p>
        </w:tc>
        <w:tc>
          <w:tcPr>
            <w:tcW w:w="1860" w:type="dxa"/>
            <w:vAlign w:val="bottom"/>
          </w:tcPr>
          <w:p>
            <w:pPr>
              <w:spacing w:after="0"/>
              <w:rPr>
                <w:sz w:val="22"/>
                <w:szCs w:val="22"/>
                <w:color w:val="auto"/>
              </w:rPr>
            </w:pPr>
          </w:p>
        </w:tc>
      </w:tr>
      <w:tr>
        <w:trPr>
          <w:trHeight w:val="38"/>
        </w:trPr>
        <w:tc>
          <w:tcPr>
            <w:tcW w:w="2600" w:type="dxa"/>
            <w:vAlign w:val="bottom"/>
            <w:tcBorders>
              <w:right w:val="single" w:sz="8" w:color="auto"/>
            </w:tcBorders>
          </w:tcPr>
          <w:p>
            <w:pPr>
              <w:spacing w:after="0"/>
              <w:rPr>
                <w:sz w:val="3"/>
                <w:szCs w:val="3"/>
                <w:color w:val="auto"/>
              </w:rPr>
            </w:pPr>
          </w:p>
        </w:tc>
        <w:tc>
          <w:tcPr>
            <w:tcW w:w="1860" w:type="dxa"/>
            <w:vAlign w:val="bottom"/>
          </w:tcPr>
          <w:p>
            <w:pPr>
              <w:spacing w:after="0"/>
              <w:rPr>
                <w:sz w:val="3"/>
                <w:szCs w:val="3"/>
                <w:color w:val="auto"/>
              </w:rPr>
            </w:pPr>
          </w:p>
        </w:tc>
      </w:tr>
    </w:tbl>
    <w:p>
      <w:pPr>
        <w:spacing w:after="0" w:line="200" w:lineRule="exact"/>
        <w:rPr>
          <w:sz w:val="20"/>
          <w:szCs w:val="20"/>
          <w:color w:val="auto"/>
        </w:rPr>
      </w:pPr>
    </w:p>
    <w:p>
      <w:pPr>
        <w:sectPr>
          <w:pgSz w:w="12240" w:h="15840" w:orient="portrait"/>
          <w:cols w:equalWidth="0" w:num="2">
            <w:col w:w="5760" w:space="140"/>
            <w:col w:w="4980"/>
          </w:cols>
          <w:pgMar w:left="720" w:top="555"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w:t>
      </w:r>
    </w:p>
    <w:p>
      <w:pPr>
        <w:sectPr>
          <w:pgSz w:w="12240" w:h="15840" w:orient="portrait"/>
          <w:cols w:equalWidth="0" w:num="1">
            <w:col w:w="10880"/>
          </w:cols>
          <w:pgMar w:left="720" w:top="555" w:right="640" w:bottom="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u w:val="single" w:color="auto"/>
          <w:color w:val="auto"/>
        </w:rPr>
        <w:t>Connectivity Solutions</w:t>
      </w:r>
    </w:p>
    <w:p>
      <w:pPr>
        <w:spacing w:after="0" w:line="226" w:lineRule="exact"/>
        <w:rPr>
          <w:sz w:val="20"/>
          <w:szCs w:val="20"/>
          <w:color w:val="auto"/>
        </w:rPr>
      </w:pPr>
    </w:p>
    <w:p>
      <w:pPr>
        <w:jc w:val="both"/>
        <w:ind w:right="80"/>
        <w:spacing w:after="0" w:line="298" w:lineRule="auto"/>
        <w:rPr>
          <w:sz w:val="20"/>
          <w:szCs w:val="20"/>
          <w:color w:val="auto"/>
        </w:rPr>
      </w:pPr>
      <w:r>
        <w:rPr>
          <w:rFonts w:ascii="Arial" w:cs="Arial" w:eastAsia="Arial" w:hAnsi="Arial"/>
          <w:sz w:val="18"/>
          <w:szCs w:val="18"/>
          <w:color w:val="auto"/>
        </w:rPr>
        <w:t>Bel offers a comprehensive line of high speed and harsh environment copper and optical fiber connectors and integrated assemblies, which provide connectivity for a wide range of applications across multiple industries including commercial aerospace, military communications, defense, network infrastructure, structured building cabling and several industrial applications.</w:t>
      </w:r>
    </w:p>
    <w:p>
      <w:pPr>
        <w:sectPr>
          <w:pgSz w:w="12240" w:h="15840" w:orient="portrait"/>
          <w:cols w:equalWidth="0" w:num="1">
            <w:col w:w="10880"/>
          </w:cols>
          <w:pgMar w:left="720" w:top="785" w:right="640" w:bottom="0" w:gutter="0" w:footer="0" w:header="0"/>
        </w:sectPr>
      </w:pPr>
    </w:p>
    <w:p>
      <w:pPr>
        <w:spacing w:after="0" w:line="175" w:lineRule="exact"/>
        <w:rPr>
          <w:sz w:val="20"/>
          <w:szCs w:val="20"/>
          <w:color w:val="auto"/>
        </w:rPr>
      </w:pPr>
    </w:p>
    <w:tbl>
      <w:tblPr>
        <w:tblLayout w:type="fixed"/>
        <w:tblInd w:w="1180" w:type="dxa"/>
        <w:tblCellMar>
          <w:top w:w="0" w:type="dxa"/>
          <w:left w:w="0" w:type="dxa"/>
          <w:bottom w:w="0" w:type="dxa"/>
          <w:right w:w="0" w:type="dxa"/>
        </w:tblCellMar>
      </w:tblPr>
      <w:tr>
        <w:trPr>
          <w:trHeight w:val="284"/>
        </w:trPr>
        <w:tc>
          <w:tcPr>
            <w:tcW w:w="2220" w:type="dxa"/>
            <w:vAlign w:val="bottom"/>
            <w:tcBorders>
              <w:bottom w:val="single" w:sz="8" w:color="auto"/>
            </w:tcBorders>
          </w:tcPr>
          <w:p>
            <w:pPr>
              <w:ind w:left="540"/>
              <w:spacing w:after="0"/>
              <w:rPr>
                <w:sz w:val="20"/>
                <w:szCs w:val="20"/>
                <w:color w:val="auto"/>
              </w:rPr>
            </w:pPr>
            <w:r>
              <w:rPr>
                <w:rFonts w:ascii="Arial" w:cs="Arial" w:eastAsia="Arial" w:hAnsi="Arial"/>
                <w:sz w:val="20"/>
                <w:szCs w:val="20"/>
                <w:b w:val="1"/>
                <w:bCs w:val="1"/>
                <w:color w:val="auto"/>
              </w:rPr>
              <w:t>Product Line</w:t>
            </w:r>
          </w:p>
        </w:tc>
        <w:tc>
          <w:tcPr>
            <w:tcW w:w="2560" w:type="dxa"/>
            <w:vAlign w:val="bottom"/>
            <w:tcBorders>
              <w:bottom w:val="single" w:sz="8" w:color="auto"/>
            </w:tcBorders>
          </w:tcPr>
          <w:p>
            <w:pPr>
              <w:ind w:left="900"/>
              <w:spacing w:after="0"/>
              <w:rPr>
                <w:sz w:val="20"/>
                <w:szCs w:val="20"/>
                <w:color w:val="auto"/>
              </w:rPr>
            </w:pPr>
            <w:r>
              <w:rPr>
                <w:rFonts w:ascii="Arial" w:cs="Arial" w:eastAsia="Arial" w:hAnsi="Arial"/>
                <w:sz w:val="20"/>
                <w:szCs w:val="20"/>
                <w:b w:val="1"/>
                <w:bCs w:val="1"/>
                <w:color w:val="auto"/>
              </w:rPr>
              <w:t>Function</w:t>
            </w:r>
          </w:p>
        </w:tc>
      </w:tr>
      <w:tr>
        <w:trPr>
          <w:trHeight w:val="230"/>
        </w:trPr>
        <w:tc>
          <w:tcPr>
            <w:tcW w:w="2220" w:type="dxa"/>
            <w:vAlign w:val="bottom"/>
          </w:tcPr>
          <w:p>
            <w:pPr>
              <w:ind w:left="20"/>
              <w:spacing w:after="0"/>
              <w:rPr>
                <w:sz w:val="20"/>
                <w:szCs w:val="20"/>
                <w:color w:val="auto"/>
              </w:rPr>
            </w:pPr>
            <w:r>
              <w:rPr>
                <w:rFonts w:ascii="Arial" w:cs="Arial" w:eastAsia="Arial" w:hAnsi="Arial"/>
                <w:sz w:val="20"/>
                <w:szCs w:val="20"/>
                <w:color w:val="auto"/>
              </w:rPr>
              <w:t>Expanded Beam Fiber</w:t>
            </w:r>
          </w:p>
        </w:tc>
        <w:tc>
          <w:tcPr>
            <w:tcW w:w="2560" w:type="dxa"/>
            <w:vAlign w:val="bottom"/>
          </w:tcPr>
          <w:p>
            <w:pPr>
              <w:ind w:left="40"/>
              <w:spacing w:after="0"/>
              <w:rPr>
                <w:sz w:val="20"/>
                <w:szCs w:val="20"/>
                <w:color w:val="auto"/>
              </w:rPr>
            </w:pPr>
            <w:r>
              <w:rPr>
                <w:rFonts w:ascii="Arial" w:cs="Arial" w:eastAsia="Arial" w:hAnsi="Arial"/>
                <w:sz w:val="20"/>
                <w:szCs w:val="20"/>
                <w:color w:val="auto"/>
              </w:rPr>
              <w:t>Harsh-environment, high-</w:t>
            </w:r>
          </w:p>
        </w:tc>
      </w:tr>
      <w:tr>
        <w:trPr>
          <w:trHeight w:val="229"/>
        </w:trPr>
        <w:tc>
          <w:tcPr>
            <w:tcW w:w="2220" w:type="dxa"/>
            <w:vAlign w:val="bottom"/>
          </w:tcPr>
          <w:p>
            <w:pPr>
              <w:ind w:left="20"/>
              <w:spacing w:after="0"/>
              <w:rPr>
                <w:sz w:val="20"/>
                <w:szCs w:val="20"/>
                <w:color w:val="auto"/>
              </w:rPr>
            </w:pPr>
            <w:r>
              <w:rPr>
                <w:rFonts w:ascii="Arial" w:cs="Arial" w:eastAsia="Arial" w:hAnsi="Arial"/>
                <w:sz w:val="20"/>
                <w:szCs w:val="20"/>
                <w:color w:val="auto"/>
              </w:rPr>
              <w:t>Optic Connectors, Cable</w:t>
            </w:r>
          </w:p>
        </w:tc>
        <w:tc>
          <w:tcPr>
            <w:tcW w:w="2560" w:type="dxa"/>
            <w:vAlign w:val="bottom"/>
          </w:tcPr>
          <w:p>
            <w:pPr>
              <w:ind w:left="40"/>
              <w:spacing w:after="0"/>
              <w:rPr>
                <w:sz w:val="20"/>
                <w:szCs w:val="20"/>
                <w:color w:val="auto"/>
              </w:rPr>
            </w:pPr>
            <w:r>
              <w:rPr>
                <w:rFonts w:ascii="Arial" w:cs="Arial" w:eastAsia="Arial" w:hAnsi="Arial"/>
                <w:sz w:val="20"/>
                <w:szCs w:val="20"/>
                <w:color w:val="auto"/>
                <w:w w:val="99"/>
              </w:rPr>
              <w:t>reliability, flight-grade optical</w:t>
            </w:r>
          </w:p>
        </w:tc>
      </w:tr>
      <w:tr>
        <w:trPr>
          <w:trHeight w:val="229"/>
        </w:trPr>
        <w:tc>
          <w:tcPr>
            <w:tcW w:w="2220" w:type="dxa"/>
            <w:vAlign w:val="bottom"/>
          </w:tcPr>
          <w:p>
            <w:pPr>
              <w:ind w:left="20"/>
              <w:spacing w:after="0"/>
              <w:rPr>
                <w:sz w:val="20"/>
                <w:szCs w:val="20"/>
                <w:color w:val="auto"/>
              </w:rPr>
            </w:pPr>
            <w:r>
              <w:rPr>
                <w:rFonts w:ascii="Arial" w:cs="Arial" w:eastAsia="Arial" w:hAnsi="Arial"/>
                <w:sz w:val="20"/>
                <w:szCs w:val="20"/>
                <w:color w:val="auto"/>
              </w:rPr>
              <w:t>Assemblies and Active</w:t>
            </w:r>
          </w:p>
        </w:tc>
        <w:tc>
          <w:tcPr>
            <w:tcW w:w="2560" w:type="dxa"/>
            <w:vAlign w:val="bottom"/>
          </w:tcPr>
          <w:p>
            <w:pPr>
              <w:ind w:left="40"/>
              <w:spacing w:after="0"/>
              <w:rPr>
                <w:sz w:val="20"/>
                <w:szCs w:val="20"/>
                <w:color w:val="auto"/>
              </w:rPr>
            </w:pPr>
            <w:r>
              <w:rPr>
                <w:rFonts w:ascii="Arial" w:cs="Arial" w:eastAsia="Arial" w:hAnsi="Arial"/>
                <w:sz w:val="20"/>
                <w:szCs w:val="20"/>
                <w:color w:val="auto"/>
              </w:rPr>
              <w:t>connectivity for high-speed</w:t>
            </w:r>
          </w:p>
        </w:tc>
      </w:tr>
      <w:tr>
        <w:trPr>
          <w:trHeight w:val="229"/>
        </w:trPr>
        <w:tc>
          <w:tcPr>
            <w:tcW w:w="2220" w:type="dxa"/>
            <w:vAlign w:val="bottom"/>
          </w:tcPr>
          <w:p>
            <w:pPr>
              <w:ind w:left="20"/>
              <w:spacing w:after="0"/>
              <w:rPr>
                <w:sz w:val="20"/>
                <w:szCs w:val="20"/>
                <w:color w:val="auto"/>
              </w:rPr>
            </w:pPr>
            <w:r>
              <w:rPr>
                <w:rFonts w:ascii="Arial" w:cs="Arial" w:eastAsia="Arial" w:hAnsi="Arial"/>
                <w:sz w:val="20"/>
                <w:szCs w:val="20"/>
                <w:color w:val="auto"/>
              </w:rPr>
              <w:t>Optical Devices</w:t>
            </w:r>
          </w:p>
        </w:tc>
        <w:tc>
          <w:tcPr>
            <w:tcW w:w="2560" w:type="dxa"/>
            <w:vAlign w:val="bottom"/>
          </w:tcPr>
          <w:p>
            <w:pPr>
              <w:ind w:left="40"/>
              <w:spacing w:after="0"/>
              <w:rPr>
                <w:sz w:val="20"/>
                <w:szCs w:val="20"/>
                <w:color w:val="auto"/>
              </w:rPr>
            </w:pPr>
            <w:r>
              <w:rPr>
                <w:rFonts w:ascii="Arial" w:cs="Arial" w:eastAsia="Arial" w:hAnsi="Arial"/>
                <w:sz w:val="20"/>
                <w:szCs w:val="20"/>
                <w:color w:val="auto"/>
              </w:rPr>
              <w:t>communications.</w:t>
            </w:r>
          </w:p>
        </w:tc>
      </w:tr>
      <w:tr>
        <w:trPr>
          <w:trHeight w:val="229"/>
        </w:trPr>
        <w:tc>
          <w:tcPr>
            <w:tcW w:w="2220" w:type="dxa"/>
            <w:vAlign w:val="bottom"/>
          </w:tcPr>
          <w:p>
            <w:pPr>
              <w:ind w:left="20"/>
              <w:spacing w:after="0"/>
              <w:rPr>
                <w:sz w:val="20"/>
                <w:szCs w:val="20"/>
                <w:color w:val="auto"/>
              </w:rPr>
            </w:pPr>
            <w:r>
              <w:rPr>
                <w:rFonts w:ascii="Arial" w:cs="Arial" w:eastAsia="Arial" w:hAnsi="Arial"/>
                <w:sz w:val="20"/>
                <w:szCs w:val="20"/>
                <w:color w:val="auto"/>
              </w:rPr>
              <w:t>(transceivers and media</w:t>
            </w:r>
          </w:p>
        </w:tc>
        <w:tc>
          <w:tcPr>
            <w:tcW w:w="2560" w:type="dxa"/>
            <w:vAlign w:val="bottom"/>
          </w:tcPr>
          <w:p>
            <w:pPr>
              <w:spacing w:after="0"/>
              <w:rPr>
                <w:sz w:val="19"/>
                <w:szCs w:val="19"/>
                <w:color w:val="auto"/>
              </w:rPr>
            </w:pPr>
          </w:p>
        </w:tc>
      </w:tr>
      <w:tr>
        <w:trPr>
          <w:trHeight w:val="264"/>
        </w:trPr>
        <w:tc>
          <w:tcPr>
            <w:tcW w:w="2220" w:type="dxa"/>
            <w:vAlign w:val="bottom"/>
          </w:tcPr>
          <w:p>
            <w:pPr>
              <w:ind w:left="20"/>
              <w:spacing w:after="0"/>
              <w:rPr>
                <w:sz w:val="20"/>
                <w:szCs w:val="20"/>
                <w:color w:val="auto"/>
              </w:rPr>
            </w:pPr>
            <w:r>
              <w:rPr>
                <w:rFonts w:ascii="Arial" w:cs="Arial" w:eastAsia="Arial" w:hAnsi="Arial"/>
                <w:sz w:val="20"/>
                <w:szCs w:val="20"/>
                <w:color w:val="auto"/>
              </w:rPr>
              <w:t>converters)</w:t>
            </w:r>
          </w:p>
        </w:tc>
        <w:tc>
          <w:tcPr>
            <w:tcW w:w="25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-904875</wp:posOffset>
            </wp:positionV>
            <wp:extent cx="6936740" cy="2353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6740" cy="23539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4"/>
        </w:trPr>
        <w:tc>
          <w:tcPr>
            <w:tcW w:w="2540" w:type="dxa"/>
            <w:vAlign w:val="bottom"/>
            <w:tcBorders>
              <w:bottom w:val="single" w:sz="8" w:color="auto"/>
            </w:tcBorders>
          </w:tcPr>
          <w:p>
            <w:pPr>
              <w:ind w:left="720"/>
              <w:spacing w:after="0"/>
              <w:rPr>
                <w:sz w:val="20"/>
                <w:szCs w:val="20"/>
                <w:color w:val="auto"/>
              </w:rPr>
            </w:pPr>
            <w:r>
              <w:rPr>
                <w:rFonts w:ascii="Arial" w:cs="Arial" w:eastAsia="Arial" w:hAnsi="Arial"/>
                <w:sz w:val="20"/>
                <w:szCs w:val="20"/>
                <w:b w:val="1"/>
                <w:bCs w:val="1"/>
                <w:color w:val="auto"/>
              </w:rPr>
              <w:t>Applications</w:t>
            </w:r>
          </w:p>
        </w:tc>
        <w:tc>
          <w:tcPr>
            <w:tcW w:w="20" w:type="dxa"/>
            <w:vAlign w:val="bottom"/>
          </w:tcPr>
          <w:p>
            <w:pPr>
              <w:spacing w:after="0"/>
              <w:rPr>
                <w:sz w:val="24"/>
                <w:szCs w:val="24"/>
                <w:color w:val="auto"/>
              </w:rPr>
            </w:pPr>
          </w:p>
        </w:tc>
        <w:tc>
          <w:tcPr>
            <w:tcW w:w="2320" w:type="dxa"/>
            <w:vAlign w:val="bottom"/>
            <w:tcBorders>
              <w:bottom w:val="single" w:sz="8" w:color="auto"/>
            </w:tcBorders>
          </w:tcPr>
          <w:p>
            <w:pPr>
              <w:ind w:left="340"/>
              <w:spacing w:after="0"/>
              <w:rPr>
                <w:sz w:val="20"/>
                <w:szCs w:val="20"/>
                <w:color w:val="auto"/>
              </w:rPr>
            </w:pPr>
            <w:r>
              <w:rPr>
                <w:rFonts w:ascii="Arial" w:cs="Arial" w:eastAsia="Arial" w:hAnsi="Arial"/>
                <w:sz w:val="20"/>
                <w:szCs w:val="20"/>
                <w:b w:val="1"/>
                <w:bCs w:val="1"/>
                <w:color w:val="auto"/>
              </w:rPr>
              <w:t>Brands Sold Under</w:t>
            </w:r>
          </w:p>
        </w:tc>
      </w:tr>
      <w:tr>
        <w:trPr>
          <w:trHeight w:val="230"/>
        </w:trPr>
        <w:tc>
          <w:tcPr>
            <w:tcW w:w="2540" w:type="dxa"/>
            <w:vAlign w:val="bottom"/>
          </w:tcPr>
          <w:p>
            <w:pPr>
              <w:ind w:left="20"/>
              <w:spacing w:after="0"/>
              <w:rPr>
                <w:sz w:val="20"/>
                <w:szCs w:val="20"/>
                <w:color w:val="auto"/>
              </w:rPr>
            </w:pPr>
            <w:r>
              <w:rPr>
                <w:rFonts w:ascii="Arial" w:cs="Arial" w:eastAsia="Arial" w:hAnsi="Arial"/>
                <w:sz w:val="20"/>
                <w:szCs w:val="20"/>
                <w:color w:val="auto"/>
                <w:w w:val="96"/>
              </w:rPr>
              <w:t>Military/aerospace, space, oil</w:t>
            </w:r>
          </w:p>
        </w:tc>
        <w:tc>
          <w:tcPr>
            <w:tcW w:w="2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20"/>
                <w:szCs w:val="20"/>
                <w:color w:val="auto"/>
              </w:rPr>
              <w:t>Stratos</w:t>
            </w:r>
            <w:r>
              <w:rPr>
                <w:rFonts w:ascii="Arial" w:cs="Arial" w:eastAsia="Arial" w:hAnsi="Arial"/>
                <w:sz w:val="10"/>
                <w:szCs w:val="10"/>
                <w:color w:val="auto"/>
              </w:rPr>
              <w:t>®</w:t>
            </w:r>
            <w:r>
              <w:rPr>
                <w:rFonts w:ascii="Arial" w:cs="Arial" w:eastAsia="Arial" w:hAnsi="Arial"/>
                <w:sz w:val="20"/>
                <w:szCs w:val="20"/>
                <w:color w:val="auto"/>
              </w:rPr>
              <w:t>, Fibreco</w:t>
            </w:r>
            <w:r>
              <w:rPr>
                <w:rFonts w:ascii="Arial" w:cs="Arial" w:eastAsia="Arial" w:hAnsi="Arial"/>
                <w:sz w:val="10"/>
                <w:szCs w:val="10"/>
                <w:color w:val="auto"/>
              </w:rPr>
              <w:t>®</w:t>
            </w:r>
          </w:p>
        </w:tc>
      </w:tr>
      <w:tr>
        <w:trPr>
          <w:trHeight w:val="229"/>
        </w:trPr>
        <w:tc>
          <w:tcPr>
            <w:tcW w:w="2540" w:type="dxa"/>
            <w:vAlign w:val="bottom"/>
          </w:tcPr>
          <w:p>
            <w:pPr>
              <w:ind w:left="20"/>
              <w:spacing w:after="0"/>
              <w:rPr>
                <w:sz w:val="20"/>
                <w:szCs w:val="20"/>
                <w:color w:val="auto"/>
              </w:rPr>
            </w:pPr>
            <w:r>
              <w:rPr>
                <w:rFonts w:ascii="Arial" w:cs="Arial" w:eastAsia="Arial" w:hAnsi="Arial"/>
                <w:sz w:val="20"/>
                <w:szCs w:val="20"/>
                <w:color w:val="auto"/>
              </w:rPr>
              <w:t>and gas well monitoring and</w:t>
            </w: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20"/>
                <w:szCs w:val="20"/>
                <w:color w:val="auto"/>
              </w:rPr>
              <w:t>exploration, broadcast,</w:t>
            </w: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64"/>
        </w:trPr>
        <w:tc>
          <w:tcPr>
            <w:tcW w:w="2540" w:type="dxa"/>
            <w:vAlign w:val="bottom"/>
          </w:tcPr>
          <w:p>
            <w:pPr>
              <w:ind w:left="20"/>
              <w:spacing w:after="0"/>
              <w:rPr>
                <w:sz w:val="20"/>
                <w:szCs w:val="20"/>
                <w:color w:val="auto"/>
              </w:rPr>
            </w:pPr>
            <w:r>
              <w:rPr>
                <w:rFonts w:ascii="Arial" w:cs="Arial" w:eastAsia="Arial" w:hAnsi="Arial"/>
                <w:sz w:val="20"/>
                <w:szCs w:val="20"/>
                <w:color w:val="auto"/>
              </w:rPr>
              <w:t>communications, RADAR.</w:t>
            </w:r>
          </w:p>
        </w:tc>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r>
    </w:tbl>
    <w:p>
      <w:pPr>
        <w:spacing w:after="0" w:line="494" w:lineRule="exact"/>
        <w:rPr>
          <w:sz w:val="20"/>
          <w:szCs w:val="20"/>
          <w:color w:val="auto"/>
        </w:rPr>
      </w:pPr>
    </w:p>
    <w:p>
      <w:pPr>
        <w:sectPr>
          <w:pgSz w:w="12240" w:h="15840" w:orient="portrait"/>
          <w:cols w:equalWidth="0" w:num="2">
            <w:col w:w="5960" w:space="20"/>
            <w:col w:w="4900"/>
          </w:cols>
          <w:pgMar w:left="720" w:top="785" w:right="640" w:bottom="0" w:gutter="0" w:footer="0" w:header="0"/>
          <w:type w:val="continuous"/>
        </w:sectPr>
      </w:pPr>
    </w:p>
    <w:tbl>
      <w:tblPr>
        <w:tblLayout w:type="fixed"/>
        <w:tblInd w:w="10" w:type="dxa"/>
        <w:tblCellMar>
          <w:top w:w="0" w:type="dxa"/>
          <w:left w:w="0" w:type="dxa"/>
          <w:bottom w:w="0" w:type="dxa"/>
          <w:right w:w="0" w:type="dxa"/>
        </w:tblCellMar>
      </w:tblPr>
      <w:tr>
        <w:trPr>
          <w:trHeight w:val="230"/>
        </w:trPr>
        <w:tc>
          <w:tcPr>
            <w:tcW w:w="11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20"/>
                <w:szCs w:val="20"/>
                <w:color w:val="auto"/>
              </w:rPr>
              <w:t>Harsh-environment, high-</w:t>
            </w:r>
          </w:p>
        </w:tc>
        <w:tc>
          <w:tcPr>
            <w:tcW w:w="2560" w:type="dxa"/>
            <w:vAlign w:val="bottom"/>
          </w:tcPr>
          <w:p>
            <w:pPr>
              <w:ind w:left="20"/>
              <w:spacing w:after="0"/>
              <w:rPr>
                <w:sz w:val="20"/>
                <w:szCs w:val="20"/>
                <w:color w:val="auto"/>
              </w:rPr>
            </w:pPr>
            <w:r>
              <w:rPr>
                <w:rFonts w:ascii="Arial" w:cs="Arial" w:eastAsia="Arial" w:hAnsi="Arial"/>
                <w:sz w:val="20"/>
                <w:szCs w:val="20"/>
                <w:color w:val="auto"/>
              </w:rPr>
              <w:t>Avionics, smart munitions,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Cinch</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2240" w:type="dxa"/>
            <w:vAlign w:val="bottom"/>
          </w:tcPr>
          <w:p>
            <w:pPr>
              <w:ind w:left="20"/>
              <w:spacing w:after="0" w:line="227" w:lineRule="exact"/>
              <w:rPr>
                <w:sz w:val="20"/>
                <w:szCs w:val="20"/>
                <w:color w:val="auto"/>
              </w:rPr>
            </w:pPr>
            <w:r>
              <w:rPr>
                <w:rFonts w:ascii="Arial" w:cs="Arial" w:eastAsia="Arial" w:hAnsi="Arial"/>
                <w:sz w:val="20"/>
                <w:szCs w:val="20"/>
                <w:color w:val="auto"/>
                <w:w w:val="92"/>
              </w:rPr>
              <w:t>Copper-based Connectors</w:t>
            </w:r>
          </w:p>
        </w:tc>
        <w:tc>
          <w:tcPr>
            <w:tcW w:w="2560" w:type="dxa"/>
            <w:vAlign w:val="bottom"/>
          </w:tcPr>
          <w:p>
            <w:pPr>
              <w:ind w:left="20"/>
              <w:spacing w:after="0" w:line="227" w:lineRule="exact"/>
              <w:rPr>
                <w:sz w:val="20"/>
                <w:szCs w:val="20"/>
                <w:color w:val="auto"/>
              </w:rPr>
            </w:pPr>
            <w:r>
              <w:rPr>
                <w:rFonts w:ascii="Arial" w:cs="Arial" w:eastAsia="Arial" w:hAnsi="Arial"/>
                <w:sz w:val="20"/>
                <w:szCs w:val="20"/>
                <w:color w:val="auto"/>
              </w:rPr>
              <w:t>reliability connectivity and</w:t>
            </w:r>
          </w:p>
        </w:tc>
        <w:tc>
          <w:tcPr>
            <w:tcW w:w="2560" w:type="dxa"/>
            <w:vAlign w:val="bottom"/>
          </w:tcPr>
          <w:p>
            <w:pPr>
              <w:ind w:left="20"/>
              <w:spacing w:after="0" w:line="227" w:lineRule="exact"/>
              <w:rPr>
                <w:sz w:val="20"/>
                <w:szCs w:val="20"/>
                <w:color w:val="auto"/>
              </w:rPr>
            </w:pPr>
            <w:r>
              <w:rPr>
                <w:rFonts w:ascii="Arial" w:cs="Arial" w:eastAsia="Arial" w:hAnsi="Arial"/>
                <w:sz w:val="20"/>
                <w:szCs w:val="20"/>
                <w:color w:val="auto"/>
              </w:rPr>
              <w:t>communications, radar and</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2240" w:type="dxa"/>
            <w:vAlign w:val="bottom"/>
          </w:tcPr>
          <w:p>
            <w:pPr>
              <w:ind w:left="20"/>
              <w:spacing w:after="0"/>
              <w:rPr>
                <w:sz w:val="20"/>
                <w:szCs w:val="20"/>
                <w:color w:val="auto"/>
              </w:rPr>
            </w:pPr>
            <w:r>
              <w:rPr>
                <w:rFonts w:ascii="Arial" w:cs="Arial" w:eastAsia="Arial" w:hAnsi="Arial"/>
                <w:sz w:val="20"/>
                <w:szCs w:val="20"/>
                <w:color w:val="auto"/>
                <w:w w:val="97"/>
              </w:rPr>
              <w:t>/ Cable Assemblies-FQIS</w:t>
            </w:r>
          </w:p>
        </w:tc>
        <w:tc>
          <w:tcPr>
            <w:tcW w:w="2560" w:type="dxa"/>
            <w:vAlign w:val="bottom"/>
          </w:tcPr>
          <w:p>
            <w:pPr>
              <w:ind w:left="20"/>
              <w:spacing w:after="0"/>
              <w:rPr>
                <w:sz w:val="20"/>
                <w:szCs w:val="20"/>
                <w:color w:val="auto"/>
              </w:rPr>
            </w:pPr>
            <w:r>
              <w:rPr>
                <w:rFonts w:ascii="Arial" w:cs="Arial" w:eastAsia="Arial" w:hAnsi="Arial"/>
                <w:sz w:val="20"/>
                <w:szCs w:val="20"/>
                <w:color w:val="auto"/>
              </w:rPr>
              <w:t>fuel quantity monitoring</w:t>
            </w:r>
          </w:p>
        </w:tc>
        <w:tc>
          <w:tcPr>
            <w:tcW w:w="2560" w:type="dxa"/>
            <w:vAlign w:val="bottom"/>
          </w:tcPr>
          <w:p>
            <w:pPr>
              <w:ind w:left="20"/>
              <w:spacing w:after="0"/>
              <w:rPr>
                <w:sz w:val="20"/>
                <w:szCs w:val="20"/>
                <w:color w:val="auto"/>
              </w:rPr>
            </w:pPr>
            <w:r>
              <w:rPr>
                <w:rFonts w:ascii="Arial" w:cs="Arial" w:eastAsia="Arial" w:hAnsi="Arial"/>
                <w:sz w:val="20"/>
                <w:szCs w:val="20"/>
                <w:color w:val="auto"/>
                <w:w w:val="98"/>
              </w:rPr>
              <w:t>various industrial equipment.</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180" w:type="dxa"/>
            <w:vAlign w:val="bottom"/>
          </w:tcPr>
          <w:p>
            <w:pPr>
              <w:jc w:val="center"/>
              <w:spacing w:after="0"/>
              <w:rPr>
                <w:sz w:val="20"/>
                <w:szCs w:val="20"/>
                <w:color w:val="auto"/>
              </w:rPr>
            </w:pPr>
            <w:r>
              <w:rPr>
                <w:rFonts w:ascii="Arial" w:cs="Arial" w:eastAsia="Arial" w:hAnsi="Arial"/>
                <w:sz w:val="20"/>
                <w:szCs w:val="20"/>
                <w:b w:val="1"/>
                <w:bCs w:val="1"/>
                <w:color w:val="auto"/>
                <w:w w:val="89"/>
              </w:rPr>
              <w:t>Connectivity</w:t>
            </w:r>
          </w:p>
        </w:tc>
        <w:tc>
          <w:tcPr>
            <w:tcW w:w="2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(FQIS).</w:t>
            </w:r>
          </w:p>
        </w:tc>
        <w:tc>
          <w:tcPr>
            <w:tcW w:w="256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8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7"/>
              </w:rPr>
              <w:t>Solutions</w:t>
            </w: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rPr>
              <w:t>RF Connectors, Cable</w:t>
            </w:r>
          </w:p>
        </w:tc>
        <w:tc>
          <w:tcPr>
            <w:tcW w:w="2560" w:type="dxa"/>
            <w:vAlign w:val="bottom"/>
          </w:tcPr>
          <w:p>
            <w:pPr>
              <w:ind w:left="20"/>
              <w:spacing w:after="0" w:line="225" w:lineRule="exact"/>
              <w:rPr>
                <w:sz w:val="20"/>
                <w:szCs w:val="20"/>
                <w:color w:val="auto"/>
              </w:rPr>
            </w:pPr>
            <w:r>
              <w:rPr>
                <w:rFonts w:ascii="Arial" w:cs="Arial" w:eastAsia="Arial" w:hAnsi="Arial"/>
                <w:sz w:val="20"/>
                <w:szCs w:val="20"/>
                <w:color w:val="auto"/>
              </w:rPr>
              <w:t>Connectors and cable</w:t>
            </w:r>
          </w:p>
        </w:tc>
        <w:tc>
          <w:tcPr>
            <w:tcW w:w="2560" w:type="dxa"/>
            <w:vAlign w:val="bottom"/>
          </w:tcPr>
          <w:p>
            <w:pPr>
              <w:ind w:left="20"/>
              <w:spacing w:after="0" w:line="225" w:lineRule="exact"/>
              <w:rPr>
                <w:sz w:val="20"/>
                <w:szCs w:val="20"/>
                <w:color w:val="auto"/>
              </w:rPr>
            </w:pPr>
            <w:r>
              <w:rPr>
                <w:rFonts w:ascii="Arial" w:cs="Arial" w:eastAsia="Arial" w:hAnsi="Arial"/>
                <w:sz w:val="20"/>
                <w:szCs w:val="20"/>
                <w:color w:val="auto"/>
                <w:w w:val="92"/>
              </w:rPr>
              <w:t>Military/aerospace, space, test</w:t>
            </w:r>
          </w:p>
        </w:tc>
        <w:tc>
          <w:tcPr>
            <w:tcW w:w="2340" w:type="dxa"/>
            <w:vAlign w:val="bottom"/>
            <w:tcBorders>
              <w:right w:val="single" w:sz="8" w:color="auto"/>
            </w:tcBorders>
          </w:tcPr>
          <w:p>
            <w:pPr>
              <w:ind w:left="20"/>
              <w:spacing w:after="0" w:line="225" w:lineRule="exact"/>
              <w:rPr>
                <w:sz w:val="20"/>
                <w:szCs w:val="20"/>
                <w:color w:val="auto"/>
              </w:rPr>
            </w:pPr>
            <w:r>
              <w:rPr>
                <w:rFonts w:ascii="Arial" w:cs="Arial" w:eastAsia="Arial" w:hAnsi="Arial"/>
                <w:sz w:val="20"/>
                <w:szCs w:val="20"/>
                <w:color w:val="auto"/>
              </w:rPr>
              <w:t>Johnson, Trompeter,</w:t>
            </w:r>
          </w:p>
        </w:tc>
        <w:tc>
          <w:tcPr>
            <w:tcW w:w="0" w:type="dxa"/>
            <w:vAlign w:val="bottom"/>
          </w:tcPr>
          <w:p>
            <w:pPr>
              <w:spacing w:after="0"/>
              <w:rPr>
                <w:sz w:val="1"/>
                <w:szCs w:val="1"/>
                <w:color w:val="auto"/>
              </w:rPr>
            </w:pPr>
          </w:p>
        </w:tc>
      </w:tr>
      <w:tr>
        <w:trPr>
          <w:trHeight w:val="115"/>
        </w:trPr>
        <w:tc>
          <w:tcPr>
            <w:tcW w:w="11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560" w:type="dxa"/>
            <w:vAlign w:val="bottom"/>
            <w:vMerge w:val="restart"/>
          </w:tcPr>
          <w:p>
            <w:pPr>
              <w:ind w:left="20"/>
              <w:spacing w:after="0"/>
              <w:rPr>
                <w:sz w:val="20"/>
                <w:szCs w:val="20"/>
                <w:color w:val="auto"/>
              </w:rPr>
            </w:pPr>
            <w:r>
              <w:rPr>
                <w:rFonts w:ascii="Arial" w:cs="Arial" w:eastAsia="Arial" w:hAnsi="Arial"/>
                <w:sz w:val="20"/>
                <w:szCs w:val="20"/>
                <w:color w:val="auto"/>
              </w:rPr>
              <w:t>assemblies designed to</w:t>
            </w:r>
          </w:p>
        </w:tc>
        <w:tc>
          <w:tcPr>
            <w:tcW w:w="2560" w:type="dxa"/>
            <w:vAlign w:val="bottom"/>
            <w:vMerge w:val="restart"/>
          </w:tcPr>
          <w:p>
            <w:pPr>
              <w:ind w:left="20"/>
              <w:spacing w:after="0"/>
              <w:rPr>
                <w:sz w:val="20"/>
                <w:szCs w:val="20"/>
                <w:color w:val="auto"/>
              </w:rPr>
            </w:pPr>
            <w:r>
              <w:rPr>
                <w:rFonts w:ascii="Arial" w:cs="Arial" w:eastAsia="Arial" w:hAnsi="Arial"/>
                <w:sz w:val="20"/>
                <w:szCs w:val="20"/>
                <w:color w:val="auto"/>
                <w:w w:val="92"/>
              </w:rPr>
              <w:t>and measurement, internet-of-</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Midwest Microwave</w:t>
            </w:r>
            <w:r>
              <w:rPr>
                <w:rFonts w:ascii="Arial" w:cs="Arial" w:eastAsia="Arial" w:hAnsi="Arial"/>
                <w:sz w:val="10"/>
                <w:szCs w:val="10"/>
                <w:color w:val="auto"/>
              </w:rPr>
              <w:t>TM</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15"/>
        </w:trPr>
        <w:tc>
          <w:tcPr>
            <w:tcW w:w="1180" w:type="dxa"/>
            <w:vAlign w:val="bottom"/>
          </w:tcPr>
          <w:p>
            <w:pPr>
              <w:spacing w:after="0"/>
              <w:rPr>
                <w:sz w:val="9"/>
                <w:szCs w:val="9"/>
                <w:color w:val="auto"/>
              </w:rPr>
            </w:pP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rPr>
              <w:t>Assemblies, Microwave</w:t>
            </w:r>
          </w:p>
        </w:tc>
        <w:tc>
          <w:tcPr>
            <w:tcW w:w="256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560" w:type="dxa"/>
            <w:vAlign w:val="bottom"/>
            <w:vMerge w:val="restart"/>
          </w:tcPr>
          <w:p>
            <w:pPr>
              <w:ind w:left="20"/>
              <w:spacing w:after="0"/>
              <w:rPr>
                <w:sz w:val="20"/>
                <w:szCs w:val="20"/>
                <w:color w:val="auto"/>
              </w:rPr>
            </w:pPr>
            <w:r>
              <w:rPr>
                <w:rFonts w:ascii="Arial" w:cs="Arial" w:eastAsia="Arial" w:hAnsi="Arial"/>
                <w:sz w:val="20"/>
                <w:szCs w:val="20"/>
                <w:color w:val="auto"/>
              </w:rPr>
              <w:t>provide connectivity within</w:t>
            </w:r>
          </w:p>
        </w:tc>
        <w:tc>
          <w:tcPr>
            <w:tcW w:w="2560" w:type="dxa"/>
            <w:vAlign w:val="bottom"/>
            <w:vMerge w:val="restart"/>
          </w:tcPr>
          <w:p>
            <w:pPr>
              <w:ind w:left="20"/>
              <w:spacing w:after="0"/>
              <w:rPr>
                <w:sz w:val="20"/>
                <w:szCs w:val="20"/>
                <w:color w:val="auto"/>
              </w:rPr>
            </w:pPr>
            <w:r>
              <w:rPr>
                <w:rFonts w:ascii="Arial" w:cs="Arial" w:eastAsia="Arial" w:hAnsi="Arial"/>
                <w:sz w:val="20"/>
                <w:szCs w:val="20"/>
                <w:color w:val="auto"/>
              </w:rPr>
              <w:t>things (IoT), 5G high-</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Semflex</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1180" w:type="dxa"/>
            <w:vAlign w:val="bottom"/>
          </w:tcPr>
          <w:p>
            <w:pPr>
              <w:spacing w:after="0"/>
              <w:rPr>
                <w:sz w:val="9"/>
                <w:szCs w:val="9"/>
                <w:color w:val="auto"/>
              </w:rPr>
            </w:pP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rPr>
              <w:t>Devices and Low Loss</w:t>
            </w:r>
          </w:p>
        </w:tc>
        <w:tc>
          <w:tcPr>
            <w:tcW w:w="256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560" w:type="dxa"/>
            <w:vAlign w:val="bottom"/>
            <w:vMerge w:val="restart"/>
          </w:tcPr>
          <w:p>
            <w:pPr>
              <w:ind w:left="20"/>
              <w:spacing w:after="0"/>
              <w:rPr>
                <w:sz w:val="20"/>
                <w:szCs w:val="20"/>
                <w:color w:val="auto"/>
              </w:rPr>
            </w:pPr>
            <w:r>
              <w:rPr>
                <w:rFonts w:ascii="Arial" w:cs="Arial" w:eastAsia="Arial" w:hAnsi="Arial"/>
                <w:sz w:val="20"/>
                <w:szCs w:val="20"/>
                <w:color w:val="auto"/>
              </w:rPr>
              <w:t>radio frequency (RF)</w:t>
            </w:r>
          </w:p>
        </w:tc>
        <w:tc>
          <w:tcPr>
            <w:tcW w:w="2560" w:type="dxa"/>
            <w:vAlign w:val="bottom"/>
            <w:vMerge w:val="restart"/>
          </w:tcPr>
          <w:p>
            <w:pPr>
              <w:ind w:left="20"/>
              <w:spacing w:after="0"/>
              <w:rPr>
                <w:sz w:val="20"/>
                <w:szCs w:val="20"/>
                <w:color w:val="auto"/>
              </w:rPr>
            </w:pPr>
            <w:r>
              <w:rPr>
                <w:rFonts w:ascii="Arial" w:cs="Arial" w:eastAsia="Arial" w:hAnsi="Arial"/>
                <w:sz w:val="20"/>
                <w:szCs w:val="20"/>
                <w:color w:val="auto"/>
              </w:rPr>
              <w:t>frequency and wireless</w:t>
            </w: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80" w:type="dxa"/>
            <w:vAlign w:val="bottom"/>
          </w:tcPr>
          <w:p>
            <w:pPr>
              <w:spacing w:after="0"/>
              <w:rPr>
                <w:sz w:val="9"/>
                <w:szCs w:val="9"/>
                <w:color w:val="auto"/>
              </w:rPr>
            </w:pP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rPr>
              <w:t>Cable</w:t>
            </w:r>
          </w:p>
        </w:tc>
        <w:tc>
          <w:tcPr>
            <w:tcW w:w="256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2560" w:type="dxa"/>
            <w:vAlign w:val="bottom"/>
            <w:vMerge w:val="restart"/>
          </w:tcPr>
          <w:p>
            <w:pPr>
              <w:ind w:left="20"/>
              <w:spacing w:after="0"/>
              <w:rPr>
                <w:sz w:val="20"/>
                <w:szCs w:val="20"/>
                <w:color w:val="auto"/>
              </w:rPr>
            </w:pPr>
            <w:r>
              <w:rPr>
                <w:rFonts w:ascii="Arial" w:cs="Arial" w:eastAsia="Arial" w:hAnsi="Arial"/>
                <w:sz w:val="20"/>
                <w:szCs w:val="20"/>
                <w:color w:val="auto"/>
              </w:rPr>
              <w:t>applications.</w:t>
            </w:r>
          </w:p>
        </w:tc>
        <w:tc>
          <w:tcPr>
            <w:tcW w:w="2560" w:type="dxa"/>
            <w:vAlign w:val="bottom"/>
            <w:vMerge w:val="restart"/>
          </w:tcPr>
          <w:p>
            <w:pPr>
              <w:ind w:left="20"/>
              <w:spacing w:after="0"/>
              <w:rPr>
                <w:sz w:val="20"/>
                <w:szCs w:val="20"/>
                <w:color w:val="auto"/>
              </w:rPr>
            </w:pPr>
            <w:r>
              <w:rPr>
                <w:rFonts w:ascii="Arial" w:cs="Arial" w:eastAsia="Arial" w:hAnsi="Arial"/>
                <w:sz w:val="20"/>
                <w:szCs w:val="20"/>
                <w:color w:val="auto"/>
              </w:rPr>
              <w:t>communications.</w:t>
            </w:r>
          </w:p>
        </w:tc>
        <w:tc>
          <w:tcPr>
            <w:tcW w:w="2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right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1180" w:type="dxa"/>
            <w:vAlign w:val="bottom"/>
            <w:tcBorders>
              <w:left w:val="single" w:sz="8" w:color="auto"/>
              <w:right w:val="single" w:sz="8" w:color="auto"/>
            </w:tcBorders>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tcPr>
          <w:p>
            <w:pPr>
              <w:ind w:left="20"/>
              <w:spacing w:after="0" w:line="225" w:lineRule="exact"/>
              <w:rPr>
                <w:sz w:val="20"/>
                <w:szCs w:val="20"/>
                <w:color w:val="auto"/>
              </w:rPr>
            </w:pPr>
            <w:r>
              <w:rPr>
                <w:rFonts w:ascii="Arial" w:cs="Arial" w:eastAsia="Arial" w:hAnsi="Arial"/>
                <w:sz w:val="20"/>
                <w:szCs w:val="20"/>
                <w:color w:val="auto"/>
              </w:rPr>
              <w:t>RJ45, RJ11, M12, IP67 and</w:t>
            </w:r>
          </w:p>
        </w:tc>
        <w:tc>
          <w:tcPr>
            <w:tcW w:w="2560" w:type="dxa"/>
            <w:vAlign w:val="bottom"/>
            <w:tcBorders>
              <w:right w:val="single" w:sz="8" w:color="auto"/>
            </w:tcBorders>
          </w:tcPr>
          <w:p>
            <w:pPr>
              <w:ind w:left="20"/>
              <w:spacing w:after="0" w:line="225" w:lineRule="exact"/>
              <w:rPr>
                <w:sz w:val="20"/>
                <w:szCs w:val="20"/>
                <w:color w:val="auto"/>
              </w:rPr>
            </w:pPr>
            <w:r>
              <w:rPr>
                <w:rFonts w:ascii="Arial" w:cs="Arial" w:eastAsia="Arial" w:hAnsi="Arial"/>
                <w:sz w:val="20"/>
                <w:szCs w:val="20"/>
                <w:color w:val="auto"/>
                <w:w w:val="94"/>
              </w:rPr>
              <w:t>Applications including routers,</w:t>
            </w:r>
          </w:p>
        </w:tc>
        <w:tc>
          <w:tcPr>
            <w:tcW w:w="2340" w:type="dxa"/>
            <w:vAlign w:val="bottom"/>
            <w:tcBorders>
              <w:right w:val="single" w:sz="8" w:color="auto"/>
            </w:tcBorders>
          </w:tcPr>
          <w:p>
            <w:pPr>
              <w:ind w:left="20"/>
              <w:spacing w:after="0" w:line="225" w:lineRule="exact"/>
              <w:rPr>
                <w:sz w:val="20"/>
                <w:szCs w:val="20"/>
                <w:color w:val="auto"/>
              </w:rPr>
            </w:pPr>
            <w:r>
              <w:rPr>
                <w:rFonts w:ascii="Arial" w:cs="Arial" w:eastAsia="Arial" w:hAnsi="Arial"/>
                <w:sz w:val="20"/>
                <w:szCs w:val="20"/>
                <w:color w:val="auto"/>
              </w:rPr>
              <w:t>Stewart Connector</w:t>
            </w:r>
          </w:p>
        </w:tc>
        <w:tc>
          <w:tcPr>
            <w:tcW w:w="0" w:type="dxa"/>
            <w:vAlign w:val="bottom"/>
          </w:tcPr>
          <w:p>
            <w:pPr>
              <w:spacing w:after="0"/>
              <w:rPr>
                <w:sz w:val="1"/>
                <w:szCs w:val="1"/>
                <w:color w:val="auto"/>
              </w:rPr>
            </w:pPr>
          </w:p>
        </w:tc>
      </w:tr>
      <w:tr>
        <w:trPr>
          <w:trHeight w:val="229"/>
        </w:trPr>
        <w:tc>
          <w:tcPr>
            <w:tcW w:w="1180" w:type="dxa"/>
            <w:vAlign w:val="bottom"/>
            <w:tcBorders>
              <w:left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Ethernet, I/O, Industrial</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USB connectivity for</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hubs, switches, peripheral</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right w:val="single" w:sz="8" w:color="auto"/>
            </w:tcBorders>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w w:val="93"/>
              </w:rPr>
              <w:t>data/voice/video transmission.</w:t>
            </w:r>
          </w:p>
        </w:tc>
        <w:tc>
          <w:tcPr>
            <w:tcW w:w="256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w w:val="95"/>
              </w:rPr>
              <w:t>device connectivity and patch</w:t>
            </w: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right w:val="single" w:sz="8" w:color="auto"/>
            </w:tcBorders>
          </w:tcPr>
          <w:p>
            <w:pPr>
              <w:spacing w:after="0"/>
              <w:rPr>
                <w:sz w:val="9"/>
                <w:szCs w:val="9"/>
                <w:color w:val="auto"/>
              </w:rPr>
            </w:pPr>
          </w:p>
        </w:tc>
        <w:tc>
          <w:tcPr>
            <w:tcW w:w="22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and Power Connectivity</w:t>
            </w:r>
          </w:p>
        </w:tc>
        <w:tc>
          <w:tcPr>
            <w:tcW w:w="256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8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256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vMerge w:val="restart"/>
          </w:tcPr>
          <w:p>
            <w:pPr>
              <w:ind w:left="20"/>
              <w:spacing w:after="0" w:line="227" w:lineRule="exact"/>
              <w:rPr>
                <w:sz w:val="20"/>
                <w:szCs w:val="20"/>
                <w:color w:val="auto"/>
              </w:rPr>
            </w:pPr>
            <w:r>
              <w:rPr>
                <w:rFonts w:ascii="Arial" w:cs="Arial" w:eastAsia="Arial" w:hAnsi="Arial"/>
                <w:sz w:val="20"/>
                <w:szCs w:val="20"/>
                <w:color w:val="auto"/>
              </w:rPr>
              <w:t>panels; and emerging IoT</w:t>
            </w:r>
          </w:p>
        </w:tc>
        <w:tc>
          <w:tcPr>
            <w:tcW w:w="2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180" w:type="dxa"/>
            <w:vAlign w:val="bottom"/>
            <w:tcBorders>
              <w:left w:val="single" w:sz="8" w:color="auto"/>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2560" w:type="dxa"/>
            <w:vAlign w:val="bottom"/>
            <w:tcBorders>
              <w:right w:val="single" w:sz="8" w:color="auto"/>
            </w:tcBorders>
            <w:vMerge w:val="continue"/>
          </w:tcPr>
          <w:p>
            <w:pPr>
              <w:spacing w:after="0"/>
              <w:rPr>
                <w:sz w:val="6"/>
                <w:szCs w:val="6"/>
                <w:color w:val="auto"/>
              </w:rPr>
            </w:pPr>
          </w:p>
        </w:tc>
        <w:tc>
          <w:tcPr>
            <w:tcW w:w="2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180" w:type="dxa"/>
            <w:vAlign w:val="bottom"/>
            <w:tcBorders>
              <w:left w:val="single" w:sz="8" w:color="auto"/>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applications.</w:t>
            </w:r>
          </w:p>
        </w:tc>
        <w:tc>
          <w:tcPr>
            <w:tcW w:w="2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Magnetic Solutions</w:t>
      </w:r>
    </w:p>
    <w:p>
      <w:pPr>
        <w:spacing w:after="0" w:line="229" w:lineRule="exact"/>
        <w:rPr>
          <w:sz w:val="20"/>
          <w:szCs w:val="20"/>
          <w:color w:val="auto"/>
        </w:rPr>
      </w:pPr>
    </w:p>
    <w:p>
      <w:pPr>
        <w:jc w:val="both"/>
        <w:ind w:right="80"/>
        <w:spacing w:after="0" w:line="267" w:lineRule="auto"/>
        <w:rPr>
          <w:sz w:val="20"/>
          <w:szCs w:val="20"/>
          <w:color w:val="auto"/>
        </w:rPr>
      </w:pPr>
      <w:r>
        <w:rPr>
          <w:rFonts w:ascii="Arial" w:cs="Arial" w:eastAsia="Arial" w:hAnsi="Arial"/>
          <w:sz w:val="19"/>
          <w:szCs w:val="19"/>
          <w:color w:val="auto"/>
        </w:rPr>
        <w:t>Bel's Magnetics offers industry-leading products. The Company's ICM products integrate RJ45 connectors with discrete magnetic components to provide better performance and a more robust device that allows customers to substantially reduce board space and optimize performance. Power Transformers include standard and custom designs for use in a wide array of applications, including industrial instrumentation, alarm and security systems, motion control, elevators, and medical products.</w:t>
      </w:r>
    </w:p>
    <w:p>
      <w:pPr>
        <w:spacing w:after="0" w:line="201" w:lineRule="exact"/>
        <w:rPr>
          <w:sz w:val="20"/>
          <w:szCs w:val="20"/>
          <w:color w:val="auto"/>
        </w:rPr>
      </w:pPr>
    </w:p>
    <w:p>
      <w:pPr>
        <w:ind w:left="1560"/>
        <w:spacing w:after="0"/>
        <w:tabs>
          <w:tab w:leader="none" w:pos="4160" w:val="left"/>
          <w:tab w:leader="none" w:pos="6620" w:val="left"/>
          <w:tab w:leader="none" w:pos="8840" w:val="left"/>
        </w:tabs>
        <w:rPr>
          <w:sz w:val="20"/>
          <w:szCs w:val="20"/>
          <w:color w:val="auto"/>
        </w:rPr>
      </w:pPr>
      <w:r>
        <w:rPr>
          <w:rFonts w:ascii="Arial" w:cs="Arial" w:eastAsia="Arial" w:hAnsi="Arial"/>
          <w:sz w:val="20"/>
          <w:szCs w:val="20"/>
          <w:b w:val="1"/>
          <w:bCs w:val="1"/>
          <w:color w:val="auto"/>
        </w:rPr>
        <w:t>Product Line</w:t>
      </w:r>
      <w:r>
        <w:rPr>
          <w:sz w:val="20"/>
          <w:szCs w:val="20"/>
          <w:color w:val="auto"/>
        </w:rPr>
        <w:tab/>
      </w:r>
      <w:r>
        <w:rPr>
          <w:rFonts w:ascii="Arial" w:cs="Arial" w:eastAsia="Arial" w:hAnsi="Arial"/>
          <w:sz w:val="20"/>
          <w:szCs w:val="20"/>
          <w:b w:val="1"/>
          <w:bCs w:val="1"/>
          <w:color w:val="auto"/>
        </w:rPr>
        <w:t>Function</w:t>
      </w:r>
      <w:r>
        <w:rPr>
          <w:sz w:val="20"/>
          <w:szCs w:val="20"/>
          <w:color w:val="auto"/>
        </w:rPr>
        <w:tab/>
      </w:r>
      <w:r>
        <w:rPr>
          <w:rFonts w:ascii="Arial" w:cs="Arial" w:eastAsia="Arial" w:hAnsi="Arial"/>
          <w:sz w:val="20"/>
          <w:szCs w:val="20"/>
          <w:b w:val="1"/>
          <w:bCs w:val="1"/>
          <w:color w:val="auto"/>
        </w:rPr>
        <w:t>Applications</w:t>
      </w:r>
      <w:r>
        <w:rPr>
          <w:sz w:val="20"/>
          <w:szCs w:val="20"/>
          <w:color w:val="auto"/>
        </w:rPr>
        <w:tab/>
      </w:r>
      <w:r>
        <w:rPr>
          <w:rFonts w:ascii="Arial" w:cs="Arial" w:eastAsia="Arial" w:hAnsi="Arial"/>
          <w:sz w:val="18"/>
          <w:szCs w:val="18"/>
          <w:b w:val="1"/>
          <w:bCs w:val="1"/>
          <w:color w:val="auto"/>
        </w:rPr>
        <w:t>Brands Sold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38100</wp:posOffset>
            </wp:positionV>
            <wp:extent cx="6936740" cy="24993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6740" cy="2499360"/>
                    </a:xfrm>
                    <a:prstGeom prst="rect">
                      <a:avLst/>
                    </a:prstGeom>
                    <a:noFill/>
                  </pic:spPr>
                </pic:pic>
              </a:graphicData>
            </a:graphic>
          </wp:anchor>
        </w:drawing>
      </w:r>
    </w:p>
    <w:p>
      <w:pPr>
        <w:sectPr>
          <w:pgSz w:w="12240" w:h="15840" w:orient="portrait"/>
          <w:cols w:equalWidth="0" w:num="1">
            <w:col w:w="10880"/>
          </w:cols>
          <w:pgMar w:left="720" w:top="785"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 w:hanging="4"/>
        <w:spacing w:after="0" w:line="414" w:lineRule="auto"/>
        <w:rPr>
          <w:sz w:val="20"/>
          <w:szCs w:val="20"/>
          <w:color w:val="auto"/>
        </w:rPr>
      </w:pPr>
      <w:r>
        <w:rPr>
          <w:rFonts w:ascii="Arial" w:cs="Arial" w:eastAsia="Arial" w:hAnsi="Arial"/>
          <w:sz w:val="16"/>
          <w:szCs w:val="16"/>
          <w:b w:val="1"/>
          <w:bCs w:val="1"/>
          <w:color w:val="auto"/>
        </w:rPr>
        <w:t>Magnetic 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403" w:lineRule="auto"/>
        <w:rPr>
          <w:sz w:val="20"/>
          <w:szCs w:val="20"/>
          <w:color w:val="auto"/>
        </w:rPr>
      </w:pPr>
      <w:r>
        <w:rPr>
          <w:rFonts w:ascii="Arial" w:cs="Arial" w:eastAsia="Arial" w:hAnsi="Arial"/>
          <w:sz w:val="16"/>
          <w:szCs w:val="16"/>
          <w:color w:val="auto"/>
        </w:rPr>
        <w:t>Integrated Connector Modules (ICMs)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Power Transformers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Condition, filter, and isolate the electronic signal to ensure accurate data/voice/video transmission and provide RJ45 and USB connectivity.</w:t>
      </w:r>
    </w:p>
    <w:p>
      <w:pPr>
        <w:spacing w:after="0" w:line="233" w:lineRule="exact"/>
        <w:rPr>
          <w:sz w:val="20"/>
          <w:szCs w:val="20"/>
          <w:color w:val="auto"/>
        </w:rPr>
      </w:pPr>
    </w:p>
    <w:p>
      <w:pPr>
        <w:ind w:right="880"/>
        <w:spacing w:after="0" w:line="274" w:lineRule="auto"/>
        <w:rPr>
          <w:sz w:val="20"/>
          <w:szCs w:val="20"/>
          <w:color w:val="auto"/>
        </w:rPr>
      </w:pPr>
      <w:r>
        <w:rPr>
          <w:rFonts w:ascii="Arial" w:cs="Arial" w:eastAsia="Arial" w:hAnsi="Arial"/>
          <w:sz w:val="20"/>
          <w:szCs w:val="20"/>
          <w:color w:val="auto"/>
        </w:rPr>
        <w:t>Safety isolation and distribution.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ind w:left="20"/>
              <w:spacing w:after="0"/>
              <w:rPr>
                <w:sz w:val="20"/>
                <w:szCs w:val="20"/>
                <w:color w:val="auto"/>
              </w:rPr>
            </w:pPr>
            <w:r>
              <w:rPr>
                <w:rFonts w:ascii="Arial" w:cs="Arial" w:eastAsia="Arial" w:hAnsi="Arial"/>
                <w:sz w:val="20"/>
                <w:szCs w:val="20"/>
                <w:color w:val="auto"/>
              </w:rPr>
              <w:t>Network switches, routers,</w:t>
            </w:r>
          </w:p>
        </w:tc>
        <w:tc>
          <w:tcPr>
            <w:tcW w:w="2400" w:type="dxa"/>
            <w:vAlign w:val="bottom"/>
          </w:tcPr>
          <w:p>
            <w:pPr>
              <w:ind w:left="40"/>
              <w:spacing w:after="0"/>
              <w:rPr>
                <w:sz w:val="20"/>
                <w:szCs w:val="20"/>
                <w:color w:val="auto"/>
              </w:rPr>
            </w:pPr>
            <w:r>
              <w:rPr>
                <w:rFonts w:ascii="Arial" w:cs="Arial" w:eastAsia="Arial" w:hAnsi="Arial"/>
                <w:sz w:val="20"/>
                <w:szCs w:val="20"/>
                <w:color w:val="auto"/>
              </w:rPr>
              <w:t>Bel, TRP Connector</w:t>
            </w:r>
            <w:r>
              <w:rPr>
                <w:rFonts w:ascii="Arial" w:cs="Arial" w:eastAsia="Arial" w:hAnsi="Arial"/>
                <w:sz w:val="10"/>
                <w:szCs w:val="10"/>
                <w:color w:val="auto"/>
              </w:rPr>
              <w:t>®</w:t>
            </w:r>
            <w:r>
              <w:rPr>
                <w:rFonts w:ascii="Arial" w:cs="Arial" w:eastAsia="Arial" w:hAnsi="Arial"/>
                <w:sz w:val="20"/>
                <w:szCs w:val="20"/>
                <w:color w:val="auto"/>
              </w:rPr>
              <w:t>,</w:t>
            </w:r>
          </w:p>
        </w:tc>
      </w:tr>
      <w:tr>
        <w:trPr>
          <w:trHeight w:val="227"/>
        </w:trPr>
        <w:tc>
          <w:tcPr>
            <w:tcW w:w="2600" w:type="dxa"/>
            <w:vAlign w:val="bottom"/>
          </w:tcPr>
          <w:p>
            <w:pPr>
              <w:ind w:left="20"/>
              <w:spacing w:after="0" w:line="227" w:lineRule="exact"/>
              <w:rPr>
                <w:sz w:val="20"/>
                <w:szCs w:val="20"/>
                <w:color w:val="auto"/>
              </w:rPr>
            </w:pPr>
            <w:r>
              <w:rPr>
                <w:rFonts w:ascii="Arial" w:cs="Arial" w:eastAsia="Arial" w:hAnsi="Arial"/>
                <w:sz w:val="20"/>
                <w:szCs w:val="20"/>
                <w:color w:val="auto"/>
              </w:rPr>
              <w:t>hubs, and PCs used in multi-</w:t>
            </w:r>
          </w:p>
        </w:tc>
        <w:tc>
          <w:tcPr>
            <w:tcW w:w="2400" w:type="dxa"/>
            <w:vAlign w:val="bottom"/>
          </w:tcPr>
          <w:p>
            <w:pPr>
              <w:ind w:left="40"/>
              <w:spacing w:after="0" w:line="227" w:lineRule="exact"/>
              <w:rPr>
                <w:sz w:val="20"/>
                <w:szCs w:val="20"/>
                <w:color w:val="auto"/>
              </w:rPr>
            </w:pPr>
            <w:r>
              <w:rPr>
                <w:rFonts w:ascii="Arial" w:cs="Arial" w:eastAsia="Arial" w:hAnsi="Arial"/>
                <w:sz w:val="20"/>
                <w:szCs w:val="20"/>
                <w:color w:val="auto"/>
              </w:rPr>
              <w:t>MagJack</w:t>
            </w:r>
            <w:r>
              <w:rPr>
                <w:rFonts w:ascii="Arial" w:cs="Arial" w:eastAsia="Arial" w:hAnsi="Arial"/>
                <w:sz w:val="10"/>
                <w:szCs w:val="10"/>
                <w:color w:val="auto"/>
              </w:rPr>
              <w:t>®</w:t>
            </w:r>
          </w:p>
        </w:tc>
      </w:tr>
      <w:tr>
        <w:trPr>
          <w:trHeight w:val="229"/>
        </w:trPr>
        <w:tc>
          <w:tcPr>
            <w:tcW w:w="2600" w:type="dxa"/>
            <w:vAlign w:val="bottom"/>
          </w:tcPr>
          <w:p>
            <w:pPr>
              <w:ind w:left="20"/>
              <w:spacing w:after="0"/>
              <w:rPr>
                <w:sz w:val="20"/>
                <w:szCs w:val="20"/>
                <w:color w:val="auto"/>
              </w:rPr>
            </w:pPr>
            <w:r>
              <w:rPr>
                <w:rFonts w:ascii="Arial" w:cs="Arial" w:eastAsia="Arial" w:hAnsi="Arial"/>
                <w:sz w:val="20"/>
                <w:szCs w:val="20"/>
                <w:color w:val="auto"/>
                <w:w w:val="93"/>
              </w:rPr>
              <w:t>speed Gigabit Ethernet, Power</w:t>
            </w:r>
          </w:p>
        </w:tc>
        <w:tc>
          <w:tcPr>
            <w:tcW w:w="2400" w:type="dxa"/>
            <w:vAlign w:val="bottom"/>
          </w:tcPr>
          <w:p>
            <w:pPr>
              <w:spacing w:after="0"/>
              <w:rPr>
                <w:sz w:val="19"/>
                <w:szCs w:val="19"/>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20"/>
                <w:szCs w:val="20"/>
                <w:color w:val="auto"/>
                <w:w w:val="94"/>
              </w:rPr>
              <w:t>over Ethernet (PoE), PoE Plus</w:t>
            </w:r>
          </w:p>
        </w:tc>
        <w:tc>
          <w:tcPr>
            <w:tcW w:w="2400" w:type="dxa"/>
            <w:vAlign w:val="bottom"/>
          </w:tcPr>
          <w:p>
            <w:pPr>
              <w:spacing w:after="0"/>
              <w:rPr>
                <w:sz w:val="19"/>
                <w:szCs w:val="19"/>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20"/>
                <w:szCs w:val="20"/>
                <w:color w:val="auto"/>
              </w:rPr>
              <w:t>and home networking</w:t>
            </w:r>
          </w:p>
        </w:tc>
        <w:tc>
          <w:tcPr>
            <w:tcW w:w="2400" w:type="dxa"/>
            <w:vAlign w:val="bottom"/>
          </w:tcPr>
          <w:p>
            <w:pPr>
              <w:spacing w:after="0"/>
              <w:rPr>
                <w:sz w:val="19"/>
                <w:szCs w:val="19"/>
                <w:color w:val="auto"/>
              </w:rPr>
            </w:pPr>
          </w:p>
        </w:tc>
      </w:tr>
      <w:tr>
        <w:trPr>
          <w:trHeight w:val="264"/>
        </w:trPr>
        <w:tc>
          <w:tcPr>
            <w:tcW w:w="2600" w:type="dxa"/>
            <w:vAlign w:val="bottom"/>
          </w:tcPr>
          <w:p>
            <w:pPr>
              <w:ind w:left="20"/>
              <w:spacing w:after="0"/>
              <w:rPr>
                <w:sz w:val="20"/>
                <w:szCs w:val="20"/>
                <w:color w:val="auto"/>
              </w:rPr>
            </w:pPr>
            <w:r>
              <w:rPr>
                <w:rFonts w:ascii="Arial" w:cs="Arial" w:eastAsia="Arial" w:hAnsi="Arial"/>
                <w:sz w:val="20"/>
                <w:szCs w:val="20"/>
                <w:color w:val="auto"/>
              </w:rPr>
              <w:t>applications.</w:t>
            </w:r>
          </w:p>
        </w:tc>
        <w:tc>
          <w:tcPr>
            <w:tcW w:w="2400" w:type="dxa"/>
            <w:vAlign w:val="bottom"/>
          </w:tcPr>
          <w:p>
            <w:pPr>
              <w:spacing w:after="0"/>
              <w:rPr>
                <w:sz w:val="22"/>
                <w:szCs w:val="22"/>
                <w:color w:val="auto"/>
              </w:rPr>
            </w:pPr>
          </w:p>
        </w:tc>
      </w:tr>
      <w:tr>
        <w:trPr>
          <w:trHeight w:val="21"/>
        </w:trPr>
        <w:tc>
          <w:tcPr>
            <w:tcW w:w="26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25"/>
        </w:trPr>
        <w:tc>
          <w:tcPr>
            <w:tcW w:w="2600" w:type="dxa"/>
            <w:vAlign w:val="bottom"/>
          </w:tcPr>
          <w:p>
            <w:pPr>
              <w:ind w:left="20"/>
              <w:spacing w:after="0" w:line="225" w:lineRule="exact"/>
              <w:rPr>
                <w:sz w:val="20"/>
                <w:szCs w:val="20"/>
                <w:color w:val="auto"/>
              </w:rPr>
            </w:pPr>
            <w:r>
              <w:rPr>
                <w:rFonts w:ascii="Arial" w:cs="Arial" w:eastAsia="Arial" w:hAnsi="Arial"/>
                <w:sz w:val="20"/>
                <w:szCs w:val="20"/>
                <w:color w:val="auto"/>
              </w:rPr>
              <w:t>Power supplies, alarm, fire</w:t>
            </w:r>
          </w:p>
        </w:tc>
        <w:tc>
          <w:tcPr>
            <w:tcW w:w="2400" w:type="dxa"/>
            <w:vAlign w:val="bottom"/>
            <w:tcBorders>
              <w:right w:val="single" w:sz="8" w:color="auto"/>
            </w:tcBorders>
          </w:tcPr>
          <w:p>
            <w:pPr>
              <w:ind w:left="40"/>
              <w:spacing w:after="0" w:line="225" w:lineRule="exact"/>
              <w:rPr>
                <w:sz w:val="20"/>
                <w:szCs w:val="20"/>
                <w:color w:val="auto"/>
              </w:rPr>
            </w:pPr>
            <w:r>
              <w:rPr>
                <w:rFonts w:ascii="Arial" w:cs="Arial" w:eastAsia="Arial" w:hAnsi="Arial"/>
                <w:sz w:val="20"/>
                <w:szCs w:val="20"/>
                <w:color w:val="auto"/>
              </w:rPr>
              <w:t>Signal</w:t>
            </w:r>
          </w:p>
        </w:tc>
      </w:tr>
      <w:tr>
        <w:trPr>
          <w:trHeight w:val="229"/>
        </w:trPr>
        <w:tc>
          <w:tcPr>
            <w:tcW w:w="2600" w:type="dxa"/>
            <w:vAlign w:val="bottom"/>
          </w:tcPr>
          <w:p>
            <w:pPr>
              <w:ind w:left="20"/>
              <w:spacing w:after="0"/>
              <w:rPr>
                <w:sz w:val="20"/>
                <w:szCs w:val="20"/>
                <w:color w:val="auto"/>
              </w:rPr>
            </w:pPr>
            <w:r>
              <w:rPr>
                <w:rFonts w:ascii="Arial" w:cs="Arial" w:eastAsia="Arial" w:hAnsi="Arial"/>
                <w:sz w:val="20"/>
                <w:szCs w:val="20"/>
                <w:color w:val="auto"/>
                <w:w w:val="89"/>
              </w:rPr>
              <w:t>detection, and security systems,</w:t>
            </w:r>
          </w:p>
        </w:tc>
        <w:tc>
          <w:tcPr>
            <w:tcW w:w="2400" w:type="dxa"/>
            <w:vAlign w:val="bottom"/>
            <w:tcBorders>
              <w:right w:val="single" w:sz="8" w:color="auto"/>
            </w:tcBorders>
          </w:tcPr>
          <w:p>
            <w:pPr>
              <w:spacing w:after="0"/>
              <w:rPr>
                <w:sz w:val="19"/>
                <w:szCs w:val="19"/>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20"/>
                <w:szCs w:val="20"/>
                <w:color w:val="auto"/>
              </w:rPr>
              <w:t>HVAC, lighting and medical</w:t>
            </w:r>
          </w:p>
        </w:tc>
        <w:tc>
          <w:tcPr>
            <w:tcW w:w="2400" w:type="dxa"/>
            <w:vAlign w:val="bottom"/>
            <w:tcBorders>
              <w:right w:val="single" w:sz="8" w:color="auto"/>
            </w:tcBorders>
          </w:tcPr>
          <w:p>
            <w:pPr>
              <w:spacing w:after="0"/>
              <w:rPr>
                <w:sz w:val="19"/>
                <w:szCs w:val="19"/>
                <w:color w:val="auto"/>
              </w:rPr>
            </w:pPr>
          </w:p>
        </w:tc>
      </w:tr>
      <w:tr>
        <w:trPr>
          <w:trHeight w:val="227"/>
        </w:trPr>
        <w:tc>
          <w:tcPr>
            <w:tcW w:w="2600" w:type="dxa"/>
            <w:vAlign w:val="bottom"/>
          </w:tcPr>
          <w:p>
            <w:pPr>
              <w:ind w:left="20"/>
              <w:spacing w:after="0" w:line="227" w:lineRule="exact"/>
              <w:rPr>
                <w:sz w:val="20"/>
                <w:szCs w:val="20"/>
                <w:color w:val="auto"/>
              </w:rPr>
            </w:pPr>
            <w:r>
              <w:rPr>
                <w:rFonts w:ascii="Arial" w:cs="Arial" w:eastAsia="Arial" w:hAnsi="Arial"/>
                <w:sz w:val="20"/>
                <w:szCs w:val="20"/>
                <w:color w:val="auto"/>
              </w:rPr>
              <w:t>equipment. Class 2, three</w:t>
            </w:r>
          </w:p>
        </w:tc>
        <w:tc>
          <w:tcPr>
            <w:tcW w:w="2400" w:type="dxa"/>
            <w:vAlign w:val="bottom"/>
            <w:tcBorders>
              <w:right w:val="single" w:sz="8" w:color="auto"/>
            </w:tcBorders>
          </w:tcPr>
          <w:p>
            <w:pPr>
              <w:spacing w:after="0"/>
              <w:rPr>
                <w:sz w:val="19"/>
                <w:szCs w:val="19"/>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20"/>
                <w:szCs w:val="20"/>
                <w:color w:val="auto"/>
                <w:w w:val="94"/>
              </w:rPr>
              <w:t>phase, chassis mount, and PC</w:t>
            </w:r>
          </w:p>
        </w:tc>
        <w:tc>
          <w:tcPr>
            <w:tcW w:w="2400" w:type="dxa"/>
            <w:vAlign w:val="bottom"/>
            <w:tcBorders>
              <w:right w:val="single" w:sz="8" w:color="auto"/>
            </w:tcBorders>
          </w:tcPr>
          <w:p>
            <w:pPr>
              <w:spacing w:after="0"/>
              <w:rPr>
                <w:sz w:val="19"/>
                <w:szCs w:val="19"/>
                <w:color w:val="auto"/>
              </w:rPr>
            </w:pPr>
          </w:p>
        </w:tc>
      </w:tr>
      <w:tr>
        <w:trPr>
          <w:trHeight w:val="264"/>
        </w:trPr>
        <w:tc>
          <w:tcPr>
            <w:tcW w:w="2600" w:type="dxa"/>
            <w:vAlign w:val="bottom"/>
          </w:tcPr>
          <w:p>
            <w:pPr>
              <w:ind w:left="20"/>
              <w:spacing w:after="0"/>
              <w:rPr>
                <w:sz w:val="20"/>
                <w:szCs w:val="20"/>
                <w:color w:val="auto"/>
              </w:rPr>
            </w:pPr>
            <w:r>
              <w:rPr>
                <w:rFonts w:ascii="Arial" w:cs="Arial" w:eastAsia="Arial" w:hAnsi="Arial"/>
                <w:sz w:val="20"/>
                <w:szCs w:val="20"/>
                <w:color w:val="auto"/>
              </w:rPr>
              <w:t>mount designs available.</w:t>
            </w:r>
          </w:p>
        </w:tc>
        <w:tc>
          <w:tcPr>
            <w:tcW w:w="2400" w:type="dxa"/>
            <w:vAlign w:val="bottom"/>
            <w:tcBorders>
              <w:right w:val="single" w:sz="8" w:color="auto"/>
            </w:tcBorders>
          </w:tcPr>
          <w:p>
            <w:pPr>
              <w:spacing w:after="0"/>
              <w:rPr>
                <w:sz w:val="22"/>
                <w:szCs w:val="22"/>
                <w:color w:val="auto"/>
              </w:rPr>
            </w:pPr>
          </w:p>
        </w:tc>
      </w:tr>
      <w:tr>
        <w:trPr>
          <w:trHeight w:val="21"/>
        </w:trPr>
        <w:tc>
          <w:tcPr>
            <w:tcW w:w="26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2240" w:h="15840" w:orient="portrait"/>
          <w:cols w:equalWidth="0" w:num="4">
            <w:col w:w="880" w:space="140"/>
            <w:col w:w="1680" w:space="600"/>
            <w:col w:w="2460" w:space="120"/>
            <w:col w:w="5000"/>
          </w:cols>
          <w:pgMar w:left="720" w:top="785" w:right="640" w:bottom="0" w:gutter="0" w:footer="0" w:header="0"/>
          <w:type w:val="continuous"/>
        </w:sectPr>
      </w:pPr>
    </w:p>
    <w:tbl>
      <w:tblPr>
        <w:tblLayout w:type="fixed"/>
        <w:tblInd w:w="1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A passive component that</w:t>
            </w:r>
          </w:p>
        </w:tc>
        <w:tc>
          <w:tcPr>
            <w:tcW w:w="2620" w:type="dxa"/>
            <w:vAlign w:val="bottom"/>
          </w:tcPr>
          <w:p>
            <w:pPr>
              <w:ind w:left="20"/>
              <w:spacing w:after="0"/>
              <w:rPr>
                <w:sz w:val="20"/>
                <w:szCs w:val="20"/>
                <w:color w:val="auto"/>
              </w:rPr>
            </w:pPr>
            <w:r>
              <w:rPr>
                <w:rFonts w:ascii="Arial" w:cs="Arial" w:eastAsia="Arial" w:hAnsi="Arial"/>
                <w:sz w:val="20"/>
                <w:szCs w:val="20"/>
                <w:color w:val="auto"/>
              </w:rPr>
              <w:t>Switchmode power supplies,</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Signal</w:t>
            </w:r>
          </w:p>
        </w:tc>
      </w:tr>
      <w:tr>
        <w:trPr>
          <w:trHeight w:val="229"/>
        </w:trPr>
        <w:tc>
          <w:tcPr>
            <w:tcW w:w="100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20"/>
                <w:szCs w:val="20"/>
                <w:color w:val="auto"/>
              </w:rPr>
              <w:t>SMD Power Inductors &amp;</w:t>
            </w:r>
          </w:p>
        </w:tc>
        <w:tc>
          <w:tcPr>
            <w:tcW w:w="2600" w:type="dxa"/>
            <w:vAlign w:val="bottom"/>
          </w:tcPr>
          <w:p>
            <w:pPr>
              <w:ind w:left="20"/>
              <w:spacing w:after="0"/>
              <w:rPr>
                <w:sz w:val="20"/>
                <w:szCs w:val="20"/>
                <w:color w:val="auto"/>
              </w:rPr>
            </w:pPr>
            <w:r>
              <w:rPr>
                <w:rFonts w:ascii="Arial" w:cs="Arial" w:eastAsia="Arial" w:hAnsi="Arial"/>
                <w:sz w:val="20"/>
                <w:szCs w:val="20"/>
                <w:color w:val="auto"/>
              </w:rPr>
              <w:t>stores energy in a magnetic</w:t>
            </w:r>
          </w:p>
        </w:tc>
        <w:tc>
          <w:tcPr>
            <w:tcW w:w="2620" w:type="dxa"/>
            <w:vAlign w:val="bottom"/>
          </w:tcPr>
          <w:p>
            <w:pPr>
              <w:ind w:left="20"/>
              <w:spacing w:after="0"/>
              <w:rPr>
                <w:sz w:val="20"/>
                <w:szCs w:val="20"/>
                <w:color w:val="auto"/>
              </w:rPr>
            </w:pPr>
            <w:r>
              <w:rPr>
                <w:rFonts w:ascii="Arial" w:cs="Arial" w:eastAsia="Arial" w:hAnsi="Arial"/>
                <w:sz w:val="20"/>
                <w:szCs w:val="20"/>
                <w:color w:val="auto"/>
              </w:rPr>
              <w:t>DC/DC converters, LED</w:t>
            </w:r>
          </w:p>
        </w:tc>
        <w:tc>
          <w:tcPr>
            <w:tcW w:w="2380" w:type="dxa"/>
            <w:vAlign w:val="bottom"/>
            <w:tcBorders>
              <w:right w:val="single" w:sz="8" w:color="auto"/>
            </w:tcBorders>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20"/>
                <w:szCs w:val="20"/>
                <w:color w:val="auto"/>
              </w:rPr>
              <w:t>SMPS Transformers</w:t>
            </w:r>
          </w:p>
        </w:tc>
        <w:tc>
          <w:tcPr>
            <w:tcW w:w="2600" w:type="dxa"/>
            <w:vAlign w:val="bottom"/>
          </w:tcPr>
          <w:p>
            <w:pPr>
              <w:ind w:left="20"/>
              <w:spacing w:after="0"/>
              <w:rPr>
                <w:sz w:val="20"/>
                <w:szCs w:val="20"/>
                <w:color w:val="auto"/>
              </w:rPr>
            </w:pPr>
            <w:r>
              <w:rPr>
                <w:rFonts w:ascii="Arial" w:cs="Arial" w:eastAsia="Arial" w:hAnsi="Arial"/>
                <w:sz w:val="20"/>
                <w:szCs w:val="20"/>
                <w:color w:val="auto"/>
              </w:rPr>
              <w:t>field. Widely used in analog</w:t>
            </w:r>
          </w:p>
        </w:tc>
        <w:tc>
          <w:tcPr>
            <w:tcW w:w="2620" w:type="dxa"/>
            <w:vAlign w:val="bottom"/>
          </w:tcPr>
          <w:p>
            <w:pPr>
              <w:ind w:left="20"/>
              <w:spacing w:after="0"/>
              <w:rPr>
                <w:sz w:val="20"/>
                <w:szCs w:val="20"/>
                <w:color w:val="auto"/>
              </w:rPr>
            </w:pPr>
            <w:r>
              <w:rPr>
                <w:rFonts w:ascii="Arial" w:cs="Arial" w:eastAsia="Arial" w:hAnsi="Arial"/>
                <w:sz w:val="20"/>
                <w:szCs w:val="20"/>
                <w:color w:val="auto"/>
              </w:rPr>
              <w:t>lighting, automotive and</w:t>
            </w:r>
          </w:p>
        </w:tc>
        <w:tc>
          <w:tcPr>
            <w:tcW w:w="2380" w:type="dxa"/>
            <w:vAlign w:val="bottom"/>
            <w:tcBorders>
              <w:right w:val="single" w:sz="8" w:color="auto"/>
            </w:tcBorders>
          </w:tcPr>
          <w:p>
            <w:pPr>
              <w:spacing w:after="0"/>
              <w:rPr>
                <w:sz w:val="19"/>
                <w:szCs w:val="19"/>
                <w:color w:val="auto"/>
              </w:rPr>
            </w:pPr>
          </w:p>
        </w:tc>
      </w:tr>
      <w:tr>
        <w:trPr>
          <w:trHeight w:val="264"/>
        </w:trPr>
        <w:tc>
          <w:tcPr>
            <w:tcW w:w="10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600" w:type="dxa"/>
            <w:vAlign w:val="bottom"/>
          </w:tcPr>
          <w:p>
            <w:pPr>
              <w:ind w:left="20"/>
              <w:spacing w:after="0"/>
              <w:rPr>
                <w:sz w:val="20"/>
                <w:szCs w:val="20"/>
                <w:color w:val="auto"/>
              </w:rPr>
            </w:pPr>
            <w:r>
              <w:rPr>
                <w:rFonts w:ascii="Arial" w:cs="Arial" w:eastAsia="Arial" w:hAnsi="Arial"/>
                <w:sz w:val="20"/>
                <w:szCs w:val="20"/>
                <w:color w:val="auto"/>
              </w:rPr>
              <w:t>electronic circuitry.</w:t>
            </w:r>
          </w:p>
        </w:tc>
        <w:tc>
          <w:tcPr>
            <w:tcW w:w="2620" w:type="dxa"/>
            <w:vAlign w:val="bottom"/>
          </w:tcPr>
          <w:p>
            <w:pPr>
              <w:ind w:left="20"/>
              <w:spacing w:after="0"/>
              <w:rPr>
                <w:sz w:val="20"/>
                <w:szCs w:val="20"/>
                <w:color w:val="auto"/>
              </w:rPr>
            </w:pPr>
            <w:r>
              <w:rPr>
                <w:rFonts w:ascii="Arial" w:cs="Arial" w:eastAsia="Arial" w:hAnsi="Arial"/>
                <w:sz w:val="20"/>
                <w:szCs w:val="20"/>
                <w:color w:val="auto"/>
              </w:rPr>
              <w:t>consumer electronics.</w:t>
            </w:r>
          </w:p>
        </w:tc>
        <w:tc>
          <w:tcPr>
            <w:tcW w:w="2380" w:type="dxa"/>
            <w:vAlign w:val="bottom"/>
            <w:tcBorders>
              <w:right w:val="single" w:sz="8" w:color="auto"/>
            </w:tcBorders>
          </w:tcPr>
          <w:p>
            <w:pPr>
              <w:spacing w:after="0"/>
              <w:rPr>
                <w:sz w:val="22"/>
                <w:szCs w:val="22"/>
                <w:color w:val="auto"/>
              </w:rPr>
            </w:pPr>
          </w:p>
        </w:tc>
      </w:tr>
      <w:tr>
        <w:trPr>
          <w:trHeight w:val="21"/>
        </w:trPr>
        <w:tc>
          <w:tcPr>
            <w:tcW w:w="10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r>
      <w:tr>
        <w:trPr>
          <w:trHeight w:val="225"/>
        </w:trPr>
        <w:tc>
          <w:tcPr>
            <w:tcW w:w="100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ind w:left="20"/>
              <w:spacing w:after="0" w:line="225" w:lineRule="exact"/>
              <w:rPr>
                <w:sz w:val="20"/>
                <w:szCs w:val="20"/>
                <w:color w:val="auto"/>
              </w:rPr>
            </w:pPr>
            <w:r>
              <w:rPr>
                <w:rFonts w:ascii="Arial" w:cs="Arial" w:eastAsia="Arial" w:hAnsi="Arial"/>
                <w:sz w:val="20"/>
                <w:szCs w:val="20"/>
                <w:color w:val="auto"/>
              </w:rPr>
              <w:t>Condition, filter, and isolate</w:t>
            </w:r>
          </w:p>
        </w:tc>
        <w:tc>
          <w:tcPr>
            <w:tcW w:w="2620" w:type="dxa"/>
            <w:vAlign w:val="bottom"/>
            <w:tcBorders>
              <w:right w:val="single" w:sz="8" w:color="auto"/>
            </w:tcBorders>
          </w:tcPr>
          <w:p>
            <w:pPr>
              <w:ind w:left="20"/>
              <w:spacing w:after="0" w:line="225" w:lineRule="exact"/>
              <w:rPr>
                <w:sz w:val="20"/>
                <w:szCs w:val="20"/>
                <w:color w:val="auto"/>
              </w:rPr>
            </w:pPr>
            <w:r>
              <w:rPr>
                <w:rFonts w:ascii="Arial" w:cs="Arial" w:eastAsia="Arial" w:hAnsi="Arial"/>
                <w:sz w:val="20"/>
                <w:szCs w:val="20"/>
                <w:color w:val="auto"/>
              </w:rPr>
              <w:t>Network switches, routers,</w:t>
            </w:r>
          </w:p>
        </w:tc>
        <w:tc>
          <w:tcPr>
            <w:tcW w:w="2380" w:type="dxa"/>
            <w:vAlign w:val="bottom"/>
            <w:tcBorders>
              <w:right w:val="single" w:sz="8" w:color="auto"/>
            </w:tcBorders>
          </w:tcPr>
          <w:p>
            <w:pPr>
              <w:ind w:left="20"/>
              <w:spacing w:after="0" w:line="225" w:lineRule="exact"/>
              <w:rPr>
                <w:sz w:val="20"/>
                <w:szCs w:val="20"/>
                <w:color w:val="auto"/>
              </w:rPr>
            </w:pPr>
            <w:r>
              <w:rPr>
                <w:rFonts w:ascii="Arial" w:cs="Arial" w:eastAsia="Arial" w:hAnsi="Arial"/>
                <w:sz w:val="20"/>
                <w:szCs w:val="20"/>
                <w:color w:val="auto"/>
              </w:rPr>
              <w:t>Bel</w:t>
            </w:r>
          </w:p>
        </w:tc>
      </w:tr>
      <w:tr>
        <w:trPr>
          <w:trHeight w:val="229"/>
        </w:trPr>
        <w:tc>
          <w:tcPr>
            <w:tcW w:w="100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Discrete Components-</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the electronic signals to ensure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hubs, and PCs used in multi-</w:t>
            </w:r>
          </w:p>
        </w:tc>
        <w:tc>
          <w:tcPr>
            <w:tcW w:w="2380" w:type="dxa"/>
            <w:vAlign w:val="bottom"/>
            <w:tcBorders>
              <w:right w:val="single" w:sz="8" w:color="auto"/>
            </w:tcBorders>
          </w:tcPr>
          <w:p>
            <w:pPr>
              <w:spacing w:after="0"/>
              <w:rPr>
                <w:sz w:val="19"/>
                <w:szCs w:val="19"/>
                <w:color w:val="auto"/>
              </w:rPr>
            </w:pPr>
          </w:p>
        </w:tc>
      </w:tr>
      <w:tr>
        <w:trPr>
          <w:trHeight w:val="229"/>
        </w:trPr>
        <w:tc>
          <w:tcPr>
            <w:tcW w:w="100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Ethernet</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high speed Ethernet data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speed Gigabit Ethernet and</w:t>
            </w:r>
          </w:p>
        </w:tc>
        <w:tc>
          <w:tcPr>
            <w:tcW w:w="2380" w:type="dxa"/>
            <w:vAlign w:val="bottom"/>
            <w:tcBorders>
              <w:right w:val="single" w:sz="8" w:color="auto"/>
            </w:tcBorders>
          </w:tcPr>
          <w:p>
            <w:pPr>
              <w:spacing w:after="0"/>
              <w:rPr>
                <w:sz w:val="19"/>
                <w:szCs w:val="19"/>
                <w:color w:val="auto"/>
              </w:rPr>
            </w:pPr>
          </w:p>
        </w:tc>
      </w:tr>
      <w:tr>
        <w:trPr>
          <w:trHeight w:val="264"/>
        </w:trPr>
        <w:tc>
          <w:tcPr>
            <w:tcW w:w="100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transmission.</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Power over Ethernet (PoE).</w:t>
            </w:r>
          </w:p>
        </w:tc>
        <w:tc>
          <w:tcPr>
            <w:tcW w:w="2380" w:type="dxa"/>
            <w:vAlign w:val="bottom"/>
            <w:tcBorders>
              <w:right w:val="single" w:sz="8" w:color="auto"/>
            </w:tcBorders>
          </w:tcPr>
          <w:p>
            <w:pPr>
              <w:spacing w:after="0"/>
              <w:rPr>
                <w:sz w:val="22"/>
                <w:szCs w:val="22"/>
                <w:color w:val="auto"/>
              </w:rPr>
            </w:pPr>
          </w:p>
        </w:tc>
      </w:tr>
      <w:tr>
        <w:trPr>
          <w:trHeight w:val="21"/>
        </w:trPr>
        <w:tc>
          <w:tcPr>
            <w:tcW w:w="1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5</w:t>
      </w:r>
    </w:p>
    <w:p>
      <w:pPr>
        <w:sectPr>
          <w:pgSz w:w="12240" w:h="15840" w:orient="portrait"/>
          <w:cols w:equalWidth="0" w:num="1">
            <w:col w:w="10880"/>
          </w:cols>
          <w:pgMar w:left="720" w:top="785" w:right="640" w:bottom="0" w:gutter="0" w:footer="0" w:header="0"/>
          <w:type w:val="continuous"/>
        </w:sectPr>
      </w:pPr>
    </w:p>
    <w:bookmarkStart w:id="15" w:name="page16"/>
    <w:bookmarkEnd w:id="15"/>
    <w:p>
      <w:pPr>
        <w:ind w:left="40"/>
        <w:spacing w:after="0"/>
        <w:rPr>
          <w:sz w:val="20"/>
          <w:szCs w:val="20"/>
          <w:color w:val="auto"/>
        </w:rPr>
      </w:pPr>
      <w:r>
        <w:rPr>
          <w:rFonts w:ascii="Arial" w:cs="Arial" w:eastAsia="Arial" w:hAnsi="Arial"/>
          <w:sz w:val="20"/>
          <w:szCs w:val="20"/>
          <w:u w:val="single" w:color="auto"/>
          <w:color w:val="auto"/>
        </w:rPr>
        <w:t>Sales and Marketing</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We sell our products to customers throughout North America, Europe and Asia. Sales are made through one of three channels: strategic account managers or in some cases, regional sales managers, working directly with our customers; regional sales managers working with independent sales representative organizations; or authorized distributors. Bel's strategic account managers are assigned to handle major accounts requiring global coordination.</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Independent sales representatives and authorized distributors are overseen by the Company's sales management personnel located throughout the world. As of December 31, 2025, we had a sales and support staff of approximately 212 people that supported a network of sales representative organizations and non-exclusive distributors. We have written agreements with all our sales representative organizations and most of our major distributors. These written agreements, terminable on short notice by either party, are standard in the industry.</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Sales support functions have also been established and located in our international facilities to provide timely, efficient support for customers. This supplemental level of service, in addition to first-line sales support, enables us to be more responsive to customers' needs on a global level. Our marketing capabilities include product management which drives new product development, application engineering for technical support and marketing communications.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Factors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Competition</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We operate in a variety of markets, all of which are highly competitive. There are numerous independent companies and divisions of major companies that manufacture products that are competitive with one or more of our products.</w:t>
      </w:r>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Our ability to compete is dependent upon several factors including product performance, quality, reliability, depth of product line, customer service, technological innovation, design, delivery time and price. Overall financial stability and global presence also give us a favorable position in relation to some of our competitors. Management intends to maintain a strong competitive posture in the markets we serve by continued expansion of our product lines and ongoing investment in research, development and manufacturing resources. The preceding sentence represents a Forward-Looking Statement. See </w:t>
      </w:r>
      <w:r>
        <w:rPr>
          <w:rFonts w:ascii="Arial" w:cs="Arial" w:eastAsia="Arial" w:hAnsi="Arial"/>
          <w:sz w:val="20"/>
          <w:szCs w:val="20"/>
          <w:i w:val="1"/>
          <w:iCs w:val="1"/>
          <w:color w:val="auto"/>
        </w:rPr>
        <w:t>"Cautionary Notice Regarding Forward-Looking</w:t>
      </w:r>
      <w:r>
        <w:rPr>
          <w:rFonts w:ascii="Arial" w:cs="Arial" w:eastAsia="Arial" w:hAnsi="Arial"/>
          <w:sz w:val="20"/>
          <w:szCs w:val="20"/>
          <w:color w:val="auto"/>
        </w:rPr>
        <w:t xml:space="preserve"> </w:t>
      </w:r>
      <w:r>
        <w:rPr>
          <w:rFonts w:ascii="Arial" w:cs="Arial" w:eastAsia="Arial" w:hAnsi="Arial"/>
          <w:sz w:val="20"/>
          <w:szCs w:val="20"/>
          <w:i w:val="1"/>
          <w:iCs w:val="1"/>
          <w:color w:val="auto"/>
        </w:rPr>
        <w:t>Information."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Trends in Market Demand</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Product orders, or bookings, received during 2025 amounted to $732.9 million, a 75.8% increase from 2024. By product group, orders received for our Power Solutions and Protection products amounted to $379.9 million in 2025, a 172% increase from 2024, largely due to increased demand from our networking and aerospace and defense customers. Orders received for our Connectivity Solutions products were $253.8 million in 2025, 19.7% higher than in 2024, primarily as a result of increased demand from our commercial aerospace and defense customers. Bookings for our Magnetic Solutions products increased by 52.8% from 2024 to $99.3 million in 2025, largely due to increased demand from our networking customers.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Backlog of Orders</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We typically manufacture products against firm orders and projected usage by customers. Cancellation and return arrangements are either negotiated by us on a transactional basis or contractually determined. We estimate the value of the backlog of orders as of January 31, 2026 to be approximately $452.2 million as compared with a backlog of $388.1 million as of January 31, 2025. Management estimates that approximately 80%-85% of the Company's backlog as of January 31, 2026 will be shipped by December 31, 2026. Factors that could cause the Company to fail to ship all such orders by year-end include unanticipated supply difficulties, changes in customer demand and new customer designs. Due to these factors, backlog may not be a reliable indicator of the timing of future sales. The preceding statements regarding the Company’s backlog, including but not limited to estimates and anticipated timing of shipping, represent Forward-Looking Statements. See </w:t>
      </w:r>
      <w:r>
        <w:rPr>
          <w:rFonts w:ascii="Arial" w:cs="Arial" w:eastAsia="Arial" w:hAnsi="Arial"/>
          <w:sz w:val="18"/>
          <w:szCs w:val="18"/>
          <w:i w:val="1"/>
          <w:iCs w:val="1"/>
          <w:color w:val="auto"/>
        </w:rPr>
        <w:t>"Cautionary Notice Regarding Forward-Looking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Research and Development ("R&amp;D")</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Our engineering groups are strategically located around the world to facilitate communication with and access to customers' engineering personnel. This collaborative approach enables partnerships with customers for technical development efforts. The global capabilities and collaborative approach allow Bel to develop leading edge technological products that support highly complex and evolving markets such as defense, commercial aerospace, eMobility, cloud computing, and others. On occasion, we execute non-disclosure agreements with customers to help develop proprietary, next generation products intended for rapid deployment. We also sponsor membership in technical organizations that allow our engineers to participate in developing standards for emerging technologies. It is management's opinion that this participation is critical in establishing credibility and a reputable level of expertise in the marketplace, as well as positioning the Company as an industry leader in new product development.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2240" w:h="15840" w:orient="portrait"/>
          <w:cols w:equalWidth="0" w:num="1">
            <w:col w:w="10800"/>
          </w:cols>
          <w:pgMar w:left="720" w:top="555" w:right="720" w:bottom="0" w:gutter="0" w:footer="0" w:header="0"/>
        </w:sectPr>
      </w:pPr>
    </w:p>
    <w:bookmarkStart w:id="16" w:name="page17"/>
    <w:bookmarkEnd w:id="16"/>
    <w:p>
      <w:pPr>
        <w:jc w:val="both"/>
        <w:spacing w:after="0" w:line="274" w:lineRule="auto"/>
        <w:rPr>
          <w:sz w:val="20"/>
          <w:szCs w:val="20"/>
          <w:color w:val="auto"/>
        </w:rPr>
      </w:pPr>
      <w:r>
        <w:rPr>
          <w:rFonts w:ascii="Arial" w:cs="Arial" w:eastAsia="Arial" w:hAnsi="Arial"/>
          <w:sz w:val="20"/>
          <w:szCs w:val="20"/>
          <w:color w:val="auto"/>
        </w:rPr>
        <w:t>R&amp;D costs are expensed as incurred. Generally, R&amp;D is performed internally for the benefit of the Company. R&amp;D costs include salaries, building maintenance and utilities, rents, materials, administrative costs and miscellaneous other items.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Resources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Raw Materials and Sourcing</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We have multiple suppliers for most of the raw materials that we purchase. Where possible, we have contractual agreements with suppliers to assure a continuing supply of critical components.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With respect to those items which are purchased from single sources, we believe that comparable items would be available in the event that there was a termination of our existing business relationship with any such supplier. While such a termination could produce a disruption in production, we believe that the termination of business with any one of our suppliers would not have a material adverse effect on our long-term operations. Actual experience could differ materially from this belief as a result of a number of factors, including the time required to locate an alternative supplier, and the nature of the demand for our products. Sharp increases in metal commodity prices, particularly Gold (Au), Silver (Ag) and Copper (Cu) over the past few years continue to impact cost structures and supplier pricing. Even though we may have more than one supplier for certain materials, it is possible that these materials may not be available to us in sufficient quantities or at the times desired by us. In the event that economic conditions have a negative impact on the financial condition of our suppliers, this may impact the availability and cost of our raw materials.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Intellectual Property</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We have acquired or been granted a number of patents in the U.S., Europe and Asia and have additional patent applications pending relating to our products. Our U.S. design patents have a life of 15 years and our U.S. utility patents have a life of 20 years from filing of patent applications. Our existing patents expire on various dates through July 2041. It is management's opinion that the successful continuation and operation of our business does not depend upon the ownership of patents or the granting of pending patent applications, but upon the innovative skills, technical competence and marketing and managerial abilities of our personnel.</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We utilize registered trademarks in the U.S., Europe and Asia to identify various products that we manufacture. The trademarks survive as long as they are in use and the registrations of these trademarks are renewed.</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Contracts</w:t>
      </w:r>
    </w:p>
    <w:p>
      <w:pPr>
        <w:spacing w:after="0" w:line="23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A violation of specific laws and regulations could result in the imposition of fines and penalties or the termination of our contracts or debarment from bidding on contracts. These fines and penalties could be imposed for failing to follow procurement integrity and bidding rules, employing improper billing practices or otherwise failing to follow cost accounting standards, receiving or paying kickbacks, or filing false claims. We have been, and expect to continue to be, subjected to audits and investigations by government agencies. The failure to comply with the terms of our government contracts could harm our business reputation. It could also result in our progress payments being withheld.</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some instances, these laws and regulations impose terms or rights that are more favorable to the government than those typically available to commercial parties in negotiated transactions. For example, the U.S. Government may terminate any of our government contracts and, in general, subcontracts, at its convenience as well as for default based on performance. Upon termination for convenience of a fixed -price type contract, we normally are entitled to receive the purchase price for delivered items, reimbursement for allowable costs for work-in-process, and an allowance for profit on work actually completed on the contract or adjustment for loss if completion of performance would have resulted in a loss. Upon termination for convenience of a Federal Government cost reimbursement contract, we normally are entitled to reimbursement of allowable costs plus a portion of the fee. Such allowable costs would normally include our cost to terminate agreements with our suppliers and subcontractors. The amount of the fee recovered, if any, is related to the portion of the work accomplished prior to termination and is determined by negotiation.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the PRC, the availability of labor is cyclical and is significantly affected by the migration of workers in relation to the annual Lunar New Year holiday. Each year following the Lunar New Year holiday, we must assess the worker return rate and whether it is adequate to meet the needs of current demand from our customers. Accordingly, we must continually recruit and train new workers to replace those lost to attrition each year and to address peaks in demand that may occur from time to time. This temporary setback in production has historically resulted in our first quarter sales being the lowest sales quarter of the year. Further, recruiting and training efforts and related inefficiencies, as well as overtime required to meet demand, can add volatility to the costs incurred by the Company for labor in the PRC, primarily during the first quarter of the year.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2240" w:h="15840" w:orient="portrait"/>
          <w:cols w:equalWidth="0" w:num="1">
            <w:col w:w="10800"/>
          </w:cols>
          <w:pgMar w:left="720" w:top="555" w:right="720" w:bottom="0" w:gutter="0" w:footer="0" w:header="0"/>
        </w:sectPr>
      </w:pPr>
    </w:p>
    <w:bookmarkStart w:id="17" w:name="page18"/>
    <w:bookmarkEnd w:id="17"/>
    <w:p>
      <w:pPr>
        <w:ind w:left="60"/>
        <w:spacing w:after="0"/>
        <w:rPr>
          <w:sz w:val="20"/>
          <w:szCs w:val="20"/>
          <w:color w:val="auto"/>
        </w:rPr>
      </w:pPr>
      <w:r>
        <w:rPr>
          <w:rFonts w:ascii="Arial" w:cs="Arial" w:eastAsia="Arial" w:hAnsi="Arial"/>
          <w:sz w:val="20"/>
          <w:szCs w:val="20"/>
          <w:b w:val="1"/>
          <w:bCs w:val="1"/>
          <w:color w:val="auto"/>
        </w:rPr>
        <w:t>Government Regulations</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subject to various government regulations in the United States as well as various jurisdictions where it operates. These regulations cover several diverse areas including trade compliance, anti-bribery, anti-corruption, money laundering, and data and privacy protection. Regulatory or government authorities where the Company operates may have enforcement powers that can subject the company to legal penalties or other measures and can impose changes or conditions in the way it conducts business.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 Strategy and Management</w:t>
      </w:r>
    </w:p>
    <w:p>
      <w:pPr>
        <w:spacing w:after="0" w:line="23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At Bel, our values guide everything we do. We are committed to the highest standards of ethical and legal conduct and have created an environment where open and honest communication is the expectation, not the exception. Failing to do so puts Bel’s name, reputation for integrity and business at risk. We hold all employees of Bel (our associates) to this standard and offer the same in return. Our code of ethics was created to ensure that our associates, officers, directors, partners, contractors, and suppliers follow our commitment to customer satisfaction in accordance with ethical and legal standards, guided by the basic, unchanging principle of integrity.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Our Human Capital Strategy is built around four areas: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Extraordinary Performance</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Our associates are a critical driver of Bel’s global business results. On December 31, 2025, Bel employed approximately 4,964 associates, almost all of which are full- time, across 15 countries, with 32% located within North America. Outside of the United States, our largest employee populations were located within the PRC, Mexico, Slovakia, the Dominican Republic, Israel, India and the United Kingdom. We regularly monitor various key performance indicators around the key human capital priorities of attracting, retaining, and engaging our global talent. In addition, we enable the execution of our strategic priorities by providing all associates with access to training and development opportunities to improve critical skill sets.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Great Associates</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Bel is committed to fostering an inclusive environment that respects and encourages individual differences, diversity of thought, and talent. We strive to create a workplace where associates feel that their contributions are welcomed and valued, allowing them to fully utilize their talents while achieving personal satisfaction in their respective roles within Bel.</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Across the organization, we invest in our people to learn in a variety of ways - on the job, in the classroom, through self- directed learning, and through leadership programs. We have expanded our learning management system to make new content and training available to our associates. The Company has advanced its leadership development programs and continues to enhance internship and apprenticeship programs to develop new talent.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Health and Safety</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Bel offers a variety of programs globally to protect the health and safety of our associates. While we maintain targets for year-over-year reduction of the total recordable incident rate and serious injuries, our goal is always zero.</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Culture</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an increasingly competitive global marketplace, Bel succeeds when we attract and retain the best talent in the communities in which we operate, without regard to race, sex, religion, national origin, disability status, veteran status, or any other protected category. We support this commitment by participating in networking and community events and actively recruiting a broad group of qualified candidates.</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As a global leader in delivering reliable solutions, Bel has signed a Statement of Support Program declaration to show support for National Guard and Reserve member associates coordinated by the Department of Defense's Employer Support of the Guard and Reserve (ESGR) program. The intent of the program is to increase employer support by encouraging employers to act as advocates for associate participation in the military.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global human resources team members are strategically placed, primarily in manufacturing facilities, to provide support to all our associates. The mission of human resources is to attract, retain and engage the best people. We create a positive work environment where associates can make a difference.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As a company that has been in business for over 75 years, Bel understands the importance of trust, integrity and accountability of all levels of the organization. Our policies, practices and priorities are continually reviewed to align with the best interests of our associates, shareholders and other stakeholders.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2240" w:h="15840" w:orient="portrait"/>
          <w:cols w:equalWidth="0" w:num="1">
            <w:col w:w="10800"/>
          </w:cols>
          <w:pgMar w:left="720" w:top="781" w:right="720" w:bottom="0" w:gutter="0" w:footer="0" w:header="0"/>
        </w:sectPr>
      </w:pPr>
    </w:p>
    <w:bookmarkStart w:id="18" w:name="page19"/>
    <w:bookmarkEnd w:id="18"/>
    <w:p>
      <w:pPr>
        <w:ind w:left="60"/>
        <w:spacing w:after="0"/>
        <w:rPr>
          <w:sz w:val="20"/>
          <w:szCs w:val="20"/>
          <w:color w:val="auto"/>
        </w:rPr>
      </w:pPr>
      <w:r>
        <w:rPr>
          <w:rFonts w:ascii="Arial" w:cs="Arial" w:eastAsia="Arial" w:hAnsi="Arial"/>
          <w:sz w:val="20"/>
          <w:szCs w:val="20"/>
          <w:b w:val="1"/>
          <w:bCs w:val="1"/>
          <w:color w:val="auto"/>
        </w:rPr>
        <w:t>Environmental, Social and Governance (“ESG”) Matters</w:t>
      </w: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Bel is committed to creating a better tomorrow by understanding how our actions impact the world around us. We aim to accomplish this by making tangible steps, big and small, to invest in our communities, to seek to minimize environmental impact and to promote alignment of interest among stakeholders. As an organization that thrives on learning and continuous improvement, Bel welcomes and embraces change. Over the last few years, we have worked to drive continuous improvements in these areas. Oversight of Bel’s compliance with government-mandated ESG disclosures and reporting requirements and other internal initiatives starts at the Board level, through its Nominating and ESG Committee. Bel also has an internal ESG Committee whose purpose is to support the Company’s ongoing commitment to ESG matters including environmental stewardship, health and safety, corporate social responsibility, corporate governance, sustainability, and other related issues of significance to the Company. Bel’s internal ESG Committee provides updates to either the Nominating and ESG Committee or to the full Board on a quarterly basis.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Environmental</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At Bel, we understand the impact of climate change upon so many aspects of our lives and our future, and we are committed to reducing environmental impact for a more sustainable tomorrow. We consistently look for alternatives and approaches to consider in Bel’s business and strategies at multiple levels, from improving the efficiency ratings of our products and factories to better managing our consumption habits of electricity and water.</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Bel has measured the impact of its operations on the environment and has utilized these measurements to establish reduction goals and related initiatives throughout the global organization. Today we have 15 manufacturing facilities of various sizes and five of them are ISO 14001 certified and represent 63% of our manufacturing footprint. These five sites have been measuring their consumption levels of natural gas, electricity and water and have targets in place for reducing consumption and waste and improving recycling efforts. For the rest of our manufacturing sites, we intend to follow an approach comparable to the template laid out with these five as we begin the process of better understanding our impact.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Social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Associates are the cornerstone of our business and key to our success. At Bel, we believe in the need for diversity and inclusion that reflects the communities in which we work and live. Associates are encouraged to bring with them their unique perspectives, opinions and experiences as they work for the betterment of Bel, its customers and the locations in which we operate. Bel recognizes its role in the global community and giving back is a priority. From coaching their local sports team to raising funds for local charities of choice, Bel supports and encourages our associates’ participation in these types of activities.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2025 Charitable Contribution Program:</w:t>
      </w:r>
    </w:p>
    <w:p>
      <w:pPr>
        <w:spacing w:after="0" w:line="22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Bel maintains a Company-wide Charitable Contribution Program to ensure consistency and drive our corporate values across the organization. The social program is also in alignment with our Core Value of Community Engagement and directly reflects the ambitions of our ESG initiative to support the global communities within which we operate. In 2025, the program resulted in contributions of more than $131,000 to 54 local charities across 11 countries. There was a matching program for the organizations selected and associates who donated. In addition, associates volunteered 7,900 hours to support their local communities, an increase from the 6,007 volunteer hours in 2024.</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Governance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company that has been in business for more than 75 years, Bel understands the importance of trust, integrity and accountability at all levels of the organization. Recent additions to our Board and executive management team have brought greater diversity and new perspectives to Bel. We intend that our policies, practices and priorities will be periodically and continually reviewed as appropriate to better align with the best interests of our shareholders, associates and other stakeholders.</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addition to the Board-level ESG oversight, the Company adheres to Bel’s Corporate Governance Guidelines which are available at https://ir.belfuse.com/corporate-governance. These guidelines, which are designed to enhance the Company’s corporate governance, serve as a framework within which the Board will conduct its business, subject to applicable laws, regulations, listing requirements, and the Company’s organizational documents and Board committee charters.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The foregoing discussion of ESG matters contains Forward-Looking Statements. See </w:t>
      </w:r>
      <w:r>
        <w:rPr>
          <w:rFonts w:ascii="Arial" w:cs="Arial" w:eastAsia="Arial" w:hAnsi="Arial"/>
          <w:sz w:val="20"/>
          <w:szCs w:val="20"/>
          <w:i w:val="1"/>
          <w:iCs w:val="1"/>
          <w:color w:val="auto"/>
        </w:rPr>
        <w:t>"Cautionary Notice Regarding Forward-Looking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2240" w:h="15840" w:orient="portrait"/>
          <w:cols w:equalWidth="0" w:num="1">
            <w:col w:w="10800"/>
          </w:cols>
          <w:pgMar w:left="720" w:top="551" w:right="720" w:bottom="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Available Information</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We maintain a website at </w:t>
      </w:r>
      <w:r>
        <w:rPr>
          <w:rFonts w:ascii="Arial" w:cs="Arial" w:eastAsia="Arial" w:hAnsi="Arial"/>
          <w:sz w:val="19"/>
          <w:szCs w:val="19"/>
          <w:u w:val="single" w:color="auto"/>
          <w:color w:val="auto"/>
        </w:rPr>
        <w:t>www.belfuse.com</w:t>
      </w:r>
      <w:r>
        <w:rPr>
          <w:rFonts w:ascii="Arial" w:cs="Arial" w:eastAsia="Arial" w:hAnsi="Arial"/>
          <w:sz w:val="19"/>
          <w:szCs w:val="19"/>
          <w:color w:val="auto"/>
        </w:rPr>
        <w:t xml:space="preserve"> where we make available free of charge the proxy statements, press releases, registration statements and reports on Forms 3, 4, 5, 8-K, 10- K and 10-Q, and amendments to those reports filed or furnished pursuant to Section 13(a) or 15(d) of the Exchange Act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 The information contained on our website is not incorporated by reference into this Annual Report on Form 10-K or in any other report or document we file with the SEC.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i w:val="1"/>
          <w:iCs w:val="1"/>
          <w:color w:val="auto"/>
        </w:rPr>
        <w:t>Risk Factors</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The risks described below should be carefully considered before making an investment decision. These are the risk factors that we consider to be material, but they are not the only risk factors that should be considered in making an investment decision. This Form 10-K also contains Forward-Looking Statements that involve risks and uncertainties. See the </w:t>
      </w:r>
      <w:r>
        <w:rPr>
          <w:rFonts w:ascii="Arial" w:cs="Arial" w:eastAsia="Arial" w:hAnsi="Arial"/>
          <w:sz w:val="19"/>
          <w:szCs w:val="19"/>
          <w:i w:val="1"/>
          <w:iCs w:val="1"/>
          <w:color w:val="auto"/>
        </w:rPr>
        <w:t xml:space="preserve">"Cautionary Notice Regarding Forward-Looking Information," </w:t>
      </w:r>
      <w:r>
        <w:rPr>
          <w:rFonts w:ascii="Arial" w:cs="Arial" w:eastAsia="Arial" w:hAnsi="Arial"/>
          <w:sz w:val="19"/>
          <w:szCs w:val="19"/>
          <w:color w:val="auto"/>
        </w:rPr>
        <w:t>above. Our business, consolidated financial condition and consolidated results of operations could be materially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adversely affected by any of the risk factors described below, under </w:t>
      </w:r>
      <w:r>
        <w:rPr>
          <w:rFonts w:ascii="Arial" w:cs="Arial" w:eastAsia="Arial" w:hAnsi="Arial"/>
          <w:sz w:val="19"/>
          <w:szCs w:val="19"/>
          <w:i w:val="1"/>
          <w:iCs w:val="1"/>
          <w:color w:val="auto"/>
        </w:rPr>
        <w:t>"Cautionary Notice Regarding Forward-Looking Information"</w:t>
      </w:r>
      <w:r>
        <w:rPr>
          <w:rFonts w:ascii="Arial" w:cs="Arial" w:eastAsia="Arial" w:hAnsi="Arial"/>
          <w:sz w:val="19"/>
          <w:szCs w:val="19"/>
          <w:color w:val="auto"/>
        </w:rPr>
        <w:t xml:space="preserve"> or with respect to specific Forward- Looking Statements presented herein. The trading price of our securities could decline due to any of these risks, and investors in our securities may lose all or part of their investment. Additional risks and uncertainties not presently known to us or that we currently believe to be immaterial may also materially adversely affect our business in the future. Except as required by the federal securities law, we undertake no obligation to update or revise any risk factor, whether as a result of new information, future events or otherwise.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STRATEGIC RISKS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conduct business in a highly competitive industry.</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Our business operates in a globally competitive industry, with relatively low barriers to entry. We compete principally on the basis of product performance, quality, reliability, depth of product line, customer service, technological innovation, design, delivery time and price. The industry in which we operate has become increasingly concentrated and globalized in recent years and our major competitors, many of which are larger than Bel, have significant financial resources and technological capabilities.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intellectual property rights may not be adequately protected under the current state of the law.</w:t>
      </w:r>
    </w:p>
    <w:p>
      <w:pPr>
        <w:spacing w:after="0" w:line="22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efforts to protect our intellectual property rights through patent, copyright, trademark and trade secret laws in the United States and in other countries may not prevent misappropriation, and our failure or inability to protect our proprietary rights could materially adversely affect our business, financial condition, operating results and future prospects. A third party could, without authorization, copy or otherwise appropriate our proprietary information. Our agreements with employees and others who participate in development activities could be breached, we may not have adequate remedies for any breach, and our trade secrets may otherwise become known or independently developed by competitors.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acquisitions may not produce the anticipated results.</w:t>
      </w:r>
    </w:p>
    <w:p>
      <w:pPr>
        <w:spacing w:after="0" w:line="22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 significant portion of our growth has been attributable to acquisitions. We cannot assure that we will identify or successfully complete transactions with suitable acquisition candidates in the future. If an acquired business fails to operate as anticipated or cannot be successfully integrated with our other businesses, our results of operations, enterprise value, market value and prospects could all be materially and adversely affected. Integration of new acquisitions into our consolidated operations may result in lower average operating results for the group as a whole, and may divert management's focus from the ongoing operations of the Company during the integration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2240" w:h="15840" w:orient="portrait"/>
          <w:cols w:equalWidth="0" w:num="1">
            <w:col w:w="10800"/>
          </w:cols>
          <w:pgMar w:left="720" w:top="551" w:right="720" w:bottom="0" w:gutter="0" w:footer="0" w:header="0"/>
        </w:sectPr>
      </w:pPr>
    </w:p>
    <w:bookmarkStart w:id="20" w:name="page21"/>
    <w:bookmarkEnd w:id="20"/>
    <w:p>
      <w:pPr>
        <w:jc w:val="both"/>
        <w:spacing w:after="0" w:line="269" w:lineRule="auto"/>
        <w:rPr>
          <w:sz w:val="20"/>
          <w:szCs w:val="20"/>
          <w:color w:val="auto"/>
        </w:rPr>
      </w:pPr>
      <w:r>
        <w:rPr>
          <w:rFonts w:ascii="Arial" w:cs="Arial" w:eastAsia="Arial" w:hAnsi="Arial"/>
          <w:sz w:val="18"/>
          <w:szCs w:val="18"/>
          <w:color w:val="auto"/>
        </w:rPr>
        <w:t>Our strategy also focuses on the reduction of selling, general and administrative expenses through the integration or elimination of redundant sales facilities and administrative functions at acquired companies. If we are unable to achieve our expectations with respect to our acquisitions, such inability could have a material and adverse effect on our results of operations. If the acquisitions fail to perform up to our expectations, or if there is a weakening of economic conditions, we could be required to record impairment charges on the goodwill and/or other assets associated with our acquisitions. In November 2025, we concluded that an impairment charge was required in connection with our noncontrolling minority investment in innolectric, a Germany-based e-Mobility technology company, and related party notes receivable, recording in Q4-25 a pre-tax impairment charge of $13.1 million representing the full impairment and write-down of our investment in innolectric and the related notes receivable, with no value attributable to such items reflected on our consolidated balance sheet as of December 31, 2025. The impairment was determined based on indicators of impairment including the cessation of financial support from the majority owner, recent financial performance, changes in market conditions, and other relevant factors affecting innolectric’s business. The future course and full impact of innolectric’s insolvency proceeding remains uncertain, including the impact thereof upon our investment in innolectric and related notes receivable, which may include potential full loss of our investment and related notes receivable. However, we currently do not expect any future recovery through innolectric’s insolvency process. Our business, including in connection with any future acquisitions or investments, may experience similar challenges from time to time, and which could have a material adverse effect on our financial position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i w:val="1"/>
          <w:iCs w:val="1"/>
          <w:color w:val="auto"/>
        </w:rPr>
        <w:t>We may not realize the anticipated strategic and revenue opportunities from our November 2024 acquisition of our 80%-owned Enercon subsidiary within the expected time period (if at all), and our business may be disrupted if our intended acquisition of the remaining 20% stake in Enercon is not completed for any reason.</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November 2024, we completed our acquisition of an 80% interest in Enercon. Over time since the Enercon closing to date, although we believe the integration efforts have proceeded positively, and we have established a foundation for collaboration across both organizations, we may still encounter unanticipated difficulties if we are unable to fully integrate the Enercon business successfully. At this stage, we believe the primary risks in this area relate to the timing and magnitude of strategic and revenue opportunities arising from the acquisition, and whether such opportunities will be achieved on such timing and at such levels as expected, if at all. While we continue to pursue anticipated growth, synergies, and expansion, there is uncertainty as to when and to what extent these opportunities will materialize. Actual results may differ from expectations, and the benefits may be less significant or take longer to achieve than anticipated. Our ability to maximize value from the Enercon acquisition depends on continued successful integration, sustained customer and supplier relationships, and effective execution of our strategic initiatives.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In addition, our business may be disrupted if our intended acquisition of the remaining 20% stake in Enercon is not completed for any reason.</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Pursuant to the transaction documents governing the Enercon acquisition, we may acquire the remaining 20% stake in Enercon and we have the current intention to so purchase such remaining interest by early 2027 in accordance with the terms and subject to the conditions of the shareholders’ agreement, which was entered into at the November 14, 2024 closing on the initial 80% interest. The purchase of the remaining 20% interest in Enercon is subject to the put-call mechanism set forth in the shareholders’ agreement and the other terms and conditions thereof. There can be no assurances that we will complete the acquisition of the remaining 20% interest in Enercon by early 2027 as intended, or at all. Any failure to complete our intended acquisition of the remaining 20% interest may disrupt our plans, operations, and relationships with customers, suppliers, distributors, business partners and regulators, can cause potential difficulties in employee retention, and can have a material adverse effect on our business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dependent on our ability to develop new products.</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Our future operating results are dependent, in part, on our ability to develop, produce and market new and more technologically advanced products. There are numerous risks inherent in this process, including the risks that we will be unable to anticipate the direction of technological change or that we will be unable to timely develop and bring to market new products and applications to meet customers' changing needs.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RISKS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experience labor unrest.</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we periodically implement transfers of certain of our operations, we may experience strikes or other types of labor unrest as a result of lay-offs or termination of employees in higher labor cost countries. Our manufacturing facilities in the United Kingdom and Mexico are represented by labor unions and substantially all of our factory workers in the PRC are represented by government-sponsored unions.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2240" w:h="15840" w:orient="portrait"/>
          <w:cols w:equalWidth="0" w:num="1">
            <w:col w:w="10800"/>
          </w:cols>
          <w:pgMar w:left="720" w:top="555" w:right="720" w:bottom="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i w:val="1"/>
          <w:iCs w:val="1"/>
          <w:color w:val="auto"/>
        </w:rPr>
        <w:t>We may experience labor shortages.</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Government, economic, social and labor policies in the PRC may cause shortages of factory labor in areas where we have some of our products manufactured. Further, availability of labor in the PRC is cyclical and is significantly affected by the migration of workers in relation to the annual Lunar New Year holiday. If we are required to manufacture more of these products outside of the PRC as a result of such shortages, our margins will likely be materially adversely affected.</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A shortage of availability or an increase in the cost of raw materials, components and other resources may adversely impact our ability to procure these items at cost effective prices and thus may negatively impact profit margins. Our access to parts or materials, and our ability to contract with suppliers, may be limited or prohibited from time to time by trade restrictions or other legal or regulatory enactments. Additionally, inflationary pressures could result in higher input costs and materially adversely affect our financial results.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results of operations may be materially adversely impacted by difficulties in obtaining raw materials, supplies, power, labor, natural resources and any other items needed for the production of our products, as well as by the effects of quality deviations in raw materials and the effects of significant fluctuations in the prices of existing inventories and purchase commitments for these materials. Many of these materials and components are produced by a limited number of suppliers and their availability to us may be constrained by supplier capacity. Any material disruption could materially adversely affect our financial results.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Additionally, our access to parts or materials, and our ability to contract with suppliers utilized previously, may be limited or prohibited from time to time by trade restrictions or other legal or regulatory enactments. To the extent our suppliers in the PRC or other countries are negatively impacted by new or amended regulations, any such negative implications could adversely impact our supply chain, including in the form of increased costs, disruptions, shortages or unavailability of product or component parts, and/or other deleterious consequences, which could materially adversely affect our business and operating results.</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addition, inflationary pressures could result in higher input costs, including those related to our raw materials, labor, freight, utilities, healthcare and other expenses. Our future operating results will depend, in part, on our continued ability to manage these fluctuations through pricing actions, cost savings initiatives and sourcing decisions, and any negative impact of inflation could materially adversely affect our financial results.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“Overview - Key Factors Affecting our Business"</w:t>
      </w:r>
      <w:r>
        <w:rPr>
          <w:rFonts w:ascii="Arial" w:cs="Arial" w:eastAsia="Arial" w:hAnsi="Arial"/>
          <w:sz w:val="20"/>
          <w:szCs w:val="20"/>
          <w:color w:val="auto"/>
        </w:rPr>
        <w:t xml:space="preserve"> in Item 7 of this Annual Report on Form 10-K for a discussion of how pricing and availability of materials is currently impacting our business.</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i w:val="1"/>
          <w:iCs w:val="1"/>
          <w:color w:val="auto"/>
        </w:rPr>
        <w:t>Demand in Enercon</w:t>
      </w:r>
      <w:r>
        <w:rPr>
          <w:rFonts w:ascii="Arial" w:cs="Arial" w:eastAsia="Arial" w:hAnsi="Arial"/>
          <w:sz w:val="20"/>
          <w:szCs w:val="20"/>
          <w:color w:val="auto"/>
        </w:rPr>
        <w:t>’</w:t>
      </w:r>
      <w:r>
        <w:rPr>
          <w:rFonts w:ascii="Arial" w:cs="Arial" w:eastAsia="Arial" w:hAnsi="Arial"/>
          <w:sz w:val="20"/>
          <w:szCs w:val="20"/>
          <w:b w:val="1"/>
          <w:bCs w:val="1"/>
          <w:i w:val="1"/>
          <w:iCs w:val="1"/>
          <w:color w:val="auto"/>
        </w:rPr>
        <w:t>s end markets can be cyclical, impacting the demand for its products, and Enercon</w:t>
      </w:r>
      <w:r>
        <w:rPr>
          <w:rFonts w:ascii="Arial" w:cs="Arial" w:eastAsia="Arial" w:hAnsi="Arial"/>
          <w:sz w:val="20"/>
          <w:szCs w:val="20"/>
          <w:color w:val="auto"/>
        </w:rPr>
        <w:t>’</w:t>
      </w:r>
      <w:r>
        <w:rPr>
          <w:rFonts w:ascii="Arial" w:cs="Arial" w:eastAsia="Arial" w:hAnsi="Arial"/>
          <w:sz w:val="20"/>
          <w:szCs w:val="20"/>
          <w:b w:val="1"/>
          <w:bCs w:val="1"/>
          <w:i w:val="1"/>
          <w:iCs w:val="1"/>
          <w:color w:val="auto"/>
        </w:rPr>
        <w:t>s business could be materially adversely affected by reductions in defense spending.</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Our majority 80%-owned subsidiary Enercon is a leading supplier of highly customized power conversion and networking solutions to aerospace and defense markets globally. For full fiscal year 2025, approximately 93% and 7% of Enercon’s revenue was attributable to the defense and aerospace end markets, respectively. Demand in Enercon’s end- use markets can be sensitive to general economic conditions, competitive influences, and fluctuations in inventory levels throughout the supply chain. Enercon’s sales are sensitive to the market conditions present in the industries in which the ultimate consumers of its products operate, which in some cases have been highly cyclical and subject to substantial downturns.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As a result of the high correlation to government spending on defense and budgeting, Enercon has experienced, and in the future, it may experience, significant fluctuations in sales and results of operations with respect to a substantial portion of our total product offering, and such fluctuations could be material and adverse to our overall financial condition, results of operations and liquidity.</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Because certain of Enercon’s products are used in a variety of land, air and sea defense applications, Enercon derives a substantial portion of its revenue from the defense industry. For full fiscal year 2025, approximately 93% of Enercon’s revenue was derived from customers in the defense industry. Although many of the programs under which Enercon sells products to prime U.S. and Israeli government contractors extend several years, they are subject to annual funding through governmental appropriations. While spending authorizations for defense-related programs by the U.S. and Israeli governments have increased in recent years, these spending levels may not be sustainable and could significantly decline. Future levels of expenditures, authorizations, and appropriations for programs Enercon supports may decrease or shift to programs in areas where Enercon does not currently offer products or solutions. Changes in spending authorizations, appropriations, and budgetary priorities could also occur due to a shift in the number, and intensity, of potential and ongoing conflicts, shifts in spending priorities from national defense as a result of competing demands for government funds, or other factors. Enercon’s business prospects, financial condition or operating results (and as a consequence, those of Bel on a consolidated basis), could be materially harmed among other causes by the following: (1) budgetary constraints affecting U.S. and/or Israeli government spending generally, or specific departments or agencies in particular, and changes in available funding; (2) changes in government programs or requirements; and (3) a prolonged government shutdown and other potential delays in the appropriations process.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2240" w:h="15840" w:orient="portrait"/>
          <w:cols w:equalWidth="0" w:num="1">
            <w:col w:w="10800"/>
          </w:cols>
          <w:pgMar w:left="720" w:top="557" w:right="720" w:bottom="0" w:gutter="0" w:footer="0" w:header="0"/>
        </w:sectPr>
      </w:pPr>
    </w:p>
    <w:bookmarkStart w:id="22" w:name="page23"/>
    <w:bookmarkEnd w:id="22"/>
    <w:p>
      <w:pPr>
        <w:jc w:val="both"/>
        <w:spacing w:after="0" w:line="329" w:lineRule="auto"/>
        <w:rPr>
          <w:sz w:val="20"/>
          <w:szCs w:val="20"/>
          <w:color w:val="auto"/>
        </w:rPr>
      </w:pPr>
      <w:r>
        <w:rPr>
          <w:rFonts w:ascii="Arial" w:cs="Arial" w:eastAsia="Arial" w:hAnsi="Arial"/>
          <w:sz w:val="18"/>
          <w:szCs w:val="18"/>
          <w:b w:val="1"/>
          <w:bCs w:val="1"/>
          <w:i w:val="1"/>
          <w:iCs w:val="1"/>
          <w:color w:val="auto"/>
        </w:rPr>
        <w:t>We have substantial manufacturing operations located in the PRC, which exposes us to significant risks that could materially and adversely affect our business, operations, consolidated financial condition and consolidated results of operations.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majority of Bel's Magnetic Solutions manufacturing capacity and supplier base is located in the PRC, as is a portion of Bel's Power Solutions and Protection group. As of December 31, 2025, 42% of our associates, 56% of our owned or leased manufacturing facilities (by square footage) and 10% of our Company’s tangible assets were all located in the PRC. Our Company’s presence and operations in the PRC expose us to significant risks that could materially and adversely affect our Company and our business, operations, financial position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For example, our significant operational presence in the PRC exposes us to foreign currency exchange risk. Our PRC-based manufacturing associates’ salaries, and other labor and overhead costs, associated with our PRC operations are paid in the Chinese renminbi. As a result, the cost of our operations and our consolidated operating results may be adversely impacted by the effects of fluctuations in the applicable exchange rate for the renminbi as compared to the U.S dollar.</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Our significant labor force based within the PRC subjects us to risks associated with staffing and managing this substantial complement of factory workers and other associates who are important to our Company’s operations and success. As noted above, factory workers in the PRC are represented by government-sponsored unions, and are participants in a cyclical labor market that may become subject to shortages including as a result of PRC government policies. See “ </w:t>
      </w:r>
      <w:r>
        <w:rPr>
          <w:rFonts w:ascii="Arial" w:cs="Arial" w:eastAsia="Arial" w:hAnsi="Arial"/>
          <w:sz w:val="18"/>
          <w:szCs w:val="18"/>
          <w:i w:val="1"/>
          <w:iCs w:val="1"/>
          <w:color w:val="auto"/>
        </w:rPr>
        <w:t>We may experience labor unrest”</w:t>
      </w:r>
      <w:r>
        <w:rPr>
          <w:rFonts w:ascii="Arial" w:cs="Arial" w:eastAsia="Arial" w:hAnsi="Arial"/>
          <w:sz w:val="18"/>
          <w:szCs w:val="18"/>
          <w:color w:val="auto"/>
        </w:rPr>
        <w:t xml:space="preserve"> and </w:t>
      </w:r>
      <w:r>
        <w:rPr>
          <w:rFonts w:ascii="Arial" w:cs="Arial" w:eastAsia="Arial" w:hAnsi="Arial"/>
          <w:sz w:val="18"/>
          <w:szCs w:val="18"/>
          <w:i w:val="1"/>
          <w:iCs w:val="1"/>
          <w:color w:val="auto"/>
        </w:rPr>
        <w:t>“We may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experience labor shortages” </w:t>
      </w:r>
      <w:r>
        <w:rPr>
          <w:rFonts w:ascii="Arial" w:cs="Arial" w:eastAsia="Arial" w:hAnsi="Arial"/>
          <w:sz w:val="18"/>
          <w:szCs w:val="18"/>
          <w:color w:val="auto"/>
        </w:rPr>
        <w:t>above. Wage rates in the PRC have been increasing in recent years as PRC government-mandated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the minimum wage rate have caused an increase in our overall pay scale for our PRC workers.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PRC government has broad authority and discretion to regulate the economy, manufacturing, industry, and the technology sector, among other areas generally. As a result, our activities and operations in the PRC as well as those of our PRC-based suppliers are subject to extensive local government regulation. Additionally, the PRC government has implemented policies from time to time to regulate economic expansion. It exercises significant control over its economic growth through the allocation of resources, setting monetary policy and providing preferential treatment to particular industries or companies. Any additional new regulations or the amendment of previously implemented regulations could require us to change our business plans, increase our costs, or limit our ability to manufacture and sell products domestically and/or otherwise restrict or curtail our operations in the PRC. To the extent our suppliers in the PRC are negatively impacted by new or amended regulations, any such negative implications could adversely impact our supply chain, including in the form of increased costs, disruptions, shortages or unavailability of product or component parts, and/or other deleterious consequences, which could materially adversely affect our business and operating results.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Our significant manufacturing operations in the PRC may expose us to other risks. Risks inherent in our PRC operations include the following:</w:t>
      </w:r>
    </w:p>
    <w:p>
      <w:pPr>
        <w:spacing w:after="0" w:line="165" w:lineRule="exact"/>
        <w:rPr>
          <w:sz w:val="20"/>
          <w:szCs w:val="20"/>
          <w:color w:val="auto"/>
        </w:rPr>
      </w:pPr>
    </w:p>
    <w:p>
      <w:pPr>
        <w:ind w:left="340" w:hanging="131"/>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Changes in import, export, transportation regulations and tariffs, and risks associated with boycotts and embargoes;</w:t>
      </w:r>
    </w:p>
    <w:p>
      <w:pPr>
        <w:spacing w:after="0" w:line="34" w:lineRule="exact"/>
        <w:rPr>
          <w:rFonts w:ascii="Arial" w:cs="Arial" w:eastAsia="Arial" w:hAnsi="Arial"/>
          <w:sz w:val="20"/>
          <w:szCs w:val="20"/>
          <w:color w:val="auto"/>
        </w:rPr>
      </w:pPr>
    </w:p>
    <w:p>
      <w:pPr>
        <w:ind w:left="340" w:hanging="131"/>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or impositions of, legislative or regulatory requirements or restrictions, including tax and trade laws in the U.S. and in the PRC, and government action to restrict our ability to sell to customers where sales of products may require export licenses;</w:t>
      </w:r>
    </w:p>
    <w:p>
      <w:pPr>
        <w:ind w:left="340" w:hanging="131"/>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Transportation delays and other supply chain issues;</w:t>
      </w:r>
    </w:p>
    <w:p>
      <w:pPr>
        <w:spacing w:after="0" w:line="8" w:lineRule="exact"/>
        <w:rPr>
          <w:rFonts w:ascii="Arial" w:cs="Arial" w:eastAsia="Arial" w:hAnsi="Arial"/>
          <w:sz w:val="20"/>
          <w:szCs w:val="20"/>
          <w:color w:val="auto"/>
        </w:rPr>
      </w:pPr>
    </w:p>
    <w:p>
      <w:pPr>
        <w:ind w:left="340" w:hanging="131"/>
        <w:spacing w:after="0" w:line="242"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Changes in tax regulations in the U.S. and/or the PRC, including restrictions and/or taxes applicable to the transfer or repatriation of funds;</w:t>
      </w:r>
    </w:p>
    <w:p>
      <w:pPr>
        <w:spacing w:after="0" w:line="1" w:lineRule="exact"/>
        <w:rPr>
          <w:rFonts w:ascii="Arial" w:cs="Arial" w:eastAsia="Arial" w:hAnsi="Arial"/>
          <w:sz w:val="20"/>
          <w:szCs w:val="20"/>
          <w:color w:val="auto"/>
        </w:rPr>
      </w:pPr>
    </w:p>
    <w:p>
      <w:pPr>
        <w:ind w:left="340" w:hanging="131"/>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International political relationships, including the relationship between the U.S. and the PRC;</w:t>
      </w:r>
    </w:p>
    <w:p>
      <w:pPr>
        <w:spacing w:after="0" w:line="8" w:lineRule="exact"/>
        <w:rPr>
          <w:rFonts w:ascii="Arial" w:cs="Arial" w:eastAsia="Arial" w:hAnsi="Arial"/>
          <w:sz w:val="20"/>
          <w:szCs w:val="20"/>
          <w:color w:val="auto"/>
        </w:rPr>
      </w:pPr>
    </w:p>
    <w:p>
      <w:pPr>
        <w:ind w:left="340" w:hanging="131"/>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Epidemics and illnesses within the PRC that affect the areas in which we operate and manufacture our products;</w:t>
      </w:r>
    </w:p>
    <w:p>
      <w:pPr>
        <w:spacing w:after="0" w:line="8" w:lineRule="exact"/>
        <w:rPr>
          <w:rFonts w:ascii="Arial" w:cs="Arial" w:eastAsia="Arial" w:hAnsi="Arial"/>
          <w:sz w:val="20"/>
          <w:szCs w:val="20"/>
          <w:color w:val="auto"/>
        </w:rPr>
      </w:pPr>
    </w:p>
    <w:p>
      <w:pPr>
        <w:ind w:left="340" w:hanging="131"/>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Economic, social and political instability;</w:t>
      </w:r>
    </w:p>
    <w:p>
      <w:pPr>
        <w:spacing w:after="0" w:line="8" w:lineRule="exact"/>
        <w:rPr>
          <w:rFonts w:ascii="Arial" w:cs="Arial" w:eastAsia="Arial" w:hAnsi="Arial"/>
          <w:sz w:val="20"/>
          <w:szCs w:val="20"/>
          <w:color w:val="auto"/>
        </w:rPr>
      </w:pPr>
    </w:p>
    <w:p>
      <w:pPr>
        <w:ind w:left="340" w:hanging="131"/>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Longer accounts receivable collection cycles and difficulties in collecting accounts receivable;</w:t>
      </w:r>
    </w:p>
    <w:p>
      <w:pPr>
        <w:spacing w:after="0" w:line="8" w:lineRule="exact"/>
        <w:rPr>
          <w:rFonts w:ascii="Arial" w:cs="Arial" w:eastAsia="Arial" w:hAnsi="Arial"/>
          <w:sz w:val="20"/>
          <w:szCs w:val="20"/>
          <w:color w:val="auto"/>
        </w:rPr>
      </w:pPr>
    </w:p>
    <w:p>
      <w:pPr>
        <w:ind w:left="340" w:hanging="131"/>
        <w:spacing w:after="0" w:line="244"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Less effective protection of intellectual property and contractual arrangements, and risks associated with enforcing contracts and legal rights and remedies generally;</w:t>
      </w:r>
    </w:p>
    <w:p>
      <w:pPr>
        <w:jc w:val="both"/>
        <w:ind w:left="340" w:hanging="131"/>
        <w:spacing w:after="0" w:line="242"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Uncertainties associated with the PRC legal system, which is based on civil law, can involve protected proceedings involving substantial judicial discretion, and is based in part on PRC government policies and internal rules, some of which are not published on a timely basis, or at all, and may have retroactive effect;</w:t>
      </w:r>
    </w:p>
    <w:p>
      <w:pPr>
        <w:spacing w:after="0" w:line="1" w:lineRule="exact"/>
        <w:rPr>
          <w:rFonts w:ascii="Arial" w:cs="Arial" w:eastAsia="Arial" w:hAnsi="Arial"/>
          <w:sz w:val="20"/>
          <w:szCs w:val="20"/>
          <w:color w:val="auto"/>
        </w:rPr>
      </w:pPr>
    </w:p>
    <w:p>
      <w:pPr>
        <w:ind w:left="340" w:hanging="131"/>
        <w:spacing w:after="0" w:line="244" w:lineRule="auto"/>
        <w:rPr>
          <w:rFonts w:ascii="Arial" w:cs="Arial" w:eastAsia="Arial" w:hAnsi="Arial"/>
          <w:sz w:val="20"/>
          <w:szCs w:val="20"/>
          <w:color w:val="auto"/>
        </w:rPr>
      </w:pPr>
      <w:r>
        <w:rPr>
          <w:rFonts w:ascii="Arial" w:cs="Arial" w:eastAsia="Arial" w:hAnsi="Arial"/>
          <w:sz w:val="20"/>
          <w:szCs w:val="20"/>
          <w:color w:val="auto"/>
        </w:rPr>
        <w:t>●Risks arising out of any changes in governmental and economic policy and the potential for adverse developments arising out of any political or economic instability related to Hong Kong or Taiwan;</w:t>
      </w:r>
    </w:p>
    <w:p>
      <w:pPr>
        <w:ind w:left="340" w:hanging="131"/>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potential for political unrest, expropriation, nationalization, revolution, war or acts of terrorism; and</w:t>
      </w:r>
    </w:p>
    <w:p>
      <w:pPr>
        <w:spacing w:after="0" w:line="8" w:lineRule="exact"/>
        <w:rPr>
          <w:rFonts w:ascii="Arial" w:cs="Arial" w:eastAsia="Arial" w:hAnsi="Arial"/>
          <w:sz w:val="20"/>
          <w:szCs w:val="20"/>
          <w:color w:val="auto"/>
        </w:rPr>
      </w:pPr>
    </w:p>
    <w:p>
      <w:pPr>
        <w:ind w:left="340" w:hanging="131"/>
        <w:spacing w:after="0" w:line="245"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Risks associated with the concentration of a substantial portion of our manufacturing capacity and supplier base in the PRC, including potential trade restrictions placed on PRC suppliers by the U.S. government.</w:t>
      </w:r>
    </w:p>
    <w:p>
      <w:pPr>
        <w:spacing w:after="0" w:line="19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In addition to the risks associated with our PRC operations described above, the global nature of our operations generally subjects us to additional risks. We conduct operations in 15 countries, and outside of the United States (and the PRC), our largest manufacturing operations and associate populations are located within Mexico, Slovakia, the Dominican Republic, Israel, India and the United Kingdom. Please see the Risk Factors appearing below under the captions, </w:t>
      </w:r>
      <w:r>
        <w:rPr>
          <w:rFonts w:ascii="Arial" w:cs="Arial" w:eastAsia="Arial" w:hAnsi="Arial"/>
          <w:sz w:val="20"/>
          <w:szCs w:val="20"/>
          <w:i w:val="1"/>
          <w:iCs w:val="1"/>
          <w:color w:val="auto"/>
        </w:rPr>
        <w:t>"We may face risks related to conducting business in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Israel" </w:t>
      </w:r>
      <w:r>
        <w:rPr>
          <w:rFonts w:ascii="Arial" w:cs="Arial" w:eastAsia="Arial" w:hAnsi="Arial"/>
          <w:sz w:val="20"/>
          <w:szCs w:val="20"/>
          <w:color w:val="auto"/>
        </w:rPr>
        <w:t>and</w:t>
      </w:r>
      <w:r>
        <w:rPr>
          <w:rFonts w:ascii="Arial" w:cs="Arial" w:eastAsia="Arial" w:hAnsi="Arial"/>
          <w:sz w:val="20"/>
          <w:szCs w:val="20"/>
          <w:i w:val="1"/>
          <w:iCs w:val="1"/>
          <w:color w:val="auto"/>
        </w:rPr>
        <w:t xml:space="preserve"> "The global nature of our operations exposes us to numerous risks that could materially adversely affect our consolidated financial condition and consolidated results of operations.”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2240" w:h="15840" w:orient="portrait"/>
          <w:cols w:equalWidth="0" w:num="1">
            <w:col w:w="10800"/>
          </w:cols>
          <w:pgMar w:left="720" w:top="558" w:right="720" w:bottom="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i w:val="1"/>
          <w:iCs w:val="1"/>
          <w:color w:val="auto"/>
        </w:rPr>
        <w:t>We may face risks related to conducting business in Israel.</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Following our November 2024 acquisition of Enercon, we may be subject to, and possibly adversely affected by, risks related to conducting business in Israel. Enercon, in which we acquired an 80% stake in November 2024 and intend to acquire the remaining 20% interest by early 2027, is based in Netanya, Israel with additional facilities in New Hampshire, U.S. and Haryana, India. Enercon has approximately 321 employees located in Israel.</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Companies based in or operating in, or having a significant number of employees located in Israel, may be more susceptible to political and economic instability. Political, economic and military conditions in Israel may directly affect their business. Since the establishment of the State of Israel in 1948, a number of armed conflicts have occurred between Israel and its neighbors. In October 2023, Hamas conducted several terrorist attacks in Israel resulting in ongoing war across the country, forcing the closure of many businesses in Israel for several days. In addition, there continues to be hostilities between Israel and Hezbollah in Lebanon and Hamas in the Gaza Strip, both of which resulted in rockets being fired into Israel, causing casualties and disruption of economic activities. In early 2023, there were a number of changes proposed to the political system in Israel by the current government which, if implemented as planned or in similar form, could lead to large-scale protests and additional uncertainty, negatively impacting the operating environment in Israel. In addition, Iran has threatened to attack Israel and may be developing nuclear weapons. Further, on April 13, 2024 and October 1, 2024, Iran launched a series of drone and missile strikes against Israel, to which Israel responded, and in June 2025, additional conflict included Israeli strikes on Iranian military and nuclear facilities, and Iranian missile and drone strikes against Israel. Uprisings in various countries in the Middle East over the last few years have also affected the political stability of those countries and have led to a decline in the regional security situation. Such instability may also lead to deterioration in the political and trade relationships that exist between Israel and these countries. Ongoing military activity in the Middle East may result in disruption to our operations and facilities, such as Enercon’s manufacturing and R&amp;D facilities located in Israel. Any military activity, armed conflicts, terrorist activities or political instability involving Israel or other countries in the region, as well as any interruption or curtailment of trade between Israel and its present trading partners, could adversely affect the business, results of operations, financial condition, cash flows and prospects of Enercon, and thus of consolidated Bel. In addition, any of these events or circumstances involving Israel or the region prior to the completion of our intended acquisition of the remaining 20% stake in Enercon may delay or prevent the completion of our purchase of the remaining 20% interest.</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 number of countries, principally in the Middle East, still restrict doing business with Israel and Israeli companies, and additional countries may impose restrictions on doing business with Israel and Israeli companies if hostilities in Israel or political instability in the region continue or intensify. In addition, there have been increased efforts by activists to cause companies and consumers to boycott Israeli goods based on policies promulgated by the Israeli Government. Such boycotts, particularly if they become more widespread, may adversely impact the business of our Enercon subsidiary or Bel’s broader business.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operations of our Enercon subsidiary could also be disrupted by the absence for significant periods of one or more key employees or a significant number of other employees because of military service. Enercon’s employees in Israel may be obligated to perform military reserve duty, and in certain emergency circumstances, employees may be called to immediate and unlimited active duty in the Israeli armed forces.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loss of certain substantial customers could materially and adversely affect us.</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During the year ended December 31, 2025, there were no direct customers or ultimate end customers whose sales exceeded 10% of our 2025 consolidated net sales. While there were no customers who exceeded 10% of our net sales in 2025, we have experienced significant concentrations of customers in prior years. Furthermore, factors that negatively impact the businesses of our major customers could materially and adversely affect us even if the customer represents less than 10% of our 2025 consolidated net sales.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achieve all of the expected benefits from our restructuring programs.</w:t>
      </w:r>
    </w:p>
    <w:p>
      <w:pPr>
        <w:spacing w:after="0" w:line="2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Over the past three years, the Company has undertaken a series of facility consolidations around the world, including as described in "</w:t>
      </w:r>
      <w:r>
        <w:rPr>
          <w:rFonts w:ascii="Arial" w:cs="Arial" w:eastAsia="Arial" w:hAnsi="Arial"/>
          <w:sz w:val="20"/>
          <w:szCs w:val="20"/>
          <w:i w:val="1"/>
          <w:iCs w:val="1"/>
          <w:color w:val="auto"/>
        </w:rPr>
        <w:t>Overview – Key Factors Affecting our Business – Restructuring"</w:t>
      </w:r>
      <w:r>
        <w:rPr>
          <w:rFonts w:ascii="Arial" w:cs="Arial" w:eastAsia="Arial" w:hAnsi="Arial"/>
          <w:sz w:val="20"/>
          <w:szCs w:val="20"/>
          <w:color w:val="auto"/>
        </w:rPr>
        <w:t xml:space="preserve"> in Item 7 of this Annual Report and in Note 12, "</w:t>
      </w:r>
      <w:r>
        <w:rPr>
          <w:rFonts w:ascii="Arial" w:cs="Arial" w:eastAsia="Arial" w:hAnsi="Arial"/>
          <w:sz w:val="20"/>
          <w:szCs w:val="20"/>
          <w:i w:val="1"/>
          <w:iCs w:val="1"/>
          <w:color w:val="auto"/>
        </w:rPr>
        <w:t>Accrued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Expenses - Restructuring Activities" </w:t>
      </w:r>
      <w:r>
        <w:rPr>
          <w:rFonts w:ascii="Arial" w:cs="Arial" w:eastAsia="Arial" w:hAnsi="Arial"/>
          <w:sz w:val="20"/>
          <w:szCs w:val="20"/>
          <w:color w:val="auto"/>
        </w:rPr>
        <w:t>in Item 7 of this Annual Report. We make certain assumptions in estimating the anticipated</w:t>
      </w:r>
      <w:r>
        <w:rPr>
          <w:rFonts w:ascii="Arial" w:cs="Arial" w:eastAsia="Arial" w:hAnsi="Arial"/>
          <w:sz w:val="20"/>
          <w:szCs w:val="20"/>
          <w:i w:val="1"/>
          <w:iCs w:val="1"/>
          <w:color w:val="auto"/>
        </w:rPr>
        <w:t xml:space="preserve"> </w:t>
      </w:r>
      <w:r>
        <w:rPr>
          <w:rFonts w:ascii="Arial" w:cs="Arial" w:eastAsia="Arial" w:hAnsi="Arial"/>
          <w:sz w:val="20"/>
          <w:szCs w:val="20"/>
          <w:color w:val="auto"/>
        </w:rPr>
        <w:t>savings we expect to achieve related to these initiatives, which include the estimated savings from the elimination of certain headcount and the consolidation of facilities. These assumptions may turn out to be incorrect due to a variety of factors. In addition, our ability to realize the expected benefits from these programs is subject to significant business, economic and competitive uncertainties and contingencies, many of which are beyond our control. If we are unsuccessful in implementing these or any similar future programs or if we do not achieve our expected results, our results of operations and cash flows could be adversely affected or our business operations could be disrupted.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2240" w:h="15840" w:orient="portrait"/>
          <w:cols w:equalWidth="0" w:num="1">
            <w:col w:w="10800"/>
          </w:cols>
          <w:pgMar w:left="720" w:top="557" w:right="720" w:bottom="0" w:gutter="0" w:footer="0" w:header="0"/>
        </w:sectPr>
      </w:pPr>
    </w:p>
    <w:bookmarkStart w:id="24" w:name="page25"/>
    <w:bookmarkEnd w:id="24"/>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Our global operations and demand for our products face risks related to public health crises, including potential future outbreaks, epidemics or pandemics.</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Any outbreaks of contagious diseases and other adverse public health developments in countries where we operate could have a material and adverse effect on our business, consolidated financial condition and consolidated results of operations. In the past, our business was impacted by temporary facility closures, shelter-in-place orders and challenges related to travel restrictions imposed by the local governmental authorities as a result of a health epidemic, including precautionary measures during the coronavirus pandemic. Our suppliers, customers and our customers’ contract manufacturers have experienced similar challenges from time to time. Any future outbreaks, health epidemics or pandemics could result in similar measures, which may materially adversely affect our financial results.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RISKS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are several factors which can cause our margins to suffer.</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Our margins could be substantially impacted by the following factors:</w:t>
      </w:r>
    </w:p>
    <w:p>
      <w:pPr>
        <w:spacing w:after="0" w:line="233" w:lineRule="exact"/>
        <w:rPr>
          <w:sz w:val="20"/>
          <w:szCs w:val="20"/>
          <w:color w:val="auto"/>
        </w:rPr>
      </w:pPr>
    </w:p>
    <w:p>
      <w:pPr>
        <w:jc w:val="both"/>
        <w:ind w:left="940" w:hanging="275"/>
        <w:spacing w:after="0" w:line="247" w:lineRule="auto"/>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Declines in Selling Prices</w:t>
      </w:r>
      <w:r>
        <w:rPr>
          <w:rFonts w:ascii="Arial" w:cs="Arial" w:eastAsia="Arial" w:hAnsi="Arial"/>
          <w:sz w:val="20"/>
          <w:szCs w:val="20"/>
          <w:color w:val="auto"/>
        </w:rPr>
        <w:t>: The average selling prices for certain of our products tend to decrease over their life cycles, and customers put pressure on suppliers to lower prices even when production costs are increasing. Further, increased competition from low-cost suppliers around the world has put additional pressures on pricing. Any drop in demand for our products or increase in supply of competitive products could also cause a significant drop in our average sales prices.</w:t>
      </w:r>
    </w:p>
    <w:p>
      <w:pPr>
        <w:spacing w:after="0" w:line="199" w:lineRule="exact"/>
        <w:rPr>
          <w:rFonts w:ascii="Arial" w:cs="Arial" w:eastAsia="Arial" w:hAnsi="Arial"/>
          <w:sz w:val="20"/>
          <w:szCs w:val="20"/>
          <w:color w:val="auto"/>
        </w:rPr>
      </w:pPr>
    </w:p>
    <w:p>
      <w:pPr>
        <w:jc w:val="both"/>
        <w:ind w:left="940" w:hanging="275"/>
        <w:spacing w:after="0" w:line="263" w:lineRule="auto"/>
        <w:tabs>
          <w:tab w:leader="none" w:pos="940"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Increases in Material Costs</w:t>
      </w:r>
      <w:r>
        <w:rPr>
          <w:rFonts w:ascii="Arial" w:cs="Arial" w:eastAsia="Arial" w:hAnsi="Arial"/>
          <w:sz w:val="19"/>
          <w:szCs w:val="19"/>
          <w:color w:val="auto"/>
        </w:rPr>
        <w:t>: While we continually strive to negotiate better pricing for components and raw materials, there are many factors that could lead to higher material costs, or premiums incurred for expedited orders, including an increase in industry demand for or supplier shortages of certain components, or inflationary pressures. Further, commodity prices, especially those pertaining to gold and copper, can be volatile. Fluctuations in these prices and other commodity prices associated with Bel's raw materials will have a corresponding impact on our profit margins.</w:t>
      </w:r>
    </w:p>
    <w:p>
      <w:pPr>
        <w:spacing w:after="0" w:line="185" w:lineRule="exact"/>
        <w:rPr>
          <w:rFonts w:ascii="Arial" w:cs="Arial" w:eastAsia="Arial" w:hAnsi="Arial"/>
          <w:sz w:val="19"/>
          <w:szCs w:val="19"/>
          <w:color w:val="auto"/>
        </w:rPr>
      </w:pPr>
    </w:p>
    <w:p>
      <w:pPr>
        <w:jc w:val="both"/>
        <w:ind w:left="940" w:hanging="275"/>
        <w:spacing w:after="0" w:line="268" w:lineRule="auto"/>
        <w:tabs>
          <w:tab w:leader="none" w:pos="940"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Increases in Labor Costs</w:t>
      </w:r>
      <w:r>
        <w:rPr>
          <w:rFonts w:ascii="Arial" w:cs="Arial" w:eastAsia="Arial" w:hAnsi="Arial"/>
          <w:sz w:val="19"/>
          <w:szCs w:val="19"/>
          <w:color w:val="auto"/>
        </w:rPr>
        <w:t>: Wage rates, particularly in the PRC, Mexico, India and Slovakia where the majority of our manufacturing associates are located, have been gradually increasing in recent years as government-mandated increases in the minimum wage rate in these jurisdictions cause an increase in our overall pay scale. Labor costs can also be impacted by fluctuations in the exchange rates in which local wages are paid as compared to the U.S. dollar.</w:t>
      </w:r>
    </w:p>
    <w:p>
      <w:pPr>
        <w:spacing w:after="0" w:line="177" w:lineRule="exact"/>
        <w:rPr>
          <w:rFonts w:ascii="Arial" w:cs="Arial" w:eastAsia="Arial" w:hAnsi="Arial"/>
          <w:sz w:val="19"/>
          <w:szCs w:val="19"/>
          <w:color w:val="auto"/>
        </w:rPr>
      </w:pPr>
    </w:p>
    <w:p>
      <w:pPr>
        <w:jc w:val="both"/>
        <w:ind w:left="940" w:hanging="275"/>
        <w:spacing w:after="0" w:line="256" w:lineRule="auto"/>
        <w:tabs>
          <w:tab w:leader="none" w:pos="940"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Imposition of Tariffs</w:t>
      </w:r>
      <w:r>
        <w:rPr>
          <w:rFonts w:ascii="Arial" w:cs="Arial" w:eastAsia="Arial" w:hAnsi="Arial"/>
          <w:sz w:val="19"/>
          <w:szCs w:val="19"/>
          <w:color w:val="auto"/>
        </w:rPr>
        <w:t>: Governments may impose tariffs to raise domestic revenue, protect domestic industries or exert political leverage over another country. Bel is a global organization with a material volume of shipments of raw materials, work in progress and finished goods into and out of the U.S. to and from a number of other countries, including but not limited to the PRC, Mexico, Israel, India and throughout Europe. Any new or increase in tariffs imposed either by the U.S. government on foreign imports or by a foreign government on U.S. exports related to the countries in which Bel transacts business could lead to reduced margins or increased prices that could cause decreased customer demand. For additional information regarding risks associated with tariffs and the imposition of new or increased tariff rates, see the discussion set forth below under the caption, "</w:t>
      </w:r>
      <w:r>
        <w:rPr>
          <w:rFonts w:ascii="Arial" w:cs="Arial" w:eastAsia="Arial" w:hAnsi="Arial"/>
          <w:sz w:val="19"/>
          <w:szCs w:val="19"/>
          <w:i w:val="1"/>
          <w:iCs w:val="1"/>
          <w:color w:val="auto"/>
        </w:rPr>
        <w:t>Changes in trade policies and tariffs and other factors beyond our control remain</w:t>
      </w:r>
      <w:r>
        <w:rPr>
          <w:rFonts w:ascii="Arial" w:cs="Arial" w:eastAsia="Arial" w:hAnsi="Arial"/>
          <w:sz w:val="19"/>
          <w:szCs w:val="19"/>
          <w:color w:val="auto"/>
        </w:rPr>
        <w:t xml:space="preserve"> </w:t>
      </w:r>
      <w:r>
        <w:rPr>
          <w:rFonts w:ascii="Arial" w:cs="Arial" w:eastAsia="Arial" w:hAnsi="Arial"/>
          <w:sz w:val="19"/>
          <w:szCs w:val="19"/>
          <w:i w:val="1"/>
          <w:iCs w:val="1"/>
          <w:color w:val="auto"/>
        </w:rPr>
        <w:t>uncertain and may materially adversely impact our results. The imposition of new or increased tariffs and trade restrictions, particularly with respect to the PRC and Mexico, may materially adversely affect our business, financial condition, and results of operations."</w:t>
      </w:r>
    </w:p>
    <w:p>
      <w:pPr>
        <w:spacing w:after="0" w:line="187"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Profit margins will be materially and adversely impacted if we are not able to reduce our costs of production, introduce technological innovations as sales prices decline, or pass through cost increases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2240" w:h="15840" w:orient="portrait"/>
          <w:cols w:equalWidth="0" w:num="1">
            <w:col w:w="10800"/>
          </w:cols>
          <w:pgMar w:left="720" w:top="557" w:right="720" w:bottom="0" w:gutter="0" w:footer="0" w:header="0"/>
        </w:sectPr>
      </w:pPr>
    </w:p>
    <w:bookmarkStart w:id="25" w:name="page26"/>
    <w:bookmarkEnd w:id="25"/>
    <w:p>
      <w:pPr>
        <w:jc w:val="both"/>
        <w:spacing w:after="0" w:line="274" w:lineRule="auto"/>
        <w:rPr>
          <w:sz w:val="20"/>
          <w:szCs w:val="20"/>
          <w:color w:val="auto"/>
        </w:rPr>
      </w:pPr>
      <w:r>
        <w:rPr>
          <w:rFonts w:ascii="Arial" w:cs="Arial" w:eastAsia="Arial" w:hAnsi="Arial"/>
          <w:sz w:val="19"/>
          <w:szCs w:val="19"/>
          <w:b w:val="1"/>
          <w:bCs w:val="1"/>
          <w:i w:val="1"/>
          <w:iCs w:val="1"/>
          <w:color w:val="auto"/>
        </w:rPr>
        <w:t>Changes in trade policies and tariffs and other factors beyond our control remain uncertain and may materially adversely impact our results. The imposition of new or increased tariffs and trade restrictions, particularly with respect to the PRC and Mexico, may materially adversely affect our business, financial condition, and results of operations.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significant portion of our electronic components, sub-assemblies, and finished products are manufactured in or sourced from the PRC and Mexico. Additionally, as a global organization our business involves a material volume of shipments into and out of the U.S. to and from a number of other countries, including India, Israel and throughout Europe. The evolving regulatory landscape including the implementation and modification of tariffs, trade restrictions, and changes in trade agreements involving the aforementioned countries among others, together with general uncertainty about future changes in policy (including any new regulations, increased tariff rates, new tariffs or trade restrictions that may be implemented), could substantially increase our operating costs, reduce demand for our products and disrupt our supply chain. On February 20, 2026, the Supreme Court of the United States issued its decision in Learning Resources, Inc. v. Trump, striking down tariffs previously enacted by the Administration under the International Emergency Economic Powers Act (“IEEPA”) as invalid, and holding that IEEPA does not authorize the President to impose tariffs. However, the full impact and implications of the Court’s decision are not immediately clear amidst the rapidly-evolving regulatory landscape and the arena of international trade, and there remains great uncertainty as to what responses will emerge in light of the Court’s decision, including with respect to tariffs, international trade agreements, and international trade generally. For example, following and notwithstanding the Court’s ruling, the U.S. Congress could act in its discretion to codify tariffs, including ones similar to, more extensive and/or at higher rates than the duties invalidated by the Court’s decision; the Administration could act to impose duties or alternative tariffs under laws other than the IEEPA statute addressed in the Court’s decision; the state of bilateral and multilateral trade agreements is and may continue to be uncertain; foreign countries may yet impose tariffs (including retaliatory tariffs) or increase duty rates, among other uncertainties. At this time, following the tariffs enacted by the Administration and the subsequent Supreme Court ruling, it remains unclear what further measures will be implemented in response or if additional countries may impose retaliatory tariffs. Any new or continued trade disputes or increased tensions between the U.S. and other countries, and any governmental actions, including further increases of existing tariffs or the imposition of new tariffs, may further exacerbate any increases to our operating costs, decreases in demand for our products, and disruptions to our supply chain. While we continue to actively monitor the evolving and ever-changing regulatory landscape and to implement strategies intended to mitigate these impacts, including diversifying our manufacturing footprint and seeking alternative suppliers, these efforts may not be fully successful and could result in increased costs, delayed shipments, and reduced margins.</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Specifically regarding the PRC, actions by the U.S. government to impose tariffs on Chinese-origin goods, particularly in the electronics and semiconductor sectors, have increased our production and procurement costs. These or any similar tariffs or duties, combined with potential retaliatory measures by Chinese authorities, could further increase the cost of our products and components or limit our ability to source critical materials and parts. Additionally, ongoing geopolitical tensions and potential expansion of export controls or restrictions on technology transfers could further complicate our supply chain operations and impact our ability to maintain competitive pricing.</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With respect to our Mexican manufacturing operations and sourcing activities, changes in trade policies, including potential modifications to or withdrawal from existing trade agreements, could result in increased tariffs and other trade barriers. The United States-Mexico-Canada Agreement (USMCA) is scheduled for a comprehensive review and potential renewal in 2026, and if it is extended on less favorable terms, Bel could face increased risks related to supply chain disruptions, higher tariffs, and reduced market access throughout North America. The renegotiation process will address key structural changes, trade imbalances, and heightened geopolitical competition, potentially resulting in revised rules of origin, labor obligations, and domestic policy requirements that may adversely impact Bel’s operations and cost structure. Such changes could necessitate significant modifications to our regional manufacturing strategy and supply chain organization, potentially resulting in supply chain disruptions and inventory management challenges leading to higher input costs, increased manufacturing costs and a potential loss of customers. If the agreement expires or undergoes significant revision, Bel may need to rapidly adapt to new trade regulations and market conditions, which could have a material adverse effect on our business, financial condition, and results of operations.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Our efforts to mitigate these risks through supply chain diversification, pricing adjustments, and operational restructuring may not be successful and could result in:</w:t>
      </w:r>
    </w:p>
    <w:p>
      <w:pPr>
        <w:spacing w:after="0" w:line="168" w:lineRule="exact"/>
        <w:rPr>
          <w:sz w:val="20"/>
          <w:szCs w:val="20"/>
          <w:color w:val="auto"/>
        </w:rPr>
      </w:pPr>
    </w:p>
    <w:p>
      <w:pPr>
        <w:ind w:left="1160" w:hanging="356"/>
        <w:spacing w:after="0"/>
        <w:tabs>
          <w:tab w:leader="none" w:pos="116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Reduced profit margins if we are unable to pass increased costs to customers</w:t>
      </w:r>
    </w:p>
    <w:p>
      <w:pPr>
        <w:spacing w:after="0" w:line="34" w:lineRule="exact"/>
        <w:rPr>
          <w:rFonts w:ascii="Arial" w:cs="Arial" w:eastAsia="Arial" w:hAnsi="Arial"/>
          <w:sz w:val="20"/>
          <w:szCs w:val="20"/>
          <w:color w:val="auto"/>
        </w:rPr>
      </w:pPr>
    </w:p>
    <w:p>
      <w:pPr>
        <w:ind w:left="1160" w:hanging="356"/>
        <w:spacing w:after="0"/>
        <w:tabs>
          <w:tab w:leader="none" w:pos="1160" w:val="left"/>
        </w:tabs>
        <w:numPr>
          <w:ilvl w:val="0"/>
          <w:numId w:val="9"/>
        </w:numPr>
        <w:rPr>
          <w:rFonts w:ascii="Arial" w:cs="Arial" w:eastAsia="Arial" w:hAnsi="Arial"/>
          <w:sz w:val="20"/>
          <w:szCs w:val="20"/>
          <w:color w:val="auto"/>
        </w:rPr>
      </w:pPr>
      <w:r>
        <w:rPr>
          <w:rFonts w:ascii="Arial" w:cs="Arial" w:eastAsia="Arial" w:hAnsi="Arial"/>
          <w:sz w:val="20"/>
          <w:szCs w:val="20"/>
          <w:color w:val="auto"/>
        </w:rPr>
        <w:t>Loss of market share to competitors with different supply chain structures</w:t>
      </w:r>
    </w:p>
    <w:p>
      <w:pPr>
        <w:spacing w:after="0" w:line="8" w:lineRule="exact"/>
        <w:rPr>
          <w:rFonts w:ascii="Arial" w:cs="Arial" w:eastAsia="Arial" w:hAnsi="Arial"/>
          <w:sz w:val="20"/>
          <w:szCs w:val="20"/>
          <w:color w:val="auto"/>
        </w:rPr>
      </w:pPr>
    </w:p>
    <w:p>
      <w:pPr>
        <w:ind w:left="1160" w:hanging="356"/>
        <w:spacing w:after="0"/>
        <w:tabs>
          <w:tab w:leader="none" w:pos="116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Increased operating costs from maintaining redundant supply sources</w:t>
      </w:r>
    </w:p>
    <w:p>
      <w:pPr>
        <w:spacing w:after="0" w:line="8" w:lineRule="exact"/>
        <w:rPr>
          <w:rFonts w:ascii="Arial" w:cs="Arial" w:eastAsia="Arial" w:hAnsi="Arial"/>
          <w:sz w:val="20"/>
          <w:szCs w:val="20"/>
          <w:color w:val="auto"/>
        </w:rPr>
      </w:pPr>
    </w:p>
    <w:p>
      <w:pPr>
        <w:ind w:left="1160" w:hanging="356"/>
        <w:spacing w:after="0"/>
        <w:tabs>
          <w:tab w:leader="none" w:pos="1160" w:val="left"/>
        </w:tabs>
        <w:numPr>
          <w:ilvl w:val="0"/>
          <w:numId w:val="9"/>
        </w:numPr>
        <w:rPr>
          <w:rFonts w:ascii="Arial" w:cs="Arial" w:eastAsia="Arial" w:hAnsi="Arial"/>
          <w:sz w:val="20"/>
          <w:szCs w:val="20"/>
          <w:color w:val="auto"/>
        </w:rPr>
      </w:pPr>
      <w:r>
        <w:rPr>
          <w:rFonts w:ascii="Arial" w:cs="Arial" w:eastAsia="Arial" w:hAnsi="Arial"/>
          <w:sz w:val="20"/>
          <w:szCs w:val="20"/>
          <w:color w:val="auto"/>
        </w:rPr>
        <w:t>Additional capital expenditures to relocate or duplicate manufacturing capabilities</w:t>
      </w:r>
    </w:p>
    <w:p>
      <w:pPr>
        <w:spacing w:after="0" w:line="8" w:lineRule="exact"/>
        <w:rPr>
          <w:rFonts w:ascii="Arial" w:cs="Arial" w:eastAsia="Arial" w:hAnsi="Arial"/>
          <w:sz w:val="20"/>
          <w:szCs w:val="20"/>
          <w:color w:val="auto"/>
        </w:rPr>
      </w:pPr>
    </w:p>
    <w:p>
      <w:pPr>
        <w:ind w:left="1160" w:hanging="356"/>
        <w:spacing w:after="0"/>
        <w:tabs>
          <w:tab w:leader="none" w:pos="11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Potential quality control challenges from new or alternate suppliers</w:t>
      </w:r>
    </w:p>
    <w:p>
      <w:pPr>
        <w:spacing w:after="0" w:line="8" w:lineRule="exact"/>
        <w:rPr>
          <w:rFonts w:ascii="Arial" w:cs="Arial" w:eastAsia="Arial" w:hAnsi="Arial"/>
          <w:sz w:val="20"/>
          <w:szCs w:val="20"/>
          <w:color w:val="auto"/>
        </w:rPr>
      </w:pPr>
    </w:p>
    <w:p>
      <w:pPr>
        <w:ind w:left="1160" w:hanging="356"/>
        <w:spacing w:after="0"/>
        <w:tabs>
          <w:tab w:leader="none" w:pos="116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Increased complexity in regulatory compliance and trade documentation</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continuation or escalation of trade tensions, particularly with the PRC and Mexico, could result in material adverse effects on our business that may not be fully mitigated by our ongoing adaptation efforts. Additionally, the uncertainty surrounding future trade policies and potential regulatory changes complicates our long-term planning and investment decisions, potentially affecting our competitive position in the global electronics market.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2240" w:h="15840" w:orient="portrait"/>
          <w:cols w:equalWidth="0" w:num="1">
            <w:col w:w="10800"/>
          </w:cols>
          <w:pgMar w:left="720" w:top="557" w:right="720" w:bottom="0" w:gutter="0" w:footer="0" w:header="0"/>
        </w:sectPr>
      </w:pPr>
    </w:p>
    <w:bookmarkStart w:id="26" w:name="page27"/>
    <w:bookmarkEnd w:id="26"/>
    <w:p>
      <w:pPr>
        <w:ind w:left="60"/>
        <w:spacing w:after="0"/>
        <w:rPr>
          <w:sz w:val="20"/>
          <w:szCs w:val="20"/>
          <w:color w:val="auto"/>
        </w:rPr>
      </w:pPr>
      <w:r>
        <w:rPr>
          <w:rFonts w:ascii="Arial" w:cs="Arial" w:eastAsia="Arial" w:hAnsi="Arial"/>
          <w:sz w:val="20"/>
          <w:szCs w:val="20"/>
          <w:b w:val="1"/>
          <w:bCs w:val="1"/>
          <w:i w:val="1"/>
          <w:iCs w:val="1"/>
          <w:color w:val="auto"/>
        </w:rPr>
        <w:t>Our backlog figures may not be reliable indicators.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While most of Bel’s orders are non-cancellable and non-returnable, and are subject to penalty if cancelled, Bel has historically worked with large customers to provide for cancellation if no costs have yet been incurred by Bel. Nonetheless, some orders that comprise our backlog may be delayed, accelerated, or canceled by customers. Customers may occasionally double order from multiple sources to ensure timely delivery when lead times are particularly long, and often cancel orders when business is weak or inventories are excessive. Additional factors that could cause Bel to fail to ship orders comprising our backlog include unanticipated supply difficulties, changes in customer demand, and new customer designs. Due to these factors, we cannot be certain that the amount of our backlog equals or exceeds the level of orders that will ultimately be delivered, and backlog may not be a reliable indicator of the timing of future sales. Our results of operations could be adversely impacted if customers cancel a material portion of orders in our backlog, even with our policies in place.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If our cash flows and capital resources are insufficient to fund our debt service obligations, we could face substantial liquidity problems and could be forced to reduce or delay acquisitions,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 Our Credit Agreement restricts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Our inability to generate sufficient cash flows to satisfy our debt obligations, or to refinance our indebtedness on commercially reasonable terms or at all, would materially and adversely affect our consolidated financial position and consolidated results of operations. If we cannot make scheduled payments on our debt, we will be in default, the lenders under the Credit Agreement could terminate their commitments to loan money, the lenders could foreclose against the assets securing their borrowings and we could be forced into bankruptcy or liquidation.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i w:val="1"/>
          <w:iCs w:val="1"/>
          <w:color w:val="auto"/>
        </w:rPr>
        <w:t>Our level of indebtedness could negatively impact our access to the capital markets and our ability to satisfy financial covenants under our existing Credit Agreement.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have incurred substantial amounts of indebtedness including to fund the acquisition of Enercon in 2024, and we may need to incur additional indebtedness to finance operations or for other general corporate purposes. Our consolidated principal amount of outstanding indebtedness was $197.5 million at December 31, 2025, resulting in a Leverage Ratio of 1.4x Consolidated EBITDA, each as defined and calculated in accordance with our Credit Agreement. Accordingly, our U.S. debt service requirements are significant in relation to our U.S. revenue and cash flow. This leverage exposes us to risk in the event of downturns in our business, in our industry or in the economy generally, and may impair our operating flexibility and our ability to compete effectively. Our current Credit Agreement requires us to maintain certain covenant ratios. For example, the applicable Credit Agreement covenant pertaining to the Leverage Ratio referenced above provides, subject to certain exceptions, that our Leverage Ratio must not exceed 3.50 to 1.00. Additionally, the interest rate that we pay under our Credit Agreement increases as our Leverage Ratio increases. If we do not continue to satisfy the required ratios including the Leverage Ratio or receive waivers from our lenders, we will be in default under the Credit Agreement, which could result in an accelerated maturity of our debt obligations. We cannot assure investors that we will be able to access private or public debt or equity on satisfactory terms, or at all. Any equity financing that could be arranged may dilute existing shareholders and any debt financing that could be arranged may result in the imposition of more stringent financial and operating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2240" w:h="15840" w:orient="portrait"/>
          <w:cols w:equalWidth="0" w:num="1">
            <w:col w:w="10800"/>
          </w:cols>
          <w:pgMar w:left="720" w:top="787" w:right="720" w:bottom="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LEGAL, TAX AND REGULATORY RISKS</w:t>
      </w:r>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We may be sued by third parties for alleged infringement of their proprietary rights and we may incur defense costs and possibly royalty obligations or lose the right to use technology important to our business.</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From time to time, we receive claims by third parties asserting that our products violate their intellectual property rights. Any intellectual property claims, with or without merit, could be time consuming and expensive to litigate or settle and could divert management attention from administering our business. A third-party asserting infringement claims against us or our customers with respect to our current or future products may materially and adversely affect us by, for example, causing us to enter into costly royalty arrangements or forcing us to incur settlement or litigation costs.</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i w:val="1"/>
          <w:iCs w:val="1"/>
          <w:color w:val="auto"/>
        </w:rPr>
        <w:t>We are subject to taxation in multiple jurisdictions. As a result, any adverse development in the tax laws of any of these jurisdictions or any disagreement with our tax positions could have a material adverse effect on our business, consolidated financial condition or consolidated results of operations.</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are subject to taxation in, and to the tax laws and regulations of, multiple jurisdictions as a result of the international scope of our operations and our corporate and financing structure. We are also subject to transfer pricing laws with respect to our intercompany transactions, including those relating to the flow of funds among our companies. Adverse developments in fiscal or tax laws, regulations or policies, or any change in position regarding the application, administration or interpretation thereof, in any applicable jurisdiction, could have a material adverse effect on our business, consolidated financial condition or consolidated results of our operations. In addition, the tax authorities in any applicable jurisdiction, including the United States, may disagree with the positions we have taken or intend to take regarding the tax treatment or characterization of any of our transactions. If any applicable tax authorities, including U.S. tax authorities, were to successfully challenge the tax treatment or characterization of any of our transactions, it could have a material adverse effect on our business, consolidated financial condition or consolidated results of our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results of operations may be materially and adversely impacted by environmental and other regulations.</w:t>
      </w: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manufacturing operations, products and/or product packaging are subject to environmental laws and regulations governing air emissions; wastewater discharges; the handling, disposal and remediation of hazardous substances, wastes and certain chemicals used or generated in our manufacturing processes; employee health and safety labeling or other notifications with respect to the content or other aspects of our processes, products or packaging; restrictions on the use of certain materials in or on design aspects of our products or product packaging; and responsibility for disposal of products or product packaging. Discussions and proposals related to gas emissions and climate change have increasingly become the subject of substantial attention; additional regulation in this area could have the effect of restricting our business operations or increasing our operating costs. More stringent environmental regulations may be enacted in the future, and we cannot presently determine the modifications, if any, in our operations that any such future regulations might require, or the cost of compliance with these regulations.</w:t>
      </w:r>
    </w:p>
    <w:p>
      <w:pPr>
        <w:spacing w:after="0" w:line="170" w:lineRule="exact"/>
        <w:rPr>
          <w:sz w:val="20"/>
          <w:szCs w:val="20"/>
          <w:color w:val="auto"/>
        </w:rPr>
      </w:pPr>
    </w:p>
    <w:p>
      <w:pPr>
        <w:jc w:val="both"/>
        <w:spacing w:after="0" w:line="350" w:lineRule="auto"/>
        <w:rPr>
          <w:sz w:val="20"/>
          <w:szCs w:val="20"/>
          <w:color w:val="auto"/>
        </w:rPr>
      </w:pPr>
      <w:r>
        <w:rPr>
          <w:rFonts w:ascii="Arial" w:cs="Arial" w:eastAsia="Arial" w:hAnsi="Arial"/>
          <w:sz w:val="16"/>
          <w:szCs w:val="16"/>
          <w:b w:val="1"/>
          <w:bCs w:val="1"/>
          <w:i w:val="1"/>
          <w:iCs w:val="1"/>
          <w:color w:val="auto"/>
        </w:rPr>
        <w:t>We are subject to, and may continue to be subject to, incremental costs, risks, and regulations associated with global environmental and sustainability initiatives. Evolving expectations relating to environmental, social and governance considerations expose us to potential liabilities, increased costs, reputational harm and other adverse effects on our business.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There is heightened public and regulatory scrutiny regarding environmental sustainability and climate impact. This increased focus has resulted in numerous international frameworks, regulatory requirements, and industry standards. In addition to general environmental risks whereby we may be adversely affected by severe weather patterns and environmental events, we face evolving compliance obligations related to sustainability reporting, carbon footprint reduction, and environmental impact mitigation. Moreover, our key customers and partners are implementing increasingly stringent environmental performance criteria within their value chains. Any actual or perceived deficiency in meeting these standards could materially impact our market position, customer relationships, and overall business performance.</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Given our extensive operational presence across multiple jurisdictions, emerging environmental regulations beyond our current compliance programs could impose significant additional burdens. These may include enhanced monitoring requirements, technology upgrades, operational modifications, and expanded reporting obligations. The associated costs could materially affect our operating expenses, capital allocation decisions, and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2240" w:h="15840" w:orient="portrait"/>
          <w:cols w:equalWidth="0" w:num="1">
            <w:col w:w="10800"/>
          </w:cols>
          <w:pgMar w:left="720" w:top="551" w:right="720" w:bottom="0" w:gutter="0" w:footer="0" w:header="0"/>
        </w:sectPr>
      </w:pPr>
    </w:p>
    <w:bookmarkStart w:id="28" w:name="page29"/>
    <w:bookmarkEnd w:id="28"/>
    <w:p>
      <w:pPr>
        <w:jc w:val="both"/>
        <w:spacing w:after="0" w:line="256" w:lineRule="auto"/>
        <w:rPr>
          <w:sz w:val="20"/>
          <w:szCs w:val="20"/>
          <w:color w:val="auto"/>
        </w:rPr>
      </w:pPr>
      <w:r>
        <w:rPr>
          <w:rFonts w:ascii="Arial" w:cs="Arial" w:eastAsia="Arial" w:hAnsi="Arial"/>
          <w:sz w:val="19"/>
          <w:szCs w:val="19"/>
          <w:color w:val="auto"/>
        </w:rPr>
        <w:t>Regulatory frameworks continue to evolve rapidly across our key markets. The European Union's enhanced environmental reporting framework introduces comprehensive sustainability disclosure requirements affecting both domestic and international operators. In the United States, recent federal initiatives sought to establish new environmental disclosure standards for public companies, though implementation timelines were stayed by ongoing legal review and in March 2025, the SEC announced that it had voted to end its defense of the challenged rules regarding enhancement and standardization of climate-related disclosures. However, the withdrawal of the SEC’s defense does mean these or similar SEC disclosures will not become mandatory in the future, including in the event the SEC’s priorities should change, and climate-related disclosures are still rapidly proliferating at the U.S. state level and internationally. We continue to actively monitor the rapidly evolving regulatory landscape to be prepared to develop compliance frameworks for applicable requirements, any of which if implemented may require substantial operational adjustments and additional incremental resources.</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At the state level, several jurisdictions have enacted or proposed environmental accountability legislation with varying requirements and enforcement mechanisms. These regional variations create additional complexity in maintaining comprehensive compliance programs. We anticipate increased administrative burden and compliance costs as these requirements come into effect. Beyond regulatory compliance, we face several emerging environmental and sustainability risks, including but not limited to:</w:t>
      </w:r>
    </w:p>
    <w:p>
      <w:pPr>
        <w:spacing w:after="0" w:line="162" w:lineRule="exact"/>
        <w:rPr>
          <w:sz w:val="20"/>
          <w:szCs w:val="20"/>
          <w:color w:val="auto"/>
        </w:rPr>
      </w:pPr>
    </w:p>
    <w:p>
      <w:pPr>
        <w:ind w:left="1040" w:hanging="356"/>
        <w:spacing w:after="0" w:line="257" w:lineRule="auto"/>
        <w:tabs>
          <w:tab w:leader="none" w:pos="10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Operational Risks – requirements to lower greenhouse gas emissions and improve energy efficiency may necessitate changes in business operations, potentially leading to disruptions.</w:t>
      </w:r>
    </w:p>
    <w:p>
      <w:pPr>
        <w:spacing w:after="0" w:line="1" w:lineRule="exact"/>
        <w:rPr>
          <w:rFonts w:ascii="Arial" w:cs="Arial" w:eastAsia="Arial" w:hAnsi="Arial"/>
          <w:sz w:val="20"/>
          <w:szCs w:val="20"/>
          <w:color w:val="auto"/>
        </w:rPr>
      </w:pPr>
    </w:p>
    <w:p>
      <w:pPr>
        <w:ind w:left="1040" w:hanging="356"/>
        <w:spacing w:after="0"/>
        <w:tabs>
          <w:tab w:leader="none" w:pos="10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Litigation Risks – climate-related lawsuits based on corporate disclosures and/or operational practices may arise.</w:t>
      </w:r>
    </w:p>
    <w:p>
      <w:pPr>
        <w:spacing w:after="0" w:line="20" w:lineRule="exact"/>
        <w:rPr>
          <w:rFonts w:ascii="Arial" w:cs="Arial" w:eastAsia="Arial" w:hAnsi="Arial"/>
          <w:sz w:val="19"/>
          <w:szCs w:val="19"/>
          <w:color w:val="auto"/>
        </w:rPr>
      </w:pPr>
    </w:p>
    <w:p>
      <w:pPr>
        <w:ind w:left="1040" w:hanging="356"/>
        <w:spacing w:after="0" w:line="248" w:lineRule="auto"/>
        <w:tabs>
          <w:tab w:leader="none" w:pos="10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Reputational Risks – customer, investor, and stakeholder expectations regarding any climate-related commitments or goals could influence business relationships and overall market perception.</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Our ability to effectively navigate these evolving environmental requirements while maintaining operational efficiency and market competitiveness may have material impacts on our financial condition, operational results, and strategic positioning.</w:t>
      </w:r>
    </w:p>
    <w:p>
      <w:pPr>
        <w:spacing w:after="0" w:line="13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Many governments, regulators, investors, employees, customers and other stakeholders have focused in recent years on environmental, social and governance (“ESG”) considerations relating to businesses. At the same time, there are efforts by some stakeholders and policymakers to reduce companies’ attention to certain ESG-related matters. Advocates and opponents of ESG matters have from time to time resorted to a range of activism to promote their viewpoints, which may require us to incur additional costs or otherwise adversely impact our business. Some stakeholders may disagree with our goals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any goals that we may set, further our initiatives, adhere to our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and evolving data privacy laws and regulations could impact our business and expose us to increased liability.</w:t>
      </w:r>
    </w:p>
    <w:p>
      <w:pPr>
        <w:spacing w:after="0" w:line="2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global business is subject to complex and changing laws and regulations including but not limited to privacy, data security and data localization. Evolving foreign events may adversely affect our revenues and could subject us to new regulatory costs and challenges (such as the transfer of personal data between the EU and the United Kingdom), in addition to other adverse effects that we are unable to effectively anticipate. This may impose significant requirements on how we collect, process and transfer personal data, as well as significant financial penalties for non-compliance. Any inability to adequately address privacy concerns, even if unfounded, or to comply with the more complex privacy or data protection laws, regulations and privacy standards, could lead to significant financial penalties, which may result in a material and adverse effect on our consolidated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auto"/>
        </w:rPr>
        <w:t>As a result of protective provisions in the Company's Restated Certificate of Incorporation, as amended, the voting power of holders of Class A common shares whose voting rights are not suspended (including officers, directors and principal shareholders) may be increased at future meetings of the Company's shareholders.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Company's Restated Certificate of Incorporation, as amended, provides that if a shareholder, other than shareholders subject to specific exceptions, acquires (after the date of the Company's 1998 recapitalization) 10% or more of the outstanding Class A common stock and does not own an equal or greater percentage of all then outstanding shares of both Class A and Class B common stock (all of which common stock must have been acquired after the date of the 1998 recapitalization), such shareholder must, within 90 days of the trigger date, purchase Class B common shares, in an amount and at a price determined in accordance with a formula described in the Company's Restated Certificate of Incorporation, as amended, or forfeit its right to vote its Class A common shares. To the extent that the voting rights of particular holders of Class A common stock are suspended as of times when the Company's shareholders vote due to the above-mentioned provisions, such suspension would have the effect of increasing the voting power of those holders of Class A common shares whose voting rights are not suspended.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2240" w:h="15840" w:orient="portrait"/>
          <w:cols w:equalWidth="0" w:num="1">
            <w:col w:w="10800"/>
          </w:cols>
          <w:pgMar w:left="720" w:top="555" w:right="720" w:bottom="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i w:val="1"/>
          <w:iCs w:val="1"/>
          <w:color w:val="auto"/>
        </w:rPr>
        <w:t>Our stock price, like that of many companies, has been and may continue to be volatile.</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market price of our common stock may fluctuate as a result of variations in our quarterly operating results and other factors beyond our control. These fluctuations may be exaggerated if the trading volume of our common stock is low. The market price of our common stock may rise and fall in response to a variety of other factors, including:</w:t>
      </w:r>
    </w:p>
    <w:p>
      <w:pPr>
        <w:spacing w:after="0" w:line="183" w:lineRule="exact"/>
        <w:rPr>
          <w:sz w:val="20"/>
          <w:szCs w:val="20"/>
          <w:color w:val="auto"/>
        </w:rPr>
      </w:pPr>
    </w:p>
    <w:p>
      <w:pPr>
        <w:ind w:left="400" w:hanging="261"/>
        <w:spacing w:after="0"/>
        <w:tabs>
          <w:tab w:leader="none" w:pos="4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Announcements of technological or competitive developments;</w:t>
      </w:r>
    </w:p>
    <w:p>
      <w:pPr>
        <w:spacing w:after="0" w:line="34" w:lineRule="exact"/>
        <w:rPr>
          <w:rFonts w:ascii="Arial" w:cs="Arial" w:eastAsia="Arial" w:hAnsi="Arial"/>
          <w:sz w:val="20"/>
          <w:szCs w:val="20"/>
          <w:color w:val="auto"/>
        </w:rPr>
      </w:pPr>
    </w:p>
    <w:p>
      <w:pPr>
        <w:ind w:left="400" w:hanging="261"/>
        <w:spacing w:after="0"/>
        <w:tabs>
          <w:tab w:leader="none" w:pos="4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General market or economic conditions;</w:t>
      </w:r>
    </w:p>
    <w:p>
      <w:pPr>
        <w:spacing w:after="0" w:line="8" w:lineRule="exact"/>
        <w:rPr>
          <w:rFonts w:ascii="Arial" w:cs="Arial" w:eastAsia="Arial" w:hAnsi="Arial"/>
          <w:sz w:val="20"/>
          <w:szCs w:val="20"/>
          <w:color w:val="auto"/>
        </w:rPr>
      </w:pPr>
    </w:p>
    <w:p>
      <w:pPr>
        <w:ind w:left="400" w:hanging="261"/>
        <w:spacing w:after="0"/>
        <w:tabs>
          <w:tab w:leader="none" w:pos="4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Market or economic conditions specific to particular geographical areas in which we operate;</w:t>
      </w:r>
    </w:p>
    <w:p>
      <w:pPr>
        <w:spacing w:after="0" w:line="8" w:lineRule="exact"/>
        <w:rPr>
          <w:rFonts w:ascii="Arial" w:cs="Arial" w:eastAsia="Arial" w:hAnsi="Arial"/>
          <w:sz w:val="20"/>
          <w:szCs w:val="20"/>
          <w:color w:val="auto"/>
        </w:rPr>
      </w:pPr>
    </w:p>
    <w:p>
      <w:pPr>
        <w:ind w:left="400" w:hanging="261"/>
        <w:spacing w:after="0"/>
        <w:tabs>
          <w:tab w:leader="none" w:pos="4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Acquisitions or strategic alliances by us or our competitors;</w:t>
      </w:r>
    </w:p>
    <w:p>
      <w:pPr>
        <w:spacing w:after="0" w:line="8" w:lineRule="exact"/>
        <w:rPr>
          <w:rFonts w:ascii="Arial" w:cs="Arial" w:eastAsia="Arial" w:hAnsi="Arial"/>
          <w:sz w:val="20"/>
          <w:szCs w:val="20"/>
          <w:color w:val="auto"/>
        </w:rPr>
      </w:pPr>
    </w:p>
    <w:p>
      <w:pPr>
        <w:ind w:left="400" w:hanging="261"/>
        <w:spacing w:after="0"/>
        <w:tabs>
          <w:tab w:leader="none" w:pos="4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ability to achieve our anticipated cost savings from announced restructuring programs;</w:t>
      </w:r>
    </w:p>
    <w:p>
      <w:pPr>
        <w:spacing w:after="0" w:line="8" w:lineRule="exact"/>
        <w:rPr>
          <w:rFonts w:ascii="Arial" w:cs="Arial" w:eastAsia="Arial" w:hAnsi="Arial"/>
          <w:sz w:val="20"/>
          <w:szCs w:val="20"/>
          <w:color w:val="auto"/>
        </w:rPr>
      </w:pPr>
    </w:p>
    <w:p>
      <w:pPr>
        <w:ind w:left="400" w:hanging="261"/>
        <w:spacing w:after="0"/>
        <w:tabs>
          <w:tab w:leader="none" w:pos="4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gain or loss of a significant customer or order;</w:t>
      </w:r>
    </w:p>
    <w:p>
      <w:pPr>
        <w:spacing w:after="0" w:line="8" w:lineRule="exact"/>
        <w:rPr>
          <w:rFonts w:ascii="Arial" w:cs="Arial" w:eastAsia="Arial" w:hAnsi="Arial"/>
          <w:sz w:val="20"/>
          <w:szCs w:val="20"/>
          <w:color w:val="auto"/>
        </w:rPr>
      </w:pPr>
    </w:p>
    <w:p>
      <w:pPr>
        <w:ind w:left="400" w:hanging="261"/>
        <w:spacing w:after="0"/>
        <w:tabs>
          <w:tab w:leader="none" w:pos="4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Changes in the amount or frequency of our payments of dividends or repurchases of our common stock; or</w:t>
      </w:r>
    </w:p>
    <w:p>
      <w:pPr>
        <w:spacing w:after="0" w:line="8" w:lineRule="exact"/>
        <w:rPr>
          <w:rFonts w:ascii="Arial" w:cs="Arial" w:eastAsia="Arial" w:hAnsi="Arial"/>
          <w:sz w:val="20"/>
          <w:szCs w:val="20"/>
          <w:color w:val="auto"/>
        </w:rPr>
      </w:pPr>
    </w:p>
    <w:p>
      <w:pPr>
        <w:ind w:left="400" w:hanging="261"/>
        <w:spacing w:after="0" w:line="245" w:lineRule="auto"/>
        <w:tabs>
          <w:tab w:leader="none" w:pos="4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Changes in estimates of our financial performance or changes in recommendations by securities analysts regarding us or our industry.</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addition, equity securities of many companies have experienced significant price and volume fluctuations even in periods when the capital markets generally are not distressed. These price and volume fluctuations often have been unrelated to the operating performance of the affected companies.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RISKS</w:t>
      </w:r>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The global nature of our operations exposes us to numerous risks that could materially adversely affect our consolidated financial condition and consolidated results of operations.</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manufacture in 8 countries, and our products are distributed in those countries as well as in other parts of the world. A large portion of our manufacturing operations are located outside of the United States and a large portion of our sales are generated outside of the United States. Operations outside of the United States, particularly operations in developing regions, are subject to various risks that may not be present or as significant for our U.S. operations. Economic uncertainty in some of the geographic regions in which we operate, including developing regions, could result in the disruption of commerce and negatively impact cash flows from our operations in those areas.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Risks inherent in our international operations include:</w:t>
      </w:r>
    </w:p>
    <w:p>
      <w:pPr>
        <w:spacing w:after="0" w:line="234" w:lineRule="exact"/>
        <w:rPr>
          <w:sz w:val="20"/>
          <w:szCs w:val="20"/>
          <w:color w:val="auto"/>
        </w:rPr>
      </w:pP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Import and export regulations that could erode profit margins or restrict exports;</w:t>
      </w:r>
    </w:p>
    <w:p>
      <w:pPr>
        <w:spacing w:after="0" w:line="34" w:lineRule="exact"/>
        <w:rPr>
          <w:rFonts w:ascii="Arial" w:cs="Arial" w:eastAsia="Arial" w:hAnsi="Arial"/>
          <w:sz w:val="20"/>
          <w:szCs w:val="20"/>
          <w:color w:val="auto"/>
        </w:rPr>
      </w:pP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Foreign exchange controls and tax rates;</w:t>
      </w:r>
    </w:p>
    <w:p>
      <w:pPr>
        <w:spacing w:after="0" w:line="8" w:lineRule="exact"/>
        <w:rPr>
          <w:rFonts w:ascii="Arial" w:cs="Arial" w:eastAsia="Arial" w:hAnsi="Arial"/>
          <w:sz w:val="20"/>
          <w:szCs w:val="20"/>
          <w:color w:val="auto"/>
        </w:rPr>
      </w:pP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Foreign currency exchange rate fluctuations, including devaluations;</w:t>
      </w:r>
    </w:p>
    <w:p>
      <w:pPr>
        <w:spacing w:after="0" w:line="8" w:lineRule="exact"/>
        <w:rPr>
          <w:rFonts w:ascii="Arial" w:cs="Arial" w:eastAsia="Arial" w:hAnsi="Arial"/>
          <w:sz w:val="20"/>
          <w:szCs w:val="20"/>
          <w:color w:val="auto"/>
        </w:rPr>
      </w:pP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Changes in regional and local economic conditions, including local inflationary pressures;</w:t>
      </w:r>
    </w:p>
    <w:p>
      <w:pPr>
        <w:spacing w:after="0" w:line="8" w:lineRule="exact"/>
        <w:rPr>
          <w:rFonts w:ascii="Arial" w:cs="Arial" w:eastAsia="Arial" w:hAnsi="Arial"/>
          <w:sz w:val="20"/>
          <w:szCs w:val="20"/>
          <w:color w:val="auto"/>
        </w:rPr>
      </w:pP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Difficulty of enforcing agreements and collecting receivables through certain foreign legal systems;</w:t>
      </w:r>
    </w:p>
    <w:p>
      <w:pPr>
        <w:spacing w:after="0" w:line="8" w:lineRule="exact"/>
        <w:rPr>
          <w:rFonts w:ascii="Arial" w:cs="Arial" w:eastAsia="Arial" w:hAnsi="Arial"/>
          <w:sz w:val="20"/>
          <w:szCs w:val="20"/>
          <w:color w:val="auto"/>
        </w:rPr>
      </w:pP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Variations in protection of intellectual property and other legal rights;</w:t>
      </w:r>
    </w:p>
    <w:p>
      <w:pPr>
        <w:spacing w:after="0" w:line="8" w:lineRule="exact"/>
        <w:rPr>
          <w:rFonts w:ascii="Arial" w:cs="Arial" w:eastAsia="Arial" w:hAnsi="Arial"/>
          <w:sz w:val="20"/>
          <w:szCs w:val="20"/>
          <w:color w:val="auto"/>
        </w:rPr>
      </w:pP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More expansive legal rights of foreign unions or works councils;</w:t>
      </w:r>
    </w:p>
    <w:p>
      <w:pPr>
        <w:spacing w:after="0" w:line="8" w:lineRule="exact"/>
        <w:rPr>
          <w:rFonts w:ascii="Arial" w:cs="Arial" w:eastAsia="Arial" w:hAnsi="Arial"/>
          <w:sz w:val="20"/>
          <w:szCs w:val="20"/>
          <w:color w:val="auto"/>
        </w:rPr>
      </w:pP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Changes in labor conditions and difficulties in staffing and managing international operations;</w:t>
      </w:r>
    </w:p>
    <w:p>
      <w:pPr>
        <w:spacing w:after="0" w:line="8" w:lineRule="exact"/>
        <w:rPr>
          <w:rFonts w:ascii="Arial" w:cs="Arial" w:eastAsia="Arial" w:hAnsi="Arial"/>
          <w:sz w:val="20"/>
          <w:szCs w:val="20"/>
          <w:color w:val="auto"/>
        </w:rPr>
      </w:pP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Inability or regulatory limitations on our ability to move goods across borders;</w:t>
      </w:r>
    </w:p>
    <w:p>
      <w:pPr>
        <w:spacing w:after="0" w:line="8" w:lineRule="exact"/>
        <w:rPr>
          <w:rFonts w:ascii="Arial" w:cs="Arial" w:eastAsia="Arial" w:hAnsi="Arial"/>
          <w:sz w:val="20"/>
          <w:szCs w:val="20"/>
          <w:color w:val="auto"/>
        </w:rPr>
      </w:pPr>
    </w:p>
    <w:p>
      <w:pPr>
        <w:ind w:left="1060" w:hanging="275"/>
        <w:spacing w:after="0" w:line="244" w:lineRule="auto"/>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Changes in laws and regulations, including the laws and policies of the United States affecting trade, tariffs and foreign investment;</w:t>
      </w:r>
    </w:p>
    <w:p>
      <w:pPr>
        <w:ind w:left="1060" w:hanging="275"/>
        <w:spacing w:after="0" w:line="271"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governmental actions such as those on transfer or repatriation of funds and trade protection matters, including antidumping duties, tariffs, trade wars, embargoes and prohibitions or restrictions on acquisitions or joint ventures;</w:t>
      </w: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Social plans that prohibit or increase the cost of certain restructuring actions;</w:t>
      </w:r>
    </w:p>
    <w:p>
      <w:pPr>
        <w:spacing w:after="0" w:line="8" w:lineRule="exact"/>
        <w:rPr>
          <w:rFonts w:ascii="Arial" w:cs="Arial" w:eastAsia="Arial" w:hAnsi="Arial"/>
          <w:sz w:val="20"/>
          <w:szCs w:val="20"/>
          <w:color w:val="auto"/>
        </w:rPr>
      </w:pP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potential for nationalization of enterprises or facilities;</w:t>
      </w:r>
    </w:p>
    <w:p>
      <w:pPr>
        <w:spacing w:after="0" w:line="8" w:lineRule="exact"/>
        <w:rPr>
          <w:rFonts w:ascii="Arial" w:cs="Arial" w:eastAsia="Arial" w:hAnsi="Arial"/>
          <w:sz w:val="20"/>
          <w:szCs w:val="20"/>
          <w:color w:val="auto"/>
        </w:rPr>
      </w:pPr>
    </w:p>
    <w:p>
      <w:pPr>
        <w:ind w:left="1060" w:hanging="27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Unsettled political conditions and possible terrorist attacks against U.S. or other interests; and</w:t>
      </w:r>
    </w:p>
    <w:p>
      <w:pPr>
        <w:spacing w:after="0" w:line="8" w:lineRule="exact"/>
        <w:rPr>
          <w:rFonts w:ascii="Arial" w:cs="Arial" w:eastAsia="Arial" w:hAnsi="Arial"/>
          <w:sz w:val="20"/>
          <w:szCs w:val="20"/>
          <w:color w:val="auto"/>
        </w:rPr>
      </w:pPr>
    </w:p>
    <w:p>
      <w:pPr>
        <w:ind w:left="1060" w:hanging="275"/>
        <w:spacing w:after="0" w:line="271" w:lineRule="auto"/>
        <w:tabs>
          <w:tab w:leader="none" w:pos="10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Intergovernmental and other conflicts or actions, including, but not limited to, armed conflict, such as the ongoing military conflicts between Ukraine and Russia, as well as between Israel and its adversaries in the Middle East.</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As a multi-national company, we are faced with increased complexities due to recent changes to the U.S. corporate tax code relating to our unremitted foreign earnings, potential revisions to international tax law treaties, and renegotiated trade deals. In addition, other events, such as the ongoing discussion and negotiations concerning varying levels of tariffs on product imported from the PRC, Mexico, India, Israel and throughout Europe also create a level of uncertainty. If we are unable to anticipate and effectively manage these and other risks, it could have a material and adverse effect on our business, our consolidated results of operations and consolidated financial condition.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2240" w:h="15840" w:orient="portrait"/>
          <w:cols w:equalWidth="0" w:num="1">
            <w:col w:w="10800"/>
          </w:cols>
          <w:pgMar w:left="720" w:top="787" w:right="720" w:bottom="0" w:gutter="0" w:footer="0" w:header="0"/>
        </w:sectPr>
      </w:pPr>
    </w:p>
    <w:bookmarkStart w:id="30" w:name="page31"/>
    <w:bookmarkEnd w:id="30"/>
    <w:p>
      <w:pPr>
        <w:jc w:val="both"/>
        <w:spacing w:after="0" w:line="247" w:lineRule="auto"/>
        <w:rPr>
          <w:sz w:val="20"/>
          <w:szCs w:val="20"/>
          <w:color w:val="auto"/>
        </w:rPr>
      </w:pPr>
      <w:r>
        <w:rPr>
          <w:rFonts w:ascii="Arial" w:cs="Arial" w:eastAsia="Arial" w:hAnsi="Arial"/>
          <w:sz w:val="20"/>
          <w:szCs w:val="20"/>
          <w:color w:val="auto"/>
        </w:rPr>
        <w:t xml:space="preserve">For additional information regarding risks associated with our operations in the PRC, see the discussion set forth above under the caption, </w:t>
      </w:r>
      <w:r>
        <w:rPr>
          <w:rFonts w:ascii="Arial" w:cs="Arial" w:eastAsia="Arial" w:hAnsi="Arial"/>
          <w:sz w:val="20"/>
          <w:szCs w:val="20"/>
          <w:i w:val="1"/>
          <w:iCs w:val="1"/>
          <w:color w:val="auto"/>
        </w:rPr>
        <w:t>"We have substantial manufacturing operations located in the PRC, which exposes us to significant risks that could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materially and adversely affect our business, operations, consolidated financial condition and consolidated results of operations." </w:t>
      </w:r>
      <w:r>
        <w:rPr>
          <w:rFonts w:ascii="Arial" w:cs="Arial" w:eastAsia="Arial" w:hAnsi="Arial"/>
          <w:sz w:val="20"/>
          <w:szCs w:val="20"/>
          <w:color w:val="auto"/>
        </w:rPr>
        <w:t>For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additional information regarding risks associated with our operations in Israel, see the discussion set forth above under the caption, </w:t>
      </w:r>
      <w:r>
        <w:rPr>
          <w:rFonts w:ascii="Arial" w:cs="Arial" w:eastAsia="Arial" w:hAnsi="Arial"/>
          <w:sz w:val="20"/>
          <w:szCs w:val="20"/>
          <w:i w:val="1"/>
          <w:iCs w:val="1"/>
          <w:color w:val="auto"/>
        </w:rPr>
        <w:t>"We may face risks related to conducting business in Israel."</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auto"/>
        </w:rPr>
        <w:t>Cybersecurity risk and the failure to maintain the integrity of our operational or security systems or infrastructure, or those of third parties with which we do business, could have a material adverse effect on our business, consolidated financial condition and consolidated results of operations.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Cybersecurity threats, including but not limited to malware, phishing, credential harvesting, ransomware and other attacks, are rapidly evolving and are becoming increasingly sophisticated, making it difficult to detect and prevent such threats from impacting the Company. Our Company has seen an increased volume of cybersecurity threats and ransomware attempts in 2025 and expects to continue to experience cybersecurity threats from time to time, which pose a risk to the security of our systems and networks and the confidentiality, availability and integrity of our data. Artificial intelligence ("AI") increases cybersecurity risks due to attacks crafted using AI including more effective phishing, false voice or image attacks. There are additional risks associated with utilization of technologies or applications the functionality of which relies upon externalizing data into public AI platforms, including the potential for unauthorized access or manipulation of sensitive information. Disruptions or failures in the physical infrastructure or operating systems that support our businesses and customers, or cybersecurity attacks or security breaches of our networks, systems or applications, could result in the loss of customers and business opportunities, legal liability, regulatory fines, penalties or intervention, other litigation, regulatory and legal risks and the costs associated therewith, reputational damage, reimbursement or other compensatory costs, remediation costs, increased cybersecurity protection costs, additional compliance costs, increased insurance premiums, and lost revenues, damage to the Company's competitiveness, stock price, and long-term shareholder value, any of which could materially adversely affect our business, financial condition and results of operations. While we attempt to mitigate these risks, our systems, networks, products, solutions and services remain potentially vulnerable to advanced and persistent threats. We also maintain and have access to sensitive, confidential or personal data or information in certain of our businesses that is subject to privacy and security laws and regulations. Despite our efforts to protect such sensitive, confidential or personal data or information, our facilities and systems and those of our customers and third-party service providers may be vulnerable to security breaches, theft, fraud, misplaced or lost data, “Acts of God”, programming and/or human errors that could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which in turn could adversely affect our consolidated financial condition and consolidated results of operations.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A loss of the services of the Company's executive officers or other skilled associates could negatively impact our operations and results.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success of the Company's operations is largely dependent upon the performance of its executive officers, managers, engineers and salespeople. Many of these individuals have a significant number of years of experience within the Company and/or the industry in which we compete and would be extremely difficult to replace. The loss of the services of any of these associates may materially and adversely impact our results of operations if we are unable to replace them in a timely manner.</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i w:val="1"/>
          <w:iCs w:val="1"/>
          <w:color w:val="auto"/>
        </w:rPr>
        <w:t>Unresolved Staff Comments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1C.  </w:t>
      </w:r>
      <w:r>
        <w:rPr>
          <w:rFonts w:ascii="Arial" w:cs="Arial" w:eastAsia="Arial" w:hAnsi="Arial"/>
          <w:sz w:val="20"/>
          <w:szCs w:val="20"/>
          <w:b w:val="1"/>
          <w:bCs w:val="1"/>
          <w:i w:val="1"/>
          <w:iCs w:val="1"/>
          <w:color w:val="auto"/>
        </w:rPr>
        <w:t>Cybersecurity</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Bel employs a full-time Cybersecurity Expert who reports directly into our Global Head of IT and Cybersecurity Services. During 2025, the Company worked with third-party cybersecurity specialists to continually enhance the programs Bel has in place. These relationships involve regular communication and collaboration between the Bel cybersecurity team and our third-party providers to share threat intelligence and implement proactive measures to safeguard our systems and data. The Company has continued to invest in IT security, including additional end- user training, using layered defenses, identifying, and protecting critical assets, strengthening monitoring and alerting, and engaging experts. Our cybersecurity team regularly monitors alerts and meets to discuss threat levels, trends, and remediation. Further, we conduct periodic external penetration tests. In addition to assessing our own cybersecurity preparedness, we also consider and evaluate cybersecurity risks associated with the use of third- party service providers that host our applications. The internal business owners of the hosted applications are required to document user access reviews at least annually and provide from the vendor a System and Organization Controls (SOC) 1 or SOC 2 report. Third-party contractors or vendors that require access to our network are given specific limited access to only the specific resource. The access provided expires automatically after a period determined by the project and must follow all Company security measures.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2240" w:h="15840" w:orient="portrait"/>
          <w:cols w:equalWidth="0" w:num="1">
            <w:col w:w="10800"/>
          </w:cols>
          <w:pgMar w:left="720" w:top="555" w:right="720" w:bottom="0" w:gutter="0" w:footer="0" w:header="0"/>
        </w:sectPr>
      </w:pPr>
    </w:p>
    <w:bookmarkStart w:id="31" w:name="page32"/>
    <w:bookmarkEnd w:id="31"/>
    <w:p>
      <w:pPr>
        <w:jc w:val="both"/>
        <w:spacing w:after="0" w:line="274" w:lineRule="auto"/>
        <w:rPr>
          <w:sz w:val="20"/>
          <w:szCs w:val="20"/>
          <w:color w:val="auto"/>
        </w:rPr>
      </w:pPr>
      <w:r>
        <w:rPr>
          <w:rFonts w:ascii="Arial" w:cs="Arial" w:eastAsia="Arial" w:hAnsi="Arial"/>
          <w:sz w:val="18"/>
          <w:szCs w:val="18"/>
          <w:color w:val="auto"/>
        </w:rPr>
        <w:t>The Audit Committee of the Board of Directors is responsible for overseeing the management of cybersecurity risks. The Audit Committee is informed about cybersecurity risks through quarterly reports from the Global Head of IT and Cybersecurity Services and, as necessary, to the full Board. The Audit Committee also reviews and approves the company’s cybersecurity policies and the Company’s Global Head of IT and Cybersecurity Services is responsible for developing and implementing our information security program and reporting on cybersecurity matters to the Board. This includes our overall information security strategy, policy, security engineering, operations and cyber incident detection and response reporting in alignment with Company policies. The current Global Head of IT and Cybersecurity Services has more than 17 years of information technology and program management experience which includes information security, and others on our IT security team have extensive cybersecurity experience and certifications.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2240" w:h="15840" w:orient="portrait"/>
          <w:cols w:equalWidth="0" w:num="1">
            <w:col w:w="10800"/>
          </w:cols>
          <w:pgMar w:left="720" w:top="555" w:right="720" w:bottom="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 xml:space="preserve">Item 2.  </w:t>
      </w:r>
      <w:r>
        <w:rPr>
          <w:rFonts w:ascii="Arial" w:cs="Arial" w:eastAsia="Arial" w:hAnsi="Arial"/>
          <w:sz w:val="20"/>
          <w:szCs w:val="20"/>
          <w:b w:val="1"/>
          <w:bCs w:val="1"/>
          <w:i w:val="1"/>
          <w:iCs w:val="1"/>
          <w:color w:val="auto"/>
        </w:rPr>
        <w:t>Properties</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is headquartered in West Orange, New Jersey. The Company occupies 294,000 square feet of non-manufacturing space, which is used primarily for management, financial accounting, engineering, sales and administrative support. Of this space, the Company leases 187,000 square feet and owns properties of 107,000 square feet.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The Company also operated manufacturing facilities in 8 countries as of December 31, 2025, as detailed below. Approximately 2% of the 1.9 million square feet the Company occupies is owned while the remainder is leased. See Note 19, </w:t>
      </w:r>
      <w:r>
        <w:rPr>
          <w:rFonts w:ascii="Arial" w:cs="Arial" w:eastAsia="Arial" w:hAnsi="Arial"/>
          <w:sz w:val="20"/>
          <w:szCs w:val="20"/>
          <w:i w:val="1"/>
          <w:iCs w:val="1"/>
          <w:color w:val="auto"/>
        </w:rPr>
        <w:t>"Commitments and</w:t>
      </w:r>
      <w:r>
        <w:rPr>
          <w:rFonts w:ascii="Arial" w:cs="Arial" w:eastAsia="Arial" w:hAnsi="Arial"/>
          <w:sz w:val="20"/>
          <w:szCs w:val="20"/>
          <w:color w:val="auto"/>
        </w:rPr>
        <w:t xml:space="preserve"> </w:t>
      </w:r>
      <w:r>
        <w:rPr>
          <w:rFonts w:ascii="Arial" w:cs="Arial" w:eastAsia="Arial" w:hAnsi="Arial"/>
          <w:sz w:val="20"/>
          <w:szCs w:val="20"/>
          <w:i w:val="1"/>
          <w:iCs w:val="1"/>
          <w:color w:val="auto"/>
        </w:rPr>
        <w:t>Contingencies"</w:t>
      </w:r>
      <w:r>
        <w:rPr>
          <w:rFonts w:ascii="Arial" w:cs="Arial" w:eastAsia="Arial" w:hAnsi="Arial"/>
          <w:sz w:val="20"/>
          <w:szCs w:val="20"/>
          <w:color w:val="auto"/>
        </w:rPr>
        <w:t>, for additional information pertaining to leases.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list of the locations of the Company's principal manufacturing facilities at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20"/>
                <w:szCs w:val="20"/>
                <w:color w:val="auto"/>
                <w:w w:val="86"/>
              </w:rPr>
              <w:t>Percentage Used</w:t>
            </w:r>
          </w:p>
        </w:tc>
      </w:tr>
      <w:tr>
        <w:trPr>
          <w:trHeight w:val="227"/>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center"/>
              <w:ind w:right="21"/>
              <w:spacing w:after="0" w:line="227" w:lineRule="exact"/>
              <w:rPr>
                <w:sz w:val="20"/>
                <w:szCs w:val="20"/>
                <w:color w:val="auto"/>
              </w:rPr>
            </w:pPr>
            <w:r>
              <w:rPr>
                <w:rFonts w:ascii="Arial" w:cs="Arial" w:eastAsia="Arial" w:hAnsi="Arial"/>
                <w:sz w:val="20"/>
                <w:szCs w:val="20"/>
                <w:color w:val="auto"/>
                <w:w w:val="94"/>
              </w:rPr>
              <w:t>Approximate</w:t>
            </w:r>
          </w:p>
        </w:tc>
        <w:tc>
          <w:tcPr>
            <w:tcW w:w="2880" w:type="dxa"/>
            <w:vAlign w:val="bottom"/>
          </w:tcPr>
          <w:p>
            <w:pPr>
              <w:jc w:val="center"/>
              <w:spacing w:after="0" w:line="227" w:lineRule="exact"/>
              <w:rPr>
                <w:sz w:val="20"/>
                <w:szCs w:val="20"/>
                <w:color w:val="auto"/>
              </w:rPr>
            </w:pPr>
            <w:r>
              <w:rPr>
                <w:rFonts w:ascii="Arial" w:cs="Arial" w:eastAsia="Arial" w:hAnsi="Arial"/>
                <w:sz w:val="20"/>
                <w:szCs w:val="20"/>
                <w:color w:val="auto"/>
                <w:w w:val="89"/>
              </w:rPr>
              <w:t>Product Group Produced at</w:t>
            </w:r>
          </w:p>
        </w:tc>
        <w:tc>
          <w:tcPr>
            <w:tcW w:w="1300" w:type="dxa"/>
            <w:vAlign w:val="bottom"/>
          </w:tcPr>
          <w:p>
            <w:pPr>
              <w:jc w:val="center"/>
              <w:ind w:right="1"/>
              <w:spacing w:after="0" w:line="227" w:lineRule="exact"/>
              <w:rPr>
                <w:sz w:val="20"/>
                <w:szCs w:val="20"/>
                <w:color w:val="auto"/>
              </w:rPr>
            </w:pPr>
            <w:r>
              <w:rPr>
                <w:rFonts w:ascii="Arial" w:cs="Arial" w:eastAsia="Arial" w:hAnsi="Arial"/>
                <w:sz w:val="20"/>
                <w:szCs w:val="20"/>
                <w:color w:val="auto"/>
                <w:w w:val="92"/>
              </w:rPr>
              <w:t>Owned/</w:t>
            </w:r>
          </w:p>
        </w:tc>
        <w:tc>
          <w:tcPr>
            <w:tcW w:w="1600" w:type="dxa"/>
            <w:vAlign w:val="bottom"/>
            <w:gridSpan w:val="2"/>
          </w:tcPr>
          <w:p>
            <w:pPr>
              <w:jc w:val="center"/>
              <w:ind w:right="160"/>
              <w:spacing w:after="0" w:line="227" w:lineRule="exact"/>
              <w:rPr>
                <w:sz w:val="20"/>
                <w:szCs w:val="20"/>
                <w:color w:val="auto"/>
              </w:rPr>
            </w:pPr>
            <w:r>
              <w:rPr>
                <w:rFonts w:ascii="Arial" w:cs="Arial" w:eastAsia="Arial" w:hAnsi="Arial"/>
                <w:sz w:val="20"/>
                <w:szCs w:val="20"/>
                <w:color w:val="auto"/>
              </w:rPr>
              <w:t>for</w:t>
            </w:r>
          </w:p>
        </w:tc>
      </w:tr>
      <w:tr>
        <w:trPr>
          <w:trHeight w:val="257"/>
        </w:trPr>
        <w:tc>
          <w:tcPr>
            <w:tcW w:w="2960" w:type="dxa"/>
            <w:vAlign w:val="bottom"/>
            <w:tcBorders>
              <w:bottom w:val="single" w:sz="8" w:color="auto"/>
            </w:tcBorders>
          </w:tcPr>
          <w:p>
            <w:pPr>
              <w:ind w:left="1120"/>
              <w:spacing w:after="0"/>
              <w:rPr>
                <w:sz w:val="20"/>
                <w:szCs w:val="20"/>
                <w:color w:val="auto"/>
              </w:rPr>
            </w:pPr>
            <w:r>
              <w:rPr>
                <w:rFonts w:ascii="Arial" w:cs="Arial" w:eastAsia="Arial" w:hAnsi="Arial"/>
                <w:sz w:val="20"/>
                <w:szCs w:val="20"/>
                <w:color w:val="auto"/>
              </w:rPr>
              <w:t>Location</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center"/>
              <w:ind w:right="21"/>
              <w:spacing w:after="0"/>
              <w:rPr>
                <w:sz w:val="20"/>
                <w:szCs w:val="20"/>
                <w:color w:val="auto"/>
              </w:rPr>
            </w:pPr>
            <w:r>
              <w:rPr>
                <w:rFonts w:ascii="Arial" w:cs="Arial" w:eastAsia="Arial" w:hAnsi="Arial"/>
                <w:sz w:val="20"/>
                <w:szCs w:val="20"/>
                <w:color w:val="auto"/>
                <w:w w:val="85"/>
              </w:rPr>
              <w:t>Square Feet</w:t>
            </w:r>
          </w:p>
        </w:tc>
        <w:tc>
          <w:tcPr>
            <w:tcW w:w="2880" w:type="dxa"/>
            <w:vAlign w:val="bottom"/>
          </w:tcPr>
          <w:p>
            <w:pPr>
              <w:jc w:val="center"/>
              <w:spacing w:after="0"/>
              <w:rPr>
                <w:sz w:val="20"/>
                <w:szCs w:val="20"/>
                <w:color w:val="auto"/>
              </w:rPr>
            </w:pPr>
            <w:r>
              <w:rPr>
                <w:rFonts w:ascii="Arial" w:cs="Arial" w:eastAsia="Arial" w:hAnsi="Arial"/>
                <w:sz w:val="20"/>
                <w:szCs w:val="20"/>
                <w:color w:val="auto"/>
                <w:w w:val="99"/>
              </w:rPr>
              <w:t>Facility</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Manufacturing</w:t>
            </w:r>
          </w:p>
        </w:tc>
        <w:tc>
          <w:tcPr>
            <w:tcW w:w="160" w:type="dxa"/>
            <w:vAlign w:val="bottom"/>
          </w:tcPr>
          <w:p>
            <w:pPr>
              <w:spacing w:after="0"/>
              <w:rPr>
                <w:sz w:val="22"/>
                <w:szCs w:val="22"/>
                <w:color w:val="auto"/>
              </w:rPr>
            </w:pPr>
          </w:p>
        </w:tc>
      </w:tr>
      <w:tr>
        <w:trPr>
          <w:trHeight w:val="454"/>
        </w:trPr>
        <w:tc>
          <w:tcPr>
            <w:tcW w:w="2960" w:type="dxa"/>
            <w:vAlign w:val="bottom"/>
          </w:tcPr>
          <w:p>
            <w:pPr>
              <w:spacing w:after="0"/>
              <w:rPr>
                <w:sz w:val="20"/>
                <w:szCs w:val="20"/>
                <w:color w:val="auto"/>
              </w:rPr>
            </w:pPr>
            <w:r>
              <w:rPr>
                <w:rFonts w:ascii="Arial" w:cs="Arial" w:eastAsia="Arial" w:hAnsi="Arial"/>
                <w:sz w:val="20"/>
                <w:szCs w:val="20"/>
                <w:color w:val="auto"/>
              </w:rPr>
              <w:t>Dongguan, PRC</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88"/>
              </w:rPr>
              <w:t>661,000</w:t>
            </w:r>
          </w:p>
        </w:tc>
        <w:tc>
          <w:tcPr>
            <w:tcW w:w="2880" w:type="dxa"/>
            <w:vAlign w:val="bottom"/>
          </w:tcPr>
          <w:p>
            <w:pPr>
              <w:jc w:val="center"/>
              <w:spacing w:after="0"/>
              <w:rPr>
                <w:sz w:val="20"/>
                <w:szCs w:val="20"/>
                <w:color w:val="auto"/>
              </w:rPr>
            </w:pPr>
            <w:r>
              <w:rPr>
                <w:rFonts w:ascii="Arial" w:cs="Arial" w:eastAsia="Arial" w:hAnsi="Arial"/>
                <w:sz w:val="20"/>
                <w:szCs w:val="20"/>
                <w:color w:val="auto"/>
                <w:w w:val="92"/>
              </w:rPr>
              <w:t>Magnetic Solutions</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36%</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Shenzhen, PRC</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88"/>
              </w:rPr>
              <w:t>227,000</w:t>
            </w: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Power Solutions &amp; Protection</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100%</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Guangxi, PRC</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88"/>
              </w:rPr>
              <w:t>243,000</w:t>
            </w:r>
          </w:p>
        </w:tc>
        <w:tc>
          <w:tcPr>
            <w:tcW w:w="2880" w:type="dxa"/>
            <w:vAlign w:val="bottom"/>
          </w:tcPr>
          <w:p>
            <w:pPr>
              <w:jc w:val="center"/>
              <w:spacing w:after="0"/>
              <w:rPr>
                <w:sz w:val="20"/>
                <w:szCs w:val="20"/>
                <w:color w:val="auto"/>
              </w:rPr>
            </w:pPr>
            <w:r>
              <w:rPr>
                <w:rFonts w:ascii="Arial" w:cs="Arial" w:eastAsia="Arial" w:hAnsi="Arial"/>
                <w:sz w:val="20"/>
                <w:szCs w:val="20"/>
                <w:color w:val="auto"/>
                <w:w w:val="92"/>
              </w:rPr>
              <w:t>Magnetic Solutions</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90%</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Mumbai, India</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53,000</w:t>
            </w: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Power Solutions &amp; Protection</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66%</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Haryana, India</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36,000</w:t>
            </w: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Power Solutions &amp; Protection</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90%</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Netanya, Israel</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60,000</w:t>
            </w: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Power Solutions &amp; Protection</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70%</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Dubnica nad Vahom, Slovakia</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35,000</w:t>
            </w: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Power Solutions &amp; Protection</w:t>
            </w:r>
          </w:p>
        </w:tc>
        <w:tc>
          <w:tcPr>
            <w:tcW w:w="1300" w:type="dxa"/>
            <w:vAlign w:val="bottom"/>
          </w:tcPr>
          <w:p>
            <w:pPr>
              <w:jc w:val="center"/>
              <w:spacing w:after="0"/>
              <w:rPr>
                <w:sz w:val="20"/>
                <w:szCs w:val="20"/>
                <w:color w:val="auto"/>
              </w:rPr>
            </w:pPr>
            <w:r>
              <w:rPr>
                <w:rFonts w:ascii="Arial" w:cs="Arial" w:eastAsia="Arial" w:hAnsi="Arial"/>
                <w:sz w:val="20"/>
                <w:szCs w:val="20"/>
                <w:color w:val="auto"/>
                <w:w w:val="91"/>
              </w:rPr>
              <w:t>Owned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50%</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Dubnica nad Vahom, Slovakia</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70,000</w:t>
            </w: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Power Solutions &amp; Protection</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100%</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Worksop, United Kingdom</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51,000</w:t>
            </w:r>
          </w:p>
        </w:tc>
        <w:tc>
          <w:tcPr>
            <w:tcW w:w="2880" w:type="dxa"/>
            <w:vAlign w:val="bottom"/>
          </w:tcPr>
          <w:p>
            <w:pPr>
              <w:jc w:val="center"/>
              <w:spacing w:after="0"/>
              <w:rPr>
                <w:sz w:val="20"/>
                <w:szCs w:val="20"/>
                <w:color w:val="auto"/>
              </w:rPr>
            </w:pPr>
            <w:r>
              <w:rPr>
                <w:rFonts w:ascii="Arial" w:cs="Arial" w:eastAsia="Arial" w:hAnsi="Arial"/>
                <w:sz w:val="20"/>
                <w:szCs w:val="20"/>
                <w:color w:val="auto"/>
                <w:w w:val="93"/>
              </w:rPr>
              <w:t>Connectivity Solutions</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83%</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Chelmsford, United Kingdom</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17,000</w:t>
            </w:r>
          </w:p>
        </w:tc>
        <w:tc>
          <w:tcPr>
            <w:tcW w:w="2880" w:type="dxa"/>
            <w:vAlign w:val="bottom"/>
          </w:tcPr>
          <w:p>
            <w:pPr>
              <w:jc w:val="center"/>
              <w:spacing w:after="0"/>
              <w:rPr>
                <w:sz w:val="20"/>
                <w:szCs w:val="20"/>
                <w:color w:val="auto"/>
              </w:rPr>
            </w:pPr>
            <w:r>
              <w:rPr>
                <w:rFonts w:ascii="Arial" w:cs="Arial" w:eastAsia="Arial" w:hAnsi="Arial"/>
                <w:sz w:val="20"/>
                <w:szCs w:val="20"/>
                <w:color w:val="auto"/>
                <w:w w:val="93"/>
              </w:rPr>
              <w:t>Connectivity Solutions</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80%</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Dominican Republic</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33,000</w:t>
            </w:r>
          </w:p>
        </w:tc>
        <w:tc>
          <w:tcPr>
            <w:tcW w:w="2880" w:type="dxa"/>
            <w:vAlign w:val="bottom"/>
          </w:tcPr>
          <w:p>
            <w:pPr>
              <w:jc w:val="center"/>
              <w:spacing w:after="0"/>
              <w:rPr>
                <w:sz w:val="20"/>
                <w:szCs w:val="20"/>
                <w:color w:val="auto"/>
              </w:rPr>
            </w:pPr>
            <w:r>
              <w:rPr>
                <w:rFonts w:ascii="Arial" w:cs="Arial" w:eastAsia="Arial" w:hAnsi="Arial"/>
                <w:sz w:val="20"/>
                <w:szCs w:val="20"/>
                <w:color w:val="auto"/>
                <w:w w:val="92"/>
              </w:rPr>
              <w:t>Magnetic Solutions</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85%</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Cananea, Mexico</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30,000</w:t>
            </w:r>
          </w:p>
        </w:tc>
        <w:tc>
          <w:tcPr>
            <w:tcW w:w="2880" w:type="dxa"/>
            <w:vAlign w:val="bottom"/>
          </w:tcPr>
          <w:p>
            <w:pPr>
              <w:jc w:val="center"/>
              <w:spacing w:after="0"/>
              <w:rPr>
                <w:sz w:val="20"/>
                <w:szCs w:val="20"/>
                <w:color w:val="auto"/>
              </w:rPr>
            </w:pPr>
            <w:r>
              <w:rPr>
                <w:rFonts w:ascii="Arial" w:cs="Arial" w:eastAsia="Arial" w:hAnsi="Arial"/>
                <w:sz w:val="20"/>
                <w:szCs w:val="20"/>
                <w:color w:val="auto"/>
                <w:w w:val="93"/>
              </w:rPr>
              <w:t>Connectivity Solutions</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60%</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Reynosa, Mexico</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88,000</w:t>
            </w:r>
          </w:p>
        </w:tc>
        <w:tc>
          <w:tcPr>
            <w:tcW w:w="2880" w:type="dxa"/>
            <w:vAlign w:val="bottom"/>
          </w:tcPr>
          <w:p>
            <w:pPr>
              <w:jc w:val="center"/>
              <w:spacing w:after="0"/>
              <w:rPr>
                <w:sz w:val="20"/>
                <w:szCs w:val="20"/>
                <w:color w:val="auto"/>
              </w:rPr>
            </w:pPr>
            <w:r>
              <w:rPr>
                <w:rFonts w:ascii="Arial" w:cs="Arial" w:eastAsia="Arial" w:hAnsi="Arial"/>
                <w:sz w:val="20"/>
                <w:szCs w:val="20"/>
                <w:color w:val="auto"/>
                <w:w w:val="93"/>
              </w:rPr>
              <w:t>Connectivity Solutions</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56%</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Glen Rock, Pennsylvania</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74,000</w:t>
            </w:r>
          </w:p>
        </w:tc>
        <w:tc>
          <w:tcPr>
            <w:tcW w:w="2880" w:type="dxa"/>
            <w:vAlign w:val="bottom"/>
          </w:tcPr>
          <w:p>
            <w:pPr>
              <w:jc w:val="center"/>
              <w:spacing w:after="0"/>
              <w:rPr>
                <w:sz w:val="20"/>
                <w:szCs w:val="20"/>
                <w:color w:val="auto"/>
              </w:rPr>
            </w:pPr>
            <w:r>
              <w:rPr>
                <w:rFonts w:ascii="Arial" w:cs="Arial" w:eastAsia="Arial" w:hAnsi="Arial"/>
                <w:sz w:val="20"/>
                <w:szCs w:val="20"/>
                <w:color w:val="auto"/>
                <w:w w:val="93"/>
              </w:rPr>
              <w:t>Connectivity Solutions</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60%</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Waseca, Minnesota</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88"/>
              </w:rPr>
              <w:t>128,000</w:t>
            </w:r>
          </w:p>
        </w:tc>
        <w:tc>
          <w:tcPr>
            <w:tcW w:w="2880" w:type="dxa"/>
            <w:vAlign w:val="bottom"/>
          </w:tcPr>
          <w:p>
            <w:pPr>
              <w:jc w:val="center"/>
              <w:spacing w:after="0"/>
              <w:rPr>
                <w:sz w:val="20"/>
                <w:szCs w:val="20"/>
                <w:color w:val="auto"/>
              </w:rPr>
            </w:pPr>
            <w:r>
              <w:rPr>
                <w:rFonts w:ascii="Arial" w:cs="Arial" w:eastAsia="Arial" w:hAnsi="Arial"/>
                <w:sz w:val="20"/>
                <w:szCs w:val="20"/>
                <w:color w:val="auto"/>
                <w:w w:val="93"/>
              </w:rPr>
              <w:t>Connectivity Solutions</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83%</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McAllen, Texas</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40,000</w:t>
            </w:r>
          </w:p>
        </w:tc>
        <w:tc>
          <w:tcPr>
            <w:tcW w:w="2880" w:type="dxa"/>
            <w:vAlign w:val="bottom"/>
          </w:tcPr>
          <w:p>
            <w:pPr>
              <w:jc w:val="center"/>
              <w:spacing w:after="0"/>
              <w:rPr>
                <w:sz w:val="20"/>
                <w:szCs w:val="20"/>
                <w:color w:val="auto"/>
              </w:rPr>
            </w:pPr>
            <w:r>
              <w:rPr>
                <w:rFonts w:ascii="Arial" w:cs="Arial" w:eastAsia="Arial" w:hAnsi="Arial"/>
                <w:sz w:val="20"/>
                <w:szCs w:val="20"/>
                <w:color w:val="auto"/>
                <w:w w:val="93"/>
              </w:rPr>
              <w:t>Connectivity Solutions</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56%</w:t>
            </w:r>
          </w:p>
        </w:tc>
      </w:tr>
      <w:tr>
        <w:trPr>
          <w:trHeight w:val="239"/>
        </w:trPr>
        <w:tc>
          <w:tcPr>
            <w:tcW w:w="2960" w:type="dxa"/>
            <w:vAlign w:val="bottom"/>
          </w:tcPr>
          <w:p>
            <w:pPr>
              <w:spacing w:after="0"/>
              <w:rPr>
                <w:sz w:val="20"/>
                <w:szCs w:val="20"/>
                <w:color w:val="auto"/>
              </w:rPr>
            </w:pPr>
            <w:r>
              <w:rPr>
                <w:rFonts w:ascii="Arial" w:cs="Arial" w:eastAsia="Arial" w:hAnsi="Arial"/>
                <w:sz w:val="20"/>
                <w:szCs w:val="20"/>
                <w:color w:val="auto"/>
              </w:rPr>
              <w:t>Melbourne, Florida</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13,000</w:t>
            </w:r>
          </w:p>
        </w:tc>
        <w:tc>
          <w:tcPr>
            <w:tcW w:w="2880" w:type="dxa"/>
            <w:vAlign w:val="bottom"/>
          </w:tcPr>
          <w:p>
            <w:pPr>
              <w:jc w:val="center"/>
              <w:spacing w:after="0"/>
              <w:rPr>
                <w:sz w:val="20"/>
                <w:szCs w:val="20"/>
                <w:color w:val="auto"/>
              </w:rPr>
            </w:pPr>
            <w:r>
              <w:rPr>
                <w:rFonts w:ascii="Arial" w:cs="Arial" w:eastAsia="Arial" w:hAnsi="Arial"/>
                <w:sz w:val="20"/>
                <w:szCs w:val="20"/>
                <w:color w:val="auto"/>
                <w:w w:val="93"/>
              </w:rPr>
              <w:t>Connectivity Solutions</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64%</w:t>
            </w:r>
          </w:p>
        </w:tc>
      </w:tr>
      <w:tr>
        <w:trPr>
          <w:trHeight w:val="254"/>
        </w:trPr>
        <w:tc>
          <w:tcPr>
            <w:tcW w:w="2960" w:type="dxa"/>
            <w:vAlign w:val="bottom"/>
          </w:tcPr>
          <w:p>
            <w:pPr>
              <w:spacing w:after="0"/>
              <w:rPr>
                <w:sz w:val="20"/>
                <w:szCs w:val="20"/>
                <w:color w:val="auto"/>
              </w:rPr>
            </w:pPr>
            <w:r>
              <w:rPr>
                <w:rFonts w:ascii="Arial" w:cs="Arial" w:eastAsia="Arial" w:hAnsi="Arial"/>
                <w:sz w:val="20"/>
                <w:szCs w:val="20"/>
                <w:color w:val="auto"/>
              </w:rPr>
              <w:t>Belmont, New Hampshire</w:t>
            </w:r>
          </w:p>
        </w:tc>
        <w:tc>
          <w:tcPr>
            <w:tcW w:w="1520" w:type="dxa"/>
            <w:vAlign w:val="bottom"/>
            <w:gridSpan w:val="4"/>
          </w:tcPr>
          <w:p>
            <w:pPr>
              <w:jc w:val="center"/>
              <w:ind w:left="101"/>
              <w:spacing w:after="0"/>
              <w:rPr>
                <w:sz w:val="20"/>
                <w:szCs w:val="20"/>
                <w:color w:val="auto"/>
              </w:rPr>
            </w:pPr>
            <w:r>
              <w:rPr>
                <w:rFonts w:ascii="Arial" w:cs="Arial" w:eastAsia="Arial" w:hAnsi="Arial"/>
                <w:sz w:val="20"/>
                <w:szCs w:val="20"/>
                <w:color w:val="auto"/>
                <w:w w:val="91"/>
              </w:rPr>
              <w:t>16,000</w:t>
            </w: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Power Solutions &amp; Protection</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5"/>
              </w:rPr>
              <w:t>Leased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90%</w:t>
            </w:r>
          </w:p>
        </w:tc>
      </w:tr>
      <w:tr>
        <w:trPr>
          <w:trHeight w:val="246"/>
        </w:trPr>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1,875,000</w:t>
            </w:r>
          </w:p>
        </w:tc>
        <w:tc>
          <w:tcPr>
            <w:tcW w:w="28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1998980</wp:posOffset>
            </wp:positionH>
            <wp:positionV relativeFrom="paragraph">
              <wp:posOffset>-3079750</wp:posOffset>
            </wp:positionV>
            <wp:extent cx="345567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55670" cy="34290"/>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-191135</wp:posOffset>
            </wp:positionV>
            <wp:extent cx="938530" cy="2222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8530" cy="222250"/>
                    </a:xfrm>
                    <a:prstGeom prst="rect">
                      <a:avLst/>
                    </a:prstGeom>
                    <a:noFill/>
                  </pic:spPr>
                </pic:pic>
              </a:graphicData>
            </a:graphic>
          </wp:anchor>
        </w:drawing>
      </w:r>
    </w:p>
    <w:p>
      <w:pPr>
        <w:spacing w:after="0" w:line="220"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Of the space described above, 241,000 square feet is used for engineering, warehousing, sales and administrative support functions at various locations and 404,000 square feet is designated for dormitories, canteen and other employee related facilities in the PRC.</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Territory of Hong Kong became a Special Administrative Region ("SAR") of the PRC during 1997. The territory of Macao became a SAR of the PRC at the end of 1999. Management cannot presently predict what future impact the current status of these territories, along with evolving political landscape in the region, will have on the Company, if any, or how the political climate in the PRC will affect the Company's contractual arrangements in the PRC (including risks arising out of any changes in governmental and economic policy, such as increased or new tariffs, and current or additional trade restrictions, and the potential for adverse developments arising out of any political or economic instability related to Hong Kong or Taiwan). A significant portion of the Company's manufacturing operations and approximately 32.0% of its identifiable assets are located in Asia.</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20"/>
          <w:szCs w:val="20"/>
          <w:b w:val="1"/>
          <w:bCs w:val="1"/>
          <w:i w:val="1"/>
          <w:iCs w:val="1"/>
          <w:color w:val="auto"/>
        </w:rPr>
        <w:t>Legal Proceedings</w:t>
      </w:r>
    </w:p>
    <w:p>
      <w:pPr>
        <w:spacing w:after="0" w:line="230" w:lineRule="exact"/>
        <w:rPr>
          <w:sz w:val="20"/>
          <w:szCs w:val="20"/>
          <w:color w:val="auto"/>
        </w:rPr>
      </w:pPr>
    </w:p>
    <w:p>
      <w:pPr>
        <w:ind w:right="280"/>
        <w:spacing w:after="0" w:line="275" w:lineRule="auto"/>
        <w:rPr>
          <w:sz w:val="20"/>
          <w:szCs w:val="20"/>
          <w:color w:val="auto"/>
        </w:rPr>
      </w:pPr>
      <w:r>
        <w:rPr>
          <w:rFonts w:ascii="Arial" w:cs="Arial" w:eastAsia="Arial" w:hAnsi="Arial"/>
          <w:sz w:val="20"/>
          <w:szCs w:val="20"/>
          <w:color w:val="auto"/>
        </w:rPr>
        <w:t xml:space="preserve">The information called for by this Item is incorporated herein by reference to the disclosure captioned </w:t>
      </w:r>
      <w:r>
        <w:rPr>
          <w:rFonts w:ascii="Arial" w:cs="Arial" w:eastAsia="Arial" w:hAnsi="Arial"/>
          <w:sz w:val="20"/>
          <w:szCs w:val="20"/>
          <w:i w:val="1"/>
          <w:iCs w:val="1"/>
          <w:color w:val="auto"/>
        </w:rPr>
        <w:t>"Legal Proceedings"</w:t>
      </w:r>
      <w:r>
        <w:rPr>
          <w:rFonts w:ascii="Arial" w:cs="Arial" w:eastAsia="Arial" w:hAnsi="Arial"/>
          <w:sz w:val="20"/>
          <w:szCs w:val="20"/>
          <w:color w:val="auto"/>
        </w:rPr>
        <w:t xml:space="preserve"> in Note 19, </w:t>
      </w:r>
      <w:r>
        <w:rPr>
          <w:rFonts w:ascii="Arial" w:cs="Arial" w:eastAsia="Arial" w:hAnsi="Arial"/>
          <w:sz w:val="20"/>
          <w:szCs w:val="20"/>
          <w:i w:val="1"/>
          <w:iCs w:val="1"/>
          <w:color w:val="auto"/>
        </w:rPr>
        <w:t>"Commitments and Contingencies."</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4.  </w:t>
      </w:r>
      <w:r>
        <w:rPr>
          <w:rFonts w:ascii="Arial" w:cs="Arial" w:eastAsia="Arial" w:hAnsi="Arial"/>
          <w:sz w:val="20"/>
          <w:szCs w:val="20"/>
          <w:b w:val="1"/>
          <w:bCs w:val="1"/>
          <w:i w:val="1"/>
          <w:iCs w:val="1"/>
          <w:color w:val="auto"/>
        </w:rPr>
        <w:t>Mine Safety Disclosures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2240" w:h="15840" w:orient="portrait"/>
          <w:cols w:equalWidth="0" w:num="1">
            <w:col w:w="10800"/>
          </w:cols>
          <w:pgMar w:left="720" w:top="551" w:right="720" w:bottom="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PART II</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Market for Registrant's Common Equity, Related Stockholder Matters and Issuer Purchases of Equity Securities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Company's voting Class A Common Stock, par value $0.10 per share, and non-voting Class B Common Stock, par value $ 0.10 per share ("Class A" and "Class B," respectively), are traded on the NASDAQ Global Select Market under the symbols BELFA and BELFB,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w:t>
      </w:r>
    </w:p>
    <w:p>
      <w:pPr>
        <w:spacing w:after="0" w:line="237"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As of January 31, 2026, there were 26 registered shareholders of the Company's Class A Common Stock and 242 registered shareholders of the Company's Class B Common Stock. We believe that the number of beneficial owners is substantially greater than the number of record holders because a large portion of our Class A and Class B Common Stock is held in "street name" by brokers.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During the years ended December 31, 2025, 2024 and 2023, the Company declared dividends on a quarterly basis at a rate of $0.06 per Class A share of common stock and $0.07 per Class B share of common stock totaling $3.5 million in each 2025, 2024 and 2023. On January 30, 2026, the Company paid a dividend to all shareholders of record at January 15, 2026 of Class A and Class B Common Stock in the total amount of $0.1 million ($0.06 per share) and $0.7 million ($0.07 per share), respectively. On February 17, 2026, Bel's Board of Directors declared a dividend in the amount of $0.06 per Class A common share and $0.07 per Class B common share which is scheduled to be paid on May 1, 2026 to all shareholders of record at April 15, 2026.</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are no contractual restrictions on the Company's ability to pay dividends provided the Company is not in default under its Credit Agreement immediately before such payment and after giving effect to such payment. Cash dividends are payable to the holders of Class A Common Stock and Class B Common Stock only as and when declared by the Board of Directors. Subject to the foregoing, cash dividends declared on shares of Class B Common Stock in any calendar year cannot be less than 5% higher per share than the annual amount of cash dividends per share declared in such calendar year on shares of Class A Common Stock. No cash dividends may be paid on shares of Class A Common Stock unless, at the same time, cash dividends are paid on shares of Class B Common Stock, subject to the annual 5% provision described above. Cash dividends may be paid at any time or from time to time on shares of Class B Common Stock without corresponding cash dividends being paid on shares of Class A Common Stock. Nevertheless, as in the past, the respective amounts of future dividends, if any, to be declared on each class of Common Stock depends on circumstances existing at the time, including the Company's financial condition, capital requirements, earnings, legally available funds for the payment of dividends and other relevant factors and are declared at the discretion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2240" w:h="15840" w:orient="portrait"/>
          <w:cols w:equalWidth="0" w:num="1">
            <w:col w:w="10800"/>
          </w:cols>
          <w:pgMar w:left="720" w:top="551" w:right="720" w:bottom="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Stock Performance Graph</w:t>
      </w:r>
    </w:p>
    <w:p>
      <w:pPr>
        <w:spacing w:after="0" w:line="236" w:lineRule="exact"/>
        <w:rPr>
          <w:sz w:val="20"/>
          <w:szCs w:val="20"/>
          <w:color w:val="auto"/>
        </w:rPr>
      </w:pPr>
    </w:p>
    <w:p>
      <w:pPr>
        <w:jc w:val="both"/>
        <w:spacing w:after="0" w:line="329" w:lineRule="auto"/>
        <w:rPr>
          <w:sz w:val="20"/>
          <w:szCs w:val="20"/>
          <w:color w:val="auto"/>
        </w:rPr>
      </w:pPr>
      <w:r>
        <w:rPr>
          <w:rFonts w:ascii="Arial" w:cs="Arial" w:eastAsia="Arial" w:hAnsi="Arial"/>
          <w:sz w:val="18"/>
          <w:szCs w:val="18"/>
          <w:color w:val="auto"/>
        </w:rPr>
        <w:t>The following shall not be deemed “filed” for purposes of Section 18 of the Securities Exchange Act of 1934, as amended, or incorporated by reference into any of our other filings under the Securities Exchange Act of 1934, as amended, or the Securities Act.</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following graph shows, for the five years ended December 31, 2025, the cumulative total return on an investment of $100 assumed to have been made on December 31, 2020 in Bel Fuse Inc. Class B common stock. The graph compares this return ("Bel") with that of comparable investments assumed to have been made on the same date in: (a) Russell 2000 Index and (b) a group of companies in our industry, consisting of Nasdaq listed stocks (U.S. and foreign) with SIC codes 3670-3679, Electronic Components &amp; Accessories. Total return for each assumed investment assumes the reinvestment of all dividends on December 31 of the year in which the dividends were paid.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5 Year Cumulative Total Return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Assumes Initial Investment of $100</w:t>
      </w:r>
    </w:p>
    <w:p>
      <w:pPr>
        <w:jc w:val="center"/>
        <w:spacing w:after="0"/>
        <w:rPr>
          <w:sz w:val="20"/>
          <w:szCs w:val="20"/>
          <w:color w:val="auto"/>
        </w:rPr>
      </w:pPr>
      <w:r>
        <w:rPr>
          <w:rFonts w:ascii="Arial" w:cs="Arial" w:eastAsia="Arial" w:hAnsi="Arial"/>
          <w:sz w:val="20"/>
          <w:szCs w:val="20"/>
          <w:b w:val="1"/>
          <w:bCs w:val="1"/>
          <w:color w:val="auto"/>
        </w:rPr>
        <w:t>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284480</wp:posOffset>
            </wp:positionV>
            <wp:extent cx="6472555" cy="26200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72555" cy="262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080" w:type="dxa"/>
        <w:tblCellMar>
          <w:top w:w="0" w:type="dxa"/>
          <w:left w:w="0" w:type="dxa"/>
          <w:bottom w:w="0" w:type="dxa"/>
          <w:right w:w="0" w:type="dxa"/>
        </w:tblCellMar>
      </w:tblPr>
      <w:tr>
        <w:trPr>
          <w:trHeight w:val="257"/>
        </w:trPr>
        <w:tc>
          <w:tcPr>
            <w:tcW w:w="3080" w:type="dxa"/>
            <w:vAlign w:val="bottom"/>
            <w:vMerge w:val="restart"/>
          </w:tcPr>
          <w:p>
            <w:pPr>
              <w:spacing w:after="0"/>
              <w:rPr>
                <w:sz w:val="20"/>
                <w:szCs w:val="20"/>
                <w:color w:val="auto"/>
              </w:rPr>
            </w:pPr>
            <w:r>
              <w:rPr>
                <w:rFonts w:ascii="Arial" w:cs="Arial" w:eastAsia="Arial" w:hAnsi="Arial"/>
                <w:sz w:val="20"/>
                <w:szCs w:val="20"/>
                <w:color w:val="auto"/>
              </w:rPr>
              <w:t>Bel Fuse Inc.</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2020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81"/>
              <w:spacing w:after="0"/>
              <w:rPr>
                <w:sz w:val="20"/>
                <w:szCs w:val="20"/>
                <w:color w:val="auto"/>
              </w:rPr>
            </w:pPr>
            <w:r>
              <w:rPr>
                <w:rFonts w:ascii="Arial" w:cs="Arial" w:eastAsia="Arial" w:hAnsi="Arial"/>
                <w:sz w:val="20"/>
                <w:szCs w:val="20"/>
                <w:color w:val="auto"/>
              </w:rPr>
              <w:t>2021</w:t>
            </w:r>
          </w:p>
        </w:tc>
        <w:tc>
          <w:tcPr>
            <w:tcW w:w="960" w:type="dxa"/>
            <w:vAlign w:val="bottom"/>
            <w:gridSpan w:val="2"/>
          </w:tcPr>
          <w:p>
            <w:pPr>
              <w:jc w:val="right"/>
              <w:ind w:right="81"/>
              <w:spacing w:after="0"/>
              <w:rPr>
                <w:sz w:val="20"/>
                <w:szCs w:val="20"/>
                <w:color w:val="auto"/>
              </w:rPr>
            </w:pPr>
            <w:r>
              <w:rPr>
                <w:rFonts w:ascii="Arial" w:cs="Arial" w:eastAsia="Arial" w:hAnsi="Arial"/>
                <w:sz w:val="20"/>
                <w:szCs w:val="20"/>
                <w:color w:val="auto"/>
              </w:rPr>
              <w:t>2022</w:t>
            </w:r>
          </w:p>
        </w:tc>
        <w:tc>
          <w:tcPr>
            <w:tcW w:w="940" w:type="dxa"/>
            <w:vAlign w:val="bottom"/>
            <w:gridSpan w:val="2"/>
          </w:tcPr>
          <w:p>
            <w:pPr>
              <w:jc w:val="right"/>
              <w:ind w:right="81"/>
              <w:spacing w:after="0"/>
              <w:rPr>
                <w:sz w:val="20"/>
                <w:szCs w:val="20"/>
                <w:color w:val="auto"/>
              </w:rPr>
            </w:pPr>
            <w:r>
              <w:rPr>
                <w:rFonts w:ascii="Arial" w:cs="Arial" w:eastAsia="Arial" w:hAnsi="Arial"/>
                <w:sz w:val="20"/>
                <w:szCs w:val="20"/>
                <w:color w:val="auto"/>
              </w:rPr>
              <w:t>2023</w:t>
            </w:r>
          </w:p>
        </w:tc>
        <w:tc>
          <w:tcPr>
            <w:tcW w:w="960" w:type="dxa"/>
            <w:vAlign w:val="bottom"/>
            <w:gridSpan w:val="2"/>
          </w:tcPr>
          <w:p>
            <w:pPr>
              <w:jc w:val="right"/>
              <w:ind w:right="81"/>
              <w:spacing w:after="0"/>
              <w:rPr>
                <w:sz w:val="20"/>
                <w:szCs w:val="20"/>
                <w:color w:val="auto"/>
              </w:rPr>
            </w:pPr>
            <w:r>
              <w:rPr>
                <w:rFonts w:ascii="Arial" w:cs="Arial" w:eastAsia="Arial" w:hAnsi="Arial"/>
                <w:sz w:val="20"/>
                <w:szCs w:val="20"/>
                <w:color w:val="auto"/>
              </w:rPr>
              <w:t>2024</w:t>
            </w:r>
          </w:p>
        </w:tc>
        <w:tc>
          <w:tcPr>
            <w:tcW w:w="960" w:type="dxa"/>
            <w:vAlign w:val="bottom"/>
            <w:gridSpan w:val="2"/>
          </w:tcPr>
          <w:p>
            <w:pPr>
              <w:jc w:val="right"/>
              <w:ind w:right="81"/>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15"/>
        </w:trPr>
        <w:tc>
          <w:tcPr>
            <w:tcW w:w="3080" w:type="dxa"/>
            <w:vAlign w:val="bottom"/>
            <w:vMerge w:val="continue"/>
          </w:tcPr>
          <w:p>
            <w:pPr>
              <w:spacing w:after="0"/>
              <w:rPr>
                <w:sz w:val="18"/>
                <w:szCs w:val="18"/>
                <w:color w:val="auto"/>
              </w:rPr>
            </w:pPr>
          </w:p>
        </w:tc>
        <w:tc>
          <w:tcPr>
            <w:tcW w:w="78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20"/>
                <w:szCs w:val="20"/>
                <w:color w:val="auto"/>
                <w:w w:val="97"/>
              </w:rPr>
              <w:t>$ 100.00</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20"/>
                <w:szCs w:val="20"/>
                <w:color w:val="auto"/>
                <w:w w:val="89"/>
              </w:rPr>
              <w:t>$</w:t>
            </w:r>
          </w:p>
        </w:tc>
        <w:tc>
          <w:tcPr>
            <w:tcW w:w="66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20"/>
                <w:szCs w:val="20"/>
                <w:color w:val="auto"/>
              </w:rPr>
              <w:t>87.67</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20"/>
                <w:szCs w:val="20"/>
                <w:color w:val="auto"/>
              </w:rPr>
              <w:t>$ 226.82</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20"/>
                <w:szCs w:val="20"/>
                <w:color w:val="auto"/>
              </w:rPr>
              <w:t>$ 463.13</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20"/>
                <w:szCs w:val="20"/>
                <w:color w:val="auto"/>
              </w:rPr>
              <w:t>$ 574.41</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20"/>
                <w:szCs w:val="20"/>
                <w:color w:val="auto"/>
                <w:w w:val="92"/>
              </w:rPr>
              <w:t>$ 1185.10</w:t>
            </w:r>
          </w:p>
        </w:tc>
        <w:tc>
          <w:tcPr>
            <w:tcW w:w="0" w:type="dxa"/>
            <w:vAlign w:val="bottom"/>
          </w:tcPr>
          <w:p>
            <w:pPr>
              <w:spacing w:after="0"/>
              <w:rPr>
                <w:sz w:val="1"/>
                <w:szCs w:val="1"/>
                <w:color w:val="auto"/>
              </w:rPr>
            </w:pPr>
          </w:p>
        </w:tc>
      </w:tr>
      <w:tr>
        <w:trPr>
          <w:trHeight w:val="239"/>
        </w:trPr>
        <w:tc>
          <w:tcPr>
            <w:tcW w:w="3080" w:type="dxa"/>
            <w:vAlign w:val="bottom"/>
          </w:tcPr>
          <w:p>
            <w:pPr>
              <w:spacing w:after="0"/>
              <w:rPr>
                <w:sz w:val="20"/>
                <w:szCs w:val="20"/>
                <w:color w:val="auto"/>
              </w:rPr>
            </w:pPr>
            <w:r>
              <w:rPr>
                <w:rFonts w:ascii="Arial" w:cs="Arial" w:eastAsia="Arial" w:hAnsi="Arial"/>
                <w:sz w:val="20"/>
                <w:szCs w:val="20"/>
                <w:color w:val="auto"/>
              </w:rPr>
              <w:t>Russell 2000 Index</w:t>
            </w:r>
          </w:p>
        </w:tc>
        <w:tc>
          <w:tcPr>
            <w:tcW w:w="780" w:type="dxa"/>
            <w:vAlign w:val="bottom"/>
          </w:tcPr>
          <w:p>
            <w:pPr>
              <w:jc w:val="right"/>
              <w:spacing w:after="0"/>
              <w:rPr>
                <w:sz w:val="20"/>
                <w:szCs w:val="20"/>
                <w:color w:val="auto"/>
              </w:rPr>
            </w:pPr>
            <w:r>
              <w:rPr>
                <w:rFonts w:ascii="Arial" w:cs="Arial" w:eastAsia="Arial" w:hAnsi="Arial"/>
                <w:sz w:val="20"/>
                <w:szCs w:val="20"/>
                <w:color w:val="auto"/>
              </w:rPr>
              <w:t>100.00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113.70</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89.18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102.64</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112.93</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125.68</w:t>
            </w:r>
          </w:p>
        </w:tc>
        <w:tc>
          <w:tcPr>
            <w:tcW w:w="0" w:type="dxa"/>
            <w:vAlign w:val="bottom"/>
          </w:tcPr>
          <w:p>
            <w:pPr>
              <w:spacing w:after="0"/>
              <w:rPr>
                <w:sz w:val="1"/>
                <w:szCs w:val="1"/>
                <w:color w:val="auto"/>
              </w:rPr>
            </w:pPr>
          </w:p>
        </w:tc>
      </w:tr>
      <w:tr>
        <w:trPr>
          <w:trHeight w:val="227"/>
        </w:trPr>
        <w:tc>
          <w:tcPr>
            <w:tcW w:w="3080" w:type="dxa"/>
            <w:vAlign w:val="bottom"/>
          </w:tcPr>
          <w:p>
            <w:pPr>
              <w:spacing w:after="0" w:line="227" w:lineRule="exact"/>
              <w:rPr>
                <w:sz w:val="20"/>
                <w:szCs w:val="20"/>
                <w:color w:val="auto"/>
              </w:rPr>
            </w:pPr>
            <w:r>
              <w:rPr>
                <w:rFonts w:ascii="Arial" w:cs="Arial" w:eastAsia="Arial" w:hAnsi="Arial"/>
                <w:sz w:val="20"/>
                <w:szCs w:val="20"/>
                <w:color w:val="auto"/>
                <w:w w:val="92"/>
              </w:rPr>
              <w:t>Nasdaq Stocks (SIC 3670-3679 US +</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20"/>
                <w:szCs w:val="20"/>
                <w:color w:val="auto"/>
              </w:rPr>
              <w:t>Foreign) Electronic Components &amp;</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0"/>
                <w:szCs w:val="20"/>
                <w:color w:val="auto"/>
              </w:rPr>
            </w:pPr>
            <w:r>
              <w:rPr>
                <w:rFonts w:ascii="Arial" w:cs="Arial" w:eastAsia="Arial" w:hAnsi="Arial"/>
                <w:sz w:val="20"/>
                <w:szCs w:val="20"/>
                <w:color w:val="auto"/>
              </w:rPr>
              <w:t>Accessories</w:t>
            </w:r>
          </w:p>
        </w:tc>
        <w:tc>
          <w:tcPr>
            <w:tcW w:w="780" w:type="dxa"/>
            <w:vAlign w:val="bottom"/>
          </w:tcPr>
          <w:p>
            <w:pPr>
              <w:jc w:val="right"/>
              <w:spacing w:after="0"/>
              <w:rPr>
                <w:sz w:val="20"/>
                <w:szCs w:val="20"/>
                <w:color w:val="auto"/>
              </w:rPr>
            </w:pPr>
            <w:r>
              <w:rPr>
                <w:rFonts w:ascii="Arial" w:cs="Arial" w:eastAsia="Arial" w:hAnsi="Arial"/>
                <w:sz w:val="20"/>
                <w:szCs w:val="20"/>
                <w:color w:val="auto"/>
              </w:rPr>
              <w:t>100.00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148.28</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90.32</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167.56</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278.78</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395.09</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3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February 21, 2024, the Company’s Board of Directors authorized and the Company publicly announced a $25.0 million share repurchase program (the “Repurchase Program”). The Repurchase Program authorizes the repurchase of up to $25.0 million of shares of outstanding Class A Common Stock and Class B Common Stock. The aggregate $25.0 million available for repurchases under the Repurchase Program has been sub-allocated for purchases of Class A shares and Class B shares in portions of $4.0 million and $21.0 million, respectively, prorated to take into account the number of outstanding shares of each respective class at the time of such authorization. Shares of Common Stock may be repurchased pursuant to the Repurchase Program in open market, privately negotiated or block transactions or otherwise from time to time, depending upon market conditions and other factors, and in accordance with applicable law and regulations. The Repurchase Program has no expiration date. The Repurchase Program does not obligate the Company to repurchase any dollar amount or number of shares, and the Repurchase Program may be suspended or terminated at any time. As of December 31, 2025, the program-to-date repurchases amounted to 26,326 Class A shares at an aggregate purchase price of $1.9 million and 235,821 Class B shares at an aggregate purchase price of $14.1 million. There were no repurchases of our equity securities during the year ended December 31, 2025. Approximately $2.1 million of Class A shares and $6.9 million of Class B shares remain that may yet be purchased under this program.</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6.  </w:t>
      </w:r>
      <w:r>
        <w:rPr>
          <w:rFonts w:ascii="Arial" w:cs="Arial" w:eastAsia="Arial" w:hAnsi="Arial"/>
          <w:sz w:val="20"/>
          <w:szCs w:val="20"/>
          <w:b w:val="1"/>
          <w:bCs w:val="1"/>
          <w:i w:val="1"/>
          <w:iCs w:val="1"/>
          <w:color w:val="auto"/>
        </w:rPr>
        <w:t>[Reserved]</w:t>
      </w:r>
    </w:p>
    <w:p>
      <w:pPr>
        <w:sectPr>
          <w:pgSz w:w="12240" w:h="15840" w:orient="portrait"/>
          <w:cols w:equalWidth="0" w:num="1">
            <w:col w:w="10800"/>
          </w:cols>
          <w:pgMar w:left="720" w:top="557" w:right="720" w:bottom="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2240" w:h="15840" w:orient="portrait"/>
          <w:cols w:equalWidth="0" w:num="1">
            <w:col w:w="10800"/>
          </w:cols>
          <w:pgMar w:left="720" w:top="557" w:right="720" w:bottom="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20"/>
          <w:szCs w:val="20"/>
          <w:b w:val="1"/>
          <w:bCs w:val="1"/>
          <w:color w:val="auto"/>
        </w:rPr>
        <w:t xml:space="preserve">Item 7.  </w:t>
      </w:r>
      <w:r>
        <w:rPr>
          <w:rFonts w:ascii="Arial" w:cs="Arial" w:eastAsia="Arial" w:hAnsi="Arial"/>
          <w:sz w:val="20"/>
          <w:szCs w:val="20"/>
          <w:b w:val="1"/>
          <w:bCs w:val="1"/>
          <w:i w:val="1"/>
          <w:iCs w:val="1"/>
          <w:color w:val="auto"/>
        </w:rPr>
        <w:t>Management's Discussion and Analysis of Financial Condition and Results of Operations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information in this Management’s Discussion and Analysis of Financial Condition and Results of Operations (“MD&amp;A") should be read in conjunction with the Company's consolidated financial statements and the notes related thereto. The discussion of results, causes and trends should not be construed to imply any conclusion that such results, causes or trends will necessarily continue in the future. See </w:t>
      </w:r>
      <w:r>
        <w:rPr>
          <w:rFonts w:ascii="Arial" w:cs="Arial" w:eastAsia="Arial" w:hAnsi="Arial"/>
          <w:sz w:val="20"/>
          <w:szCs w:val="20"/>
          <w:i w:val="1"/>
          <w:iCs w:val="1"/>
          <w:color w:val="auto"/>
        </w:rPr>
        <w:t>"Cautionary Notice Regarding Forward -Looking Information"</w:t>
      </w:r>
      <w:r>
        <w:rPr>
          <w:rFonts w:ascii="Arial" w:cs="Arial" w:eastAsia="Arial" w:hAnsi="Arial"/>
          <w:sz w:val="20"/>
          <w:szCs w:val="20"/>
          <w:color w:val="auto"/>
        </w:rPr>
        <w:t xml:space="preserve"> above for further information. Also, when we cross reference to a "Note," we are referring to our "Notes to Consolidated Financial Statements," unless the context indicates otherwise. All amounts and percentages are approximate due to rounding.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Company</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design, manufacture and market a broad array of products that power, protect and connect electronic circuits. These products are primarily used in the defense, commercial aerospace, networking, telecommunications, computing, general industrial, high-speed data transmission, transportation and eMobility industries. Bel's portfolio of products also finds application in the automotive, medical, broadcasting and consumer electronics markets.</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We operate through three product group segments. In 2025, 53% of the Company's revenues were derived from Power Solutions and Protection, 34% from Connectivity Solutions and 13% from our Magnetic Solutions operating segment.</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Our operating expenses are driven principally by the cost of labor where the factories that Bel uses are located, the cost of the materials that we use and our ability to effectively and efficiently manage overhead costs. As labor and material costs vary by product line and region, any significant shift in product mix can have an associated impact on our costs of sales. Costs are recorded as incurred for all products manufactured. Such amounts are determined based upon the estimated stage of production and include labor cost and fringes and related allocations of factory overhead. Our products are manufactured at various facilities in the U.S., Mexico, Israel, India, the Dominican Republic, the United Kingdom, Slovakia and the PRC.</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have little visibility into the ordering habits of our customers and we can be subjected to large and unpredictable variations in demand for our products. Accordingly, we must continually recruit and train new workers to replace those lost to attrition and be able to address peaks in demand that may occur from time to time. These recruiting and training efforts and related inefficiencies, and overtime required to meet any increase in demand, can add volatility to the labor costs incurred by us.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Key Factors Affecting our Business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Company believes the key factors affecting Bel's 2025 and/or future results include the following:</w:t>
      </w:r>
    </w:p>
    <w:p>
      <w:pPr>
        <w:spacing w:after="0" w:line="232" w:lineRule="exact"/>
        <w:rPr>
          <w:sz w:val="20"/>
          <w:szCs w:val="20"/>
          <w:color w:val="auto"/>
        </w:rPr>
      </w:pPr>
    </w:p>
    <w:p>
      <w:pPr>
        <w:jc w:val="both"/>
        <w:ind w:left="240" w:hanging="139"/>
        <w:spacing w:after="0" w:line="244" w:lineRule="auto"/>
        <w:tabs>
          <w:tab w:leader="none" w:pos="24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Acquisition of Enercon</w:t>
      </w:r>
      <w:r>
        <w:rPr>
          <w:rFonts w:ascii="Arial" w:cs="Arial" w:eastAsia="Arial" w:hAnsi="Arial"/>
          <w:sz w:val="20"/>
          <w:szCs w:val="20"/>
          <w:color w:val="auto"/>
        </w:rPr>
        <w:t xml:space="preserve"> - In November 2024, Bel acquired an 80% stake in Enercon. As a result, we benefited from a full year of Enercon's sales in 2025 within our Power Solutions and Protection segment. Enercon is a leading supplier of highly customized power conversion and networking solutions to aerospace and defense markets globally, providing robust and reliable solutions across air, land and sea applications, and its sales and results of operations may vary depending on government spending on defense. Enercon's sales have been reflected in the accompanying consolidated statements of operations since November 1, 2024 and amounted to $136.6 million during the year ended December 31, 2025 and $20.8 million during the year ended December 31, 2024.</w:t>
      </w:r>
    </w:p>
    <w:p>
      <w:pPr>
        <w:spacing w:after="0" w:line="204" w:lineRule="exact"/>
        <w:rPr>
          <w:rFonts w:ascii="Arial" w:cs="Arial" w:eastAsia="Arial" w:hAnsi="Arial"/>
          <w:sz w:val="20"/>
          <w:szCs w:val="20"/>
          <w:color w:val="auto"/>
        </w:rPr>
      </w:pPr>
    </w:p>
    <w:p>
      <w:pPr>
        <w:jc w:val="both"/>
        <w:ind w:left="240" w:hanging="139"/>
        <w:spacing w:after="0" w:line="278"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Backlog</w:t>
      </w:r>
      <w:r>
        <w:rPr>
          <w:rFonts w:ascii="Arial" w:cs="Arial" w:eastAsia="Arial" w:hAnsi="Arial"/>
          <w:sz w:val="18"/>
          <w:szCs w:val="18"/>
          <w:color w:val="auto"/>
        </w:rPr>
        <w:t xml:space="preserve"> – Our backlog of orders totaled $439.1 million at December 31, 2025, representing an increase of $57.5 million, or 15.1%, from December 31, 2024. From 2024 to the 2025 year-end, the backlog for our Power Solutions and Protection products increased by 9.4%, due to an increase in demand within the defense and networking end markets. Our Magnetic Solutions backlog increased by 52.3%, primarily due to increased order volume from a large networking customer. The backlog for our Connectivity Solutions products increased by $21.5 million (19.4%) in 2025 from the 2024 level, due to increased demand from our commercial aerospace and industrial customers, and strength seen in defense applications through the distribution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2240" w:h="15840" w:orient="portrait"/>
          <w:cols w:equalWidth="0" w:num="1">
            <w:col w:w="10800"/>
          </w:cols>
          <w:pgMar w:left="720" w:top="551" w:right="720" w:bottom="0" w:gutter="0" w:footer="0" w:header="0"/>
        </w:sectPr>
      </w:pPr>
    </w:p>
    <w:bookmarkStart w:id="36" w:name="page37"/>
    <w:bookmarkEnd w:id="36"/>
    <w:p>
      <w:pPr>
        <w:jc w:val="both"/>
        <w:ind w:left="140" w:hanging="139"/>
        <w:spacing w:after="0" w:line="258" w:lineRule="auto"/>
        <w:tabs>
          <w:tab w:leader="none" w:pos="14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Product Mix</w:t>
      </w:r>
      <w:r>
        <w:rPr>
          <w:rFonts w:ascii="Arial" w:cs="Arial" w:eastAsia="Arial" w:hAnsi="Arial"/>
          <w:sz w:val="19"/>
          <w:szCs w:val="19"/>
          <w:color w:val="auto"/>
        </w:rPr>
        <w:t xml:space="preserve"> – Material and labor costs vary by product line and any significant shift in product mix between higher- and lower-margin product lines will have a corresponding impact on the Company’s gross margin percentage. In general, our Connectivity products have historically had the highest contribution margins due to the harsh environment, high-reliability end applications for these products. Our Power products have a higher-cost bill of materials and are impacted to a greater extent by changes in material costs. As our Magnetic Solutions products are more labor-intensive, margins on these products are impacted to a greater extent by minimum- and market-based wage increases in the PRC and fluctuations in foreign exchange rates between the U.S. dollar and the Chinese renminbi. Fluctuations in sales volume among our product groups will have a corresponding impact on Bel's profit margins. See Note 14, </w:t>
      </w:r>
      <w:r>
        <w:rPr>
          <w:rFonts w:ascii="Arial" w:cs="Arial" w:eastAsia="Arial" w:hAnsi="Arial"/>
          <w:sz w:val="19"/>
          <w:szCs w:val="19"/>
          <w:i w:val="1"/>
          <w:iCs w:val="1"/>
          <w:color w:val="auto"/>
        </w:rPr>
        <w:t>"Segments"</w:t>
      </w:r>
      <w:r>
        <w:rPr>
          <w:rFonts w:ascii="Arial" w:cs="Arial" w:eastAsia="Arial" w:hAnsi="Arial"/>
          <w:sz w:val="19"/>
          <w:szCs w:val="19"/>
          <w:color w:val="auto"/>
        </w:rPr>
        <w:t xml:space="preserve"> for profit margin information by product group.</w:t>
      </w:r>
    </w:p>
    <w:p>
      <w:pPr>
        <w:spacing w:after="0" w:line="191" w:lineRule="exact"/>
        <w:rPr>
          <w:rFonts w:ascii="Arial" w:cs="Arial" w:eastAsia="Arial" w:hAnsi="Arial"/>
          <w:sz w:val="19"/>
          <w:szCs w:val="19"/>
          <w:color w:val="auto"/>
        </w:rPr>
      </w:pPr>
    </w:p>
    <w:p>
      <w:pPr>
        <w:jc w:val="both"/>
        <w:ind w:left="140" w:hanging="139"/>
        <w:spacing w:after="0" w:line="274" w:lineRule="auto"/>
        <w:tabs>
          <w:tab w:leader="none" w:pos="1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Pricing and Availability of Materials</w:t>
      </w:r>
      <w:r>
        <w:rPr>
          <w:rFonts w:ascii="Arial" w:cs="Arial" w:eastAsia="Arial" w:hAnsi="Arial"/>
          <w:sz w:val="18"/>
          <w:szCs w:val="18"/>
          <w:color w:val="auto"/>
        </w:rPr>
        <w:t xml:space="preserve"> – Pricing for commodities with Gold (Au), Silver (Ag), and Copper (Cu), is increasing as cost of these metals continue rise to historical highs. Lead-times for certain integrated circuits (ICs) have increased we believe primarily driven by AI and the infrastructure necessary to support this technology. Regulatory changes including but not limited to trade restrictions affecting suppliers in the PRC have previously and could in future disrupt our supply chain, leading to limited access to certain parts and suppliers, increased costs, shortages, or other adverse impacts on our business and operating results. Additionally, tariffs imposed by the U.S. or foreign governments on imports and exports could result in reduced margins or increased prices, potentially decreasing customer demand. The preceding discussion about pricing and availability of materials contains Forward-Looking Statements. See </w:t>
      </w:r>
      <w:r>
        <w:rPr>
          <w:rFonts w:ascii="Arial" w:cs="Arial" w:eastAsia="Arial" w:hAnsi="Arial"/>
          <w:sz w:val="18"/>
          <w:szCs w:val="18"/>
          <w:i w:val="1"/>
          <w:iCs w:val="1"/>
          <w:color w:val="auto"/>
        </w:rPr>
        <w:t>"Cautionary Notice Regarding Forward-Looking Information."</w:t>
      </w:r>
    </w:p>
    <w:p>
      <w:pPr>
        <w:spacing w:after="0" w:line="177" w:lineRule="exact"/>
        <w:rPr>
          <w:rFonts w:ascii="Arial" w:cs="Arial" w:eastAsia="Arial" w:hAnsi="Arial"/>
          <w:sz w:val="18"/>
          <w:szCs w:val="18"/>
          <w:color w:val="auto"/>
        </w:rPr>
      </w:pPr>
    </w:p>
    <w:p>
      <w:pPr>
        <w:jc w:val="both"/>
        <w:ind w:left="140" w:hanging="139"/>
        <w:spacing w:after="0" w:line="269" w:lineRule="auto"/>
        <w:tabs>
          <w:tab w:leader="none" w:pos="1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Global Tariffs</w:t>
      </w:r>
      <w:r>
        <w:rPr>
          <w:rFonts w:ascii="Arial" w:cs="Arial" w:eastAsia="Arial" w:hAnsi="Arial"/>
          <w:sz w:val="18"/>
          <w:szCs w:val="18"/>
          <w:color w:val="auto"/>
        </w:rPr>
        <w:t xml:space="preserve"> – On April 5, 2025, the Trump Administration enacted reciprocal tariffs on U.S. imports from a number of countries in which Bel’s manufacturing sites and/or suppliers are located. To the extent all of these new tariffs were applicable and in force, based on information available and our sales patterns as of February 2025, our most recent estimates indicated that approximately 25% of our consolidated global sales had been subject to these recently-enacted U.S. tariffs. On February 20, 2026, the Supreme Court of the United States issued its decision in Learning Resources, Inc. v. Trump, striking down tariffs previously enacted by the Administration under the International Emergency Economic Powers Act (“IEEPA”) as invalid, and holding that IEEPA does not authorize the President to impose tariffs. However, the full impact and implications of the Court’s decision are not immediately clear amidst the rapidly-evolving regulatory landscape and the arena of international trade, and there remains great uncertainty as to what responses will emerge in light of the Court’s decision, including with respect to tariffs, international trade agreements, and international trade generally; Congress has the authority to codify tariffs in statute, and the Administration could act to impose duties or alternative tariffs under authority delegated by other laws. Please see Part I, Item IA, “Risk Factors, above, for additional information. Imports into the U.S. from Mexico are currently exempt from tariffs as our products fall within the scope of the USMCA as presently in force. While global tariffs did not have a material financial impact on our full year 2025 financial results, we continue to closely monitor the evolving tariff landscape and are assessing possible alternatives aimed at potentially mitigating the impact of tariffs on Bel and our customers. The imposition of tariffs on our U.S. imports could result in reduced demand for our products and/or higher material costs. Our future sales and/or gross margins could be impacted as a result. The preceding discussion of “</w:t>
      </w:r>
      <w:r>
        <w:rPr>
          <w:rFonts w:ascii="Arial" w:cs="Arial" w:eastAsia="Arial" w:hAnsi="Arial"/>
          <w:sz w:val="18"/>
          <w:szCs w:val="18"/>
          <w:i w:val="1"/>
          <w:iCs w:val="1"/>
          <w:color w:val="auto"/>
        </w:rPr>
        <w:t>Global Tariffs</w:t>
      </w:r>
      <w:r>
        <w:rPr>
          <w:rFonts w:ascii="Arial" w:cs="Arial" w:eastAsia="Arial" w:hAnsi="Arial"/>
          <w:sz w:val="18"/>
          <w:szCs w:val="18"/>
          <w:color w:val="auto"/>
        </w:rPr>
        <w:t>” contains Forward-Looking Statements, including statements about the possible effects and impacts of tariffs, and statements about our present plans and intentions in connection therewith or in response thereto. See "</w:t>
      </w:r>
      <w:r>
        <w:rPr>
          <w:rFonts w:ascii="Arial" w:cs="Arial" w:eastAsia="Arial" w:hAnsi="Arial"/>
          <w:sz w:val="18"/>
          <w:szCs w:val="18"/>
          <w:i w:val="1"/>
          <w:iCs w:val="1"/>
          <w:color w:val="auto"/>
        </w:rPr>
        <w:t>Cautionary Notice</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Forward-Looking Information</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left="140" w:hanging="139"/>
        <w:spacing w:after="0" w:line="254" w:lineRule="auto"/>
        <w:tabs>
          <w:tab w:leader="none" w:pos="14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Labor Costs</w:t>
      </w:r>
      <w:r>
        <w:rPr>
          <w:rFonts w:ascii="Arial" w:cs="Arial" w:eastAsia="Arial" w:hAnsi="Arial"/>
          <w:sz w:val="19"/>
          <w:szCs w:val="19"/>
          <w:color w:val="auto"/>
        </w:rPr>
        <w:t xml:space="preserve"> – Labor costs as a percentage of sales were relatively stable from 2025 to 2024, decreasing just slightly to 7.7% of sales in 2025 from 7.8% of sales in 2024. During 2025, minimum wage increases were enacted in Slovakia, the PRC, the Dominican Republic, and Mexico, which increased our annual labor costs by approximately $1.8 million in the aggregate. While the impact of these increases has been partially mitigated by higher consolidated revenues to date, these and any future wage increases are expected to exert upward pressure on labor costs and adversely affect profit margins. Labor costs as a percentage of sales fluctuate based on product mix. Sales in our Magnetic Solutions segment are comprised largely of labor-intensive ICM products, resulting in greater sensitivity to labor cost changes. Labor costs in the PRC, Mexico, and Israel are primarily denominated in local currencies. Accordingly, significant fluctuations in exchange rates versus the U.S. dollar may materially impact our labor costs. By segment, the Magnetic Solutions segment is most exposed to fluctuations in the exchange rate of the Chinese renminbi relative to the U.S. dollar; the Connectivity Solutions segment is most exposed to fluctuations in the exchange rate of the Mexican peso relative to the U.S. dollar; and the Power Solutions and Protection segment is most exposed to fluctuations in the exchange rates of the Chinese renminbi and the Israeli shekel relative to the U.S. dollar. In addition to foreign currency exchange rate exposure, our labor costs are subject to government-regulated minimum wage increases in the countries in which we operate. The preceding discussion about labor costs contains Forward-Looking Statements. See </w:t>
      </w:r>
      <w:r>
        <w:rPr>
          <w:rFonts w:ascii="Arial" w:cs="Arial" w:eastAsia="Arial" w:hAnsi="Arial"/>
          <w:sz w:val="19"/>
          <w:szCs w:val="19"/>
          <w:i w:val="1"/>
          <w:iCs w:val="1"/>
          <w:color w:val="auto"/>
        </w:rPr>
        <w:t>"Cautionary Notice Regarding</w:t>
      </w:r>
      <w:r>
        <w:rPr>
          <w:rFonts w:ascii="Arial" w:cs="Arial" w:eastAsia="Arial" w:hAnsi="Arial"/>
          <w:sz w:val="19"/>
          <w:szCs w:val="19"/>
          <w:color w:val="auto"/>
        </w:rPr>
        <w:t xml:space="preserve"> </w:t>
      </w:r>
      <w:r>
        <w:rPr>
          <w:rFonts w:ascii="Arial" w:cs="Arial" w:eastAsia="Arial" w:hAnsi="Arial"/>
          <w:sz w:val="19"/>
          <w:szCs w:val="19"/>
          <w:i w:val="1"/>
          <w:iCs w:val="1"/>
          <w:color w:val="auto"/>
        </w:rPr>
        <w:t>Forward-Looking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27</w:t>
      </w:r>
    </w:p>
    <w:p>
      <w:pPr>
        <w:sectPr>
          <w:pgSz w:w="12240" w:h="15840" w:orient="portrait"/>
          <w:cols w:equalWidth="0" w:num="1">
            <w:col w:w="10700"/>
          </w:cols>
          <w:pgMar w:left="820" w:top="560" w:right="720" w:bottom="0" w:gutter="0" w:footer="0" w:header="0"/>
        </w:sectPr>
      </w:pPr>
    </w:p>
    <w:bookmarkStart w:id="37" w:name="page38"/>
    <w:bookmarkEnd w:id="37"/>
    <w:p>
      <w:pPr>
        <w:jc w:val="both"/>
        <w:ind w:left="240" w:hanging="139"/>
        <w:spacing w:after="0" w:line="267" w:lineRule="auto"/>
        <w:tabs>
          <w:tab w:leader="none" w:pos="24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Inflationary Pressures</w:t>
      </w:r>
      <w:r>
        <w:rPr>
          <w:rFonts w:ascii="Arial" w:cs="Arial" w:eastAsia="Arial" w:hAnsi="Arial"/>
          <w:sz w:val="19"/>
          <w:szCs w:val="19"/>
          <w:color w:val="auto"/>
        </w:rPr>
        <w:t xml:space="preserve"> – Inflationary pressures could result in higher input costs, including those related to our raw materials, labor, freight, utilities, healthcare and other expenses. Our future operating results will depend, in part, on our continued ability to manage these fluctuations through pricing actions, cost savings initiatives and sourcing decisions. The preceding two sentences represent Forward-Looking Statements. See </w:t>
      </w:r>
      <w:r>
        <w:rPr>
          <w:rFonts w:ascii="Arial" w:cs="Arial" w:eastAsia="Arial" w:hAnsi="Arial"/>
          <w:sz w:val="19"/>
          <w:szCs w:val="19"/>
          <w:i w:val="1"/>
          <w:iCs w:val="1"/>
          <w:color w:val="auto"/>
        </w:rPr>
        <w:t>"Cautionary Notice Regarding Forward-Looking Information."</w:t>
      </w:r>
    </w:p>
    <w:p>
      <w:pPr>
        <w:spacing w:after="0" w:line="181" w:lineRule="exact"/>
        <w:rPr>
          <w:rFonts w:ascii="Arial" w:cs="Arial" w:eastAsia="Arial" w:hAnsi="Arial"/>
          <w:sz w:val="19"/>
          <w:szCs w:val="19"/>
          <w:color w:val="auto"/>
        </w:rPr>
      </w:pPr>
    </w:p>
    <w:p>
      <w:pPr>
        <w:jc w:val="both"/>
        <w:ind w:left="240" w:hanging="139"/>
        <w:spacing w:after="0" w:line="245" w:lineRule="auto"/>
        <w:tabs>
          <w:tab w:leader="none" w:pos="24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Restructuring</w:t>
      </w:r>
      <w:r>
        <w:rPr>
          <w:rFonts w:ascii="Arial" w:cs="Arial" w:eastAsia="Arial" w:hAnsi="Arial"/>
          <w:sz w:val="20"/>
          <w:szCs w:val="20"/>
          <w:color w:val="auto"/>
        </w:rPr>
        <w:t xml:space="preserve"> – In late 2025, we initiated a restructuring initiative within our Magnetic segment related to the transition of manufacturing from Bel's Pingguo, PRC facility to an outside subcontractor (the "Pingguo initiative"). In connection with the Pingguo initiative, we incurred $1.6 million of restructuring costs during the year ended December 31, 2025. We will continue to review our operations to optimize our business, which may result in restructuring costs being recognized in future periods. The preceding statements about restructuring initiatives contain Forward-Looking Statements. See </w:t>
      </w:r>
      <w:r>
        <w:rPr>
          <w:rFonts w:ascii="Arial" w:cs="Arial" w:eastAsia="Arial" w:hAnsi="Arial"/>
          <w:sz w:val="20"/>
          <w:szCs w:val="20"/>
          <w:i w:val="1"/>
          <w:iCs w:val="1"/>
          <w:color w:val="auto"/>
        </w:rPr>
        <w:t>"Cautionary Notice Regarding</w:t>
      </w:r>
      <w:r>
        <w:rPr>
          <w:rFonts w:ascii="Arial" w:cs="Arial" w:eastAsia="Arial" w:hAnsi="Arial"/>
          <w:sz w:val="20"/>
          <w:szCs w:val="20"/>
          <w:color w:val="auto"/>
        </w:rPr>
        <w:t xml:space="preserve"> </w:t>
      </w:r>
      <w:r>
        <w:rPr>
          <w:rFonts w:ascii="Arial" w:cs="Arial" w:eastAsia="Arial" w:hAnsi="Arial"/>
          <w:sz w:val="20"/>
          <w:szCs w:val="20"/>
          <w:i w:val="1"/>
          <w:iCs w:val="1"/>
          <w:color w:val="auto"/>
        </w:rPr>
        <w:t>Forward-Looking Information."</w:t>
      </w:r>
    </w:p>
    <w:p>
      <w:pPr>
        <w:spacing w:after="0" w:line="203" w:lineRule="exact"/>
        <w:rPr>
          <w:rFonts w:ascii="Arial" w:cs="Arial" w:eastAsia="Arial" w:hAnsi="Arial"/>
          <w:sz w:val="20"/>
          <w:szCs w:val="20"/>
          <w:color w:val="auto"/>
        </w:rPr>
      </w:pPr>
    </w:p>
    <w:p>
      <w:pPr>
        <w:jc w:val="both"/>
        <w:ind w:left="240" w:hanging="139"/>
        <w:spacing w:after="0" w:line="269"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Impact of Foreign Currency</w:t>
      </w:r>
      <w:r>
        <w:rPr>
          <w:rFonts w:ascii="Arial" w:cs="Arial" w:eastAsia="Arial" w:hAnsi="Arial"/>
          <w:sz w:val="18"/>
          <w:szCs w:val="18"/>
          <w:color w:val="auto"/>
        </w:rPr>
        <w:t xml:space="preserve"> – During 2025, labor and overhead costs increased by $1.3 million compared to 2024, primarily due to unfavorable foreign exchange movements involving the Israeli shekel, Euro, and Chinese renminbi. These increases were partially offset by favorable fluctuations in the Mexican peso and Indian rupee relative to the prior year period. As further detailed in the section titled "</w:t>
      </w:r>
      <w:r>
        <w:rPr>
          <w:rFonts w:ascii="Arial" w:cs="Arial" w:eastAsia="Arial" w:hAnsi="Arial"/>
          <w:sz w:val="18"/>
          <w:szCs w:val="18"/>
          <w:i w:val="1"/>
          <w:iCs w:val="1"/>
          <w:color w:val="auto"/>
        </w:rPr>
        <w:t>Inflation and Foreign Currency Exchange,</w:t>
      </w:r>
      <w:r>
        <w:rPr>
          <w:rFonts w:ascii="Arial" w:cs="Arial" w:eastAsia="Arial" w:hAnsi="Arial"/>
          <w:sz w:val="18"/>
          <w:szCs w:val="18"/>
          <w:color w:val="auto"/>
        </w:rPr>
        <w:t xml:space="preserve">" the Company recognized a foreign exchange revaluation gain of $10.1 million in 2025. This gain was primarily attributable to fluctuations in spot rates of certain currencies when translating balance sheet accounts at December 31, 2025, compared to December 31, 2024. As a U.S.-domiciled company, Bel translates its foreign currency-denominated financial results into U.S. dollars. Changes in the value of foreign currencies relative to the U.S. dollar, including the revaluation of certain intercompany and third-party transactions, may result in either favorable or unfavorable impacts to our consolidated statements of operations and cash flows. In 2025, the Company experienced unfavorable transactional foreign exchange impacts due to the appreciation of the Israeli shekel, Euro, and Chinese renminbi against the U.S. dollar. These impacts were partially offset by the depreciation of the Mexican peso against the U.S. dollar, compared to exchange rates in effect during 2024. Bel maintains significant manufacturing operations in the PRC, Slovakia, Mexico, and Israel, where labor and overhead costs are denominated in local currencies. As a result, the U.S. dollar equivalent costs of these operations were approximately $1.9 million higher in Israel, $0.5 million higher in Europe, and $0.1 million higher in the PRC, offset by $1.1 million lower costs in Mexico in 2025 versus 2024. The Company actively monitors changes in foreign currency exchange rates and has historically utilized foreign currency forward contracts. Bel may continue to implement additional hedging strategies and pricing actions to mitigate the impact of currency fluctuations on its consolidated operating results. The preceding sentence represents a Forward-Looking Statement. See </w:t>
      </w:r>
      <w:r>
        <w:rPr>
          <w:rFonts w:ascii="Arial" w:cs="Arial" w:eastAsia="Arial" w:hAnsi="Arial"/>
          <w:sz w:val="18"/>
          <w:szCs w:val="18"/>
          <w:i w:val="1"/>
          <w:iCs w:val="1"/>
          <w:color w:val="auto"/>
        </w:rPr>
        <w:t>"Cautionary Notice Regarding Forward-Looking Information."</w:t>
      </w:r>
    </w:p>
    <w:p>
      <w:pPr>
        <w:spacing w:after="0" w:line="182" w:lineRule="exact"/>
        <w:rPr>
          <w:rFonts w:ascii="Arial" w:cs="Arial" w:eastAsia="Arial" w:hAnsi="Arial"/>
          <w:sz w:val="18"/>
          <w:szCs w:val="18"/>
          <w:color w:val="auto"/>
        </w:rPr>
      </w:pPr>
    </w:p>
    <w:p>
      <w:pPr>
        <w:jc w:val="both"/>
        <w:ind w:left="240" w:hanging="139"/>
        <w:spacing w:after="0" w:line="250" w:lineRule="auto"/>
        <w:tabs>
          <w:tab w:leader="none" w:pos="24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Effective Tax Rate</w:t>
      </w:r>
      <w:r>
        <w:rPr>
          <w:rFonts w:ascii="Arial" w:cs="Arial" w:eastAsia="Arial" w:hAnsi="Arial"/>
          <w:sz w:val="20"/>
          <w:szCs w:val="20"/>
          <w:color w:val="auto"/>
        </w:rPr>
        <w:t xml:space="preserve"> – The Company's effective tax rate will fluctuate based on the geographic region in which the pretax profits are earned. Of the jurisdictions in which the Company operates, the U.S. and Europe's tax rates are generally equivalent; and Asia has the lowest tax rates of the Company's three geographic regions. See Note 10,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to the Company's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 Summary by Operating Segment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 Sales and Gross Margin</w:t>
      </w:r>
    </w:p>
    <w:p>
      <w:pPr>
        <w:spacing w:after="0" w:line="233"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The Company's net sales and gross margin by major product line for the years ended December 31, 2025, 2024 and 2023 were as follows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4"/>
          </w:tcPr>
          <w:p>
            <w:pPr>
              <w:jc w:val="right"/>
              <w:ind w:right="740"/>
              <w:spacing w:after="0"/>
              <w:rPr>
                <w:sz w:val="20"/>
                <w:szCs w:val="20"/>
                <w:color w:val="auto"/>
              </w:rPr>
            </w:pPr>
            <w:r>
              <w:rPr>
                <w:rFonts w:ascii="Arial" w:cs="Arial" w:eastAsia="Arial" w:hAnsi="Arial"/>
                <w:sz w:val="20"/>
                <w:szCs w:val="20"/>
                <w:color w:val="auto"/>
              </w:rPr>
              <w:t>Years Ended</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20"/>
                <w:szCs w:val="20"/>
                <w:color w:val="auto"/>
              </w:rPr>
              <w:t>December 31,</w:t>
            </w:r>
          </w:p>
        </w:tc>
        <w:tc>
          <w:tcPr>
            <w:tcW w:w="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Net Sales</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20"/>
                <w:szCs w:val="20"/>
                <w:color w:val="auto"/>
                <w:w w:val="91"/>
              </w:rPr>
              <w:t>Gross Margin</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200" w:type="dxa"/>
            <w:vAlign w:val="bottom"/>
            <w:vMerge w:val="restart"/>
          </w:tcPr>
          <w:p>
            <w:pPr>
              <w:spacing w:after="0"/>
              <w:rPr>
                <w:sz w:val="20"/>
                <w:szCs w:val="20"/>
                <w:color w:val="auto"/>
              </w:rPr>
            </w:pPr>
            <w:r>
              <w:rPr>
                <w:rFonts w:ascii="Arial" w:cs="Arial" w:eastAsia="Arial" w:hAnsi="Arial"/>
                <w:sz w:val="20"/>
                <w:szCs w:val="20"/>
                <w:color w:val="auto"/>
              </w:rPr>
              <w:t>Power solutions and</w:t>
            </w:r>
          </w:p>
        </w:tc>
        <w:tc>
          <w:tcPr>
            <w:tcW w:w="220" w:type="dxa"/>
            <w:vAlign w:val="bottom"/>
          </w:tcPr>
          <w:p>
            <w:pPr>
              <w:spacing w:after="0"/>
              <w:rPr>
                <w:sz w:val="20"/>
                <w:szCs w:val="20"/>
                <w:color w:val="auto"/>
              </w:rPr>
            </w:pPr>
          </w:p>
        </w:tc>
        <w:tc>
          <w:tcPr>
            <w:tcW w:w="860" w:type="dxa"/>
            <w:vAlign w:val="bottom"/>
          </w:tcPr>
          <w:p>
            <w:pPr>
              <w:jc w:val="right"/>
              <w:ind w:right="241"/>
              <w:spacing w:after="0"/>
              <w:rPr>
                <w:sz w:val="20"/>
                <w:szCs w:val="20"/>
                <w:color w:val="auto"/>
              </w:rPr>
            </w:pPr>
            <w:r>
              <w:rPr>
                <w:rFonts w:ascii="Arial" w:cs="Arial" w:eastAsia="Arial" w:hAnsi="Arial"/>
                <w:sz w:val="20"/>
                <w:szCs w:val="20"/>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21"/>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2023</w:t>
            </w:r>
          </w:p>
        </w:tc>
        <w:tc>
          <w:tcPr>
            <w:tcW w:w="140" w:type="dxa"/>
            <w:vAlign w:val="bottom"/>
          </w:tcPr>
          <w:p>
            <w:pPr>
              <w:spacing w:after="0"/>
              <w:rPr>
                <w:sz w:val="20"/>
                <w:szCs w:val="20"/>
                <w:color w:val="auto"/>
              </w:rPr>
            </w:pPr>
          </w:p>
        </w:tc>
        <w:tc>
          <w:tcPr>
            <w:tcW w:w="1040" w:type="dxa"/>
            <w:vAlign w:val="bottom"/>
          </w:tcPr>
          <w:p>
            <w:pPr>
              <w:jc w:val="right"/>
              <w:ind w:right="221"/>
              <w:spacing w:after="0"/>
              <w:rPr>
                <w:sz w:val="20"/>
                <w:szCs w:val="20"/>
                <w:color w:val="auto"/>
              </w:rPr>
            </w:pPr>
            <w:r>
              <w:rPr>
                <w:rFonts w:ascii="Arial" w:cs="Arial" w:eastAsia="Arial" w:hAnsi="Arial"/>
                <w:sz w:val="20"/>
                <w:szCs w:val="20"/>
                <w:color w:val="auto"/>
              </w:rPr>
              <w:t>2025</w:t>
            </w:r>
          </w:p>
        </w:tc>
        <w:tc>
          <w:tcPr>
            <w:tcW w:w="200" w:type="dxa"/>
            <w:vAlign w:val="bottom"/>
          </w:tcPr>
          <w:p>
            <w:pPr>
              <w:spacing w:after="0"/>
              <w:rPr>
                <w:sz w:val="20"/>
                <w:szCs w:val="20"/>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20"/>
                <w:szCs w:val="20"/>
                <w:color w:val="auto"/>
              </w:rPr>
              <w:t>2024</w:t>
            </w:r>
          </w:p>
        </w:tc>
        <w:tc>
          <w:tcPr>
            <w:tcW w:w="260" w:type="dxa"/>
            <w:vAlign w:val="bottom"/>
          </w:tcPr>
          <w:p>
            <w:pPr>
              <w:spacing w:after="0"/>
              <w:rPr>
                <w:sz w:val="20"/>
                <w:szCs w:val="20"/>
                <w:color w:val="auto"/>
              </w:rPr>
            </w:pPr>
          </w:p>
        </w:tc>
        <w:tc>
          <w:tcPr>
            <w:tcW w:w="1040" w:type="dxa"/>
            <w:vAlign w:val="bottom"/>
            <w:gridSpan w:val="3"/>
          </w:tcPr>
          <w:p>
            <w:pPr>
              <w:jc w:val="right"/>
              <w:ind w:right="221"/>
              <w:spacing w:after="0"/>
              <w:rPr>
                <w:sz w:val="20"/>
                <w:szCs w:val="20"/>
                <w:color w:val="auto"/>
              </w:rPr>
            </w:pPr>
            <w:r>
              <w:rPr>
                <w:rFonts w:ascii="Arial" w:cs="Arial" w:eastAsia="Arial" w:hAnsi="Arial"/>
                <w:sz w:val="20"/>
                <w:szCs w:val="20"/>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20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00" w:type="dxa"/>
            <w:vAlign w:val="bottom"/>
          </w:tcPr>
          <w:p>
            <w:pPr>
              <w:spacing w:after="0"/>
              <w:rPr>
                <w:sz w:val="20"/>
                <w:szCs w:val="20"/>
                <w:color w:val="auto"/>
              </w:rPr>
            </w:pPr>
            <w:r>
              <w:rPr>
                <w:rFonts w:ascii="Arial" w:cs="Arial" w:eastAsia="Arial" w:hAnsi="Arial"/>
                <w:sz w:val="20"/>
                <w:szCs w:val="20"/>
                <w:color w:val="auto"/>
              </w:rPr>
              <w:t>protection</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356,805</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245,551</w:t>
            </w:r>
          </w:p>
        </w:tc>
        <w:tc>
          <w:tcPr>
            <w:tcW w:w="38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314,105</w:t>
            </w:r>
          </w:p>
        </w:tc>
        <w:tc>
          <w:tcPr>
            <w:tcW w:w="1380" w:type="dxa"/>
            <w:vAlign w:val="bottom"/>
            <w:gridSpan w:val="3"/>
          </w:tcPr>
          <w:p>
            <w:pPr>
              <w:jc w:val="right"/>
              <w:ind w:right="20"/>
              <w:spacing w:after="0"/>
              <w:rPr>
                <w:sz w:val="20"/>
                <w:szCs w:val="20"/>
                <w:color w:val="auto"/>
              </w:rPr>
            </w:pPr>
            <w:r>
              <w:rPr>
                <w:rFonts w:ascii="Arial" w:cs="Arial" w:eastAsia="Arial" w:hAnsi="Arial"/>
                <w:sz w:val="20"/>
                <w:szCs w:val="20"/>
                <w:color w:val="auto"/>
              </w:rPr>
              <w:t>42.7%</w:t>
            </w:r>
          </w:p>
        </w:tc>
        <w:tc>
          <w:tcPr>
            <w:tcW w:w="1380" w:type="dxa"/>
            <w:vAlign w:val="bottom"/>
            <w:gridSpan w:val="3"/>
          </w:tcPr>
          <w:p>
            <w:pPr>
              <w:jc w:val="right"/>
              <w:ind w:right="100"/>
              <w:spacing w:after="0"/>
              <w:rPr>
                <w:sz w:val="20"/>
                <w:szCs w:val="20"/>
                <w:color w:val="auto"/>
              </w:rPr>
            </w:pPr>
            <w:r>
              <w:rPr>
                <w:rFonts w:ascii="Arial" w:cs="Arial" w:eastAsia="Arial" w:hAnsi="Arial"/>
                <w:sz w:val="20"/>
                <w:szCs w:val="20"/>
                <w:color w:val="auto"/>
              </w:rPr>
              <w:t>42.4%</w:t>
            </w:r>
          </w:p>
        </w:tc>
        <w:tc>
          <w:tcPr>
            <w:tcW w:w="1200" w:type="dxa"/>
            <w:vAlign w:val="bottom"/>
            <w:gridSpan w:val="4"/>
          </w:tcPr>
          <w:p>
            <w:pPr>
              <w:jc w:val="right"/>
              <w:spacing w:after="0"/>
              <w:rPr>
                <w:sz w:val="20"/>
                <w:szCs w:val="20"/>
                <w:color w:val="auto"/>
              </w:rPr>
            </w:pPr>
            <w:r>
              <w:rPr>
                <w:rFonts w:ascii="Arial" w:cs="Arial" w:eastAsia="Arial" w:hAnsi="Arial"/>
                <w:sz w:val="20"/>
                <w:szCs w:val="20"/>
                <w:color w:val="auto"/>
              </w:rPr>
              <w:t>38.1%</w:t>
            </w:r>
          </w:p>
        </w:tc>
        <w:tc>
          <w:tcPr>
            <w:tcW w:w="0" w:type="dxa"/>
            <w:vAlign w:val="bottom"/>
          </w:tcPr>
          <w:p>
            <w:pPr>
              <w:spacing w:after="0"/>
              <w:rPr>
                <w:sz w:val="1"/>
                <w:szCs w:val="1"/>
                <w:color w:val="auto"/>
              </w:rPr>
            </w:pPr>
          </w:p>
        </w:tc>
      </w:tr>
      <w:tr>
        <w:trPr>
          <w:trHeight w:val="239"/>
        </w:trPr>
        <w:tc>
          <w:tcPr>
            <w:tcW w:w="2200" w:type="dxa"/>
            <w:vAlign w:val="bottom"/>
          </w:tcPr>
          <w:p>
            <w:pPr>
              <w:spacing w:after="0"/>
              <w:rPr>
                <w:sz w:val="20"/>
                <w:szCs w:val="20"/>
                <w:color w:val="auto"/>
              </w:rPr>
            </w:pPr>
            <w:r>
              <w:rPr>
                <w:rFonts w:ascii="Arial" w:cs="Arial" w:eastAsia="Arial" w:hAnsi="Arial"/>
                <w:sz w:val="20"/>
                <w:szCs w:val="20"/>
                <w:color w:val="auto"/>
              </w:rPr>
              <w:t>Connectivity solutions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232,286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220,370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210,572</w:t>
            </w:r>
          </w:p>
        </w:tc>
        <w:tc>
          <w:tcPr>
            <w:tcW w:w="1380" w:type="dxa"/>
            <w:vAlign w:val="bottom"/>
            <w:gridSpan w:val="3"/>
          </w:tcPr>
          <w:p>
            <w:pPr>
              <w:jc w:val="right"/>
              <w:ind w:right="20"/>
              <w:spacing w:after="0"/>
              <w:rPr>
                <w:sz w:val="20"/>
                <w:szCs w:val="20"/>
                <w:color w:val="auto"/>
              </w:rPr>
            </w:pPr>
            <w:r>
              <w:rPr>
                <w:rFonts w:ascii="Arial" w:cs="Arial" w:eastAsia="Arial" w:hAnsi="Arial"/>
                <w:sz w:val="20"/>
                <w:szCs w:val="20"/>
                <w:color w:val="auto"/>
              </w:rPr>
              <w:t>38.7%</w:t>
            </w:r>
          </w:p>
        </w:tc>
        <w:tc>
          <w:tcPr>
            <w:tcW w:w="1380" w:type="dxa"/>
            <w:vAlign w:val="bottom"/>
            <w:gridSpan w:val="3"/>
          </w:tcPr>
          <w:p>
            <w:pPr>
              <w:jc w:val="right"/>
              <w:ind w:right="100"/>
              <w:spacing w:after="0"/>
              <w:rPr>
                <w:sz w:val="20"/>
                <w:szCs w:val="20"/>
                <w:color w:val="auto"/>
              </w:rPr>
            </w:pPr>
            <w:r>
              <w:rPr>
                <w:rFonts w:ascii="Arial" w:cs="Arial" w:eastAsia="Arial" w:hAnsi="Arial"/>
                <w:sz w:val="20"/>
                <w:szCs w:val="20"/>
                <w:color w:val="auto"/>
              </w:rPr>
              <w:t>37.1%</w:t>
            </w:r>
          </w:p>
        </w:tc>
        <w:tc>
          <w:tcPr>
            <w:tcW w:w="1200" w:type="dxa"/>
            <w:vAlign w:val="bottom"/>
            <w:gridSpan w:val="4"/>
          </w:tcPr>
          <w:p>
            <w:pPr>
              <w:jc w:val="right"/>
              <w:spacing w:after="0"/>
              <w:rPr>
                <w:sz w:val="20"/>
                <w:szCs w:val="20"/>
                <w:color w:val="auto"/>
              </w:rPr>
            </w:pPr>
            <w:r>
              <w:rPr>
                <w:rFonts w:ascii="Arial" w:cs="Arial" w:eastAsia="Arial" w:hAnsi="Arial"/>
                <w:sz w:val="20"/>
                <w:szCs w:val="20"/>
                <w:color w:val="auto"/>
              </w:rPr>
              <w:t>34.2%</w:t>
            </w:r>
          </w:p>
        </w:tc>
        <w:tc>
          <w:tcPr>
            <w:tcW w:w="0" w:type="dxa"/>
            <w:vAlign w:val="bottom"/>
          </w:tcPr>
          <w:p>
            <w:pPr>
              <w:spacing w:after="0"/>
              <w:rPr>
                <w:sz w:val="1"/>
                <w:szCs w:val="1"/>
                <w:color w:val="auto"/>
              </w:rPr>
            </w:pPr>
          </w:p>
        </w:tc>
      </w:tr>
      <w:tr>
        <w:trPr>
          <w:trHeight w:val="254"/>
        </w:trPr>
        <w:tc>
          <w:tcPr>
            <w:tcW w:w="2200" w:type="dxa"/>
            <w:vAlign w:val="bottom"/>
          </w:tcPr>
          <w:p>
            <w:pPr>
              <w:spacing w:after="0"/>
              <w:rPr>
                <w:sz w:val="20"/>
                <w:szCs w:val="20"/>
                <w:color w:val="auto"/>
              </w:rPr>
            </w:pPr>
            <w:r>
              <w:rPr>
                <w:rFonts w:ascii="Arial" w:cs="Arial" w:eastAsia="Arial" w:hAnsi="Arial"/>
                <w:sz w:val="20"/>
                <w:szCs w:val="20"/>
                <w:color w:val="auto"/>
              </w:rPr>
              <w:t>Magnetic solutions</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86,364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68,871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115,136</w:t>
            </w:r>
          </w:p>
        </w:tc>
        <w:tc>
          <w:tcPr>
            <w:tcW w:w="140" w:type="dxa"/>
            <w:vAlign w:val="bottom"/>
          </w:tcPr>
          <w:p>
            <w:pPr>
              <w:spacing w:after="0"/>
              <w:rPr>
                <w:sz w:val="22"/>
                <w:szCs w:val="22"/>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20"/>
                <w:szCs w:val="20"/>
                <w:color w:val="auto"/>
              </w:rPr>
              <w:t>27.6%</w:t>
            </w:r>
          </w:p>
        </w:tc>
        <w:tc>
          <w:tcPr>
            <w:tcW w:w="1380" w:type="dxa"/>
            <w:vAlign w:val="bottom"/>
            <w:gridSpan w:val="3"/>
          </w:tcPr>
          <w:p>
            <w:pPr>
              <w:jc w:val="right"/>
              <w:ind w:right="100"/>
              <w:spacing w:after="0"/>
              <w:rPr>
                <w:sz w:val="20"/>
                <w:szCs w:val="20"/>
                <w:color w:val="auto"/>
              </w:rPr>
            </w:pPr>
            <w:r>
              <w:rPr>
                <w:rFonts w:ascii="Arial" w:cs="Arial" w:eastAsia="Arial" w:hAnsi="Arial"/>
                <w:sz w:val="20"/>
                <w:szCs w:val="20"/>
                <w:color w:val="auto"/>
              </w:rPr>
              <w:t>25.3%</w:t>
            </w:r>
          </w:p>
        </w:tc>
        <w:tc>
          <w:tcPr>
            <w:tcW w:w="1200" w:type="dxa"/>
            <w:vAlign w:val="bottom"/>
            <w:gridSpan w:val="4"/>
          </w:tcPr>
          <w:p>
            <w:pPr>
              <w:jc w:val="right"/>
              <w:spacing w:after="0"/>
              <w:rPr>
                <w:sz w:val="20"/>
                <w:szCs w:val="20"/>
                <w:color w:val="auto"/>
              </w:rPr>
            </w:pPr>
            <w:r>
              <w:rPr>
                <w:rFonts w:ascii="Arial" w:cs="Arial" w:eastAsia="Arial" w:hAnsi="Arial"/>
                <w:sz w:val="20"/>
                <w:szCs w:val="20"/>
                <w:color w:val="auto"/>
              </w:rPr>
              <w:t>22.0%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33.7%</w:t>
            </w:r>
          </w:p>
        </w:tc>
        <w:tc>
          <w:tcPr>
            <w:tcW w:w="0" w:type="dxa"/>
            <w:vAlign w:val="bottom"/>
          </w:tcPr>
          <w:p>
            <w:pPr>
              <w:spacing w:after="0" w:line="20" w:lineRule="exact"/>
              <w:rPr>
                <w:sz w:val="1"/>
                <w:szCs w:val="1"/>
                <w:color w:val="auto"/>
              </w:rPr>
            </w:pPr>
          </w:p>
        </w:tc>
      </w:tr>
      <w:tr>
        <w:trPr>
          <w:trHeight w:val="247"/>
        </w:trPr>
        <w:tc>
          <w:tcPr>
            <w:tcW w:w="2200" w:type="dxa"/>
            <w:vAlign w:val="bottom"/>
          </w:tcPr>
          <w:p>
            <w:pPr>
              <w:spacing w:after="0"/>
              <w:rPr>
                <w:sz w:val="21"/>
                <w:szCs w:val="21"/>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675,455</w:t>
            </w:r>
          </w:p>
        </w:tc>
        <w:tc>
          <w:tcPr>
            <w:tcW w:w="16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534,792</w:t>
            </w:r>
          </w:p>
        </w:tc>
        <w:tc>
          <w:tcPr>
            <w:tcW w:w="180" w:type="dxa"/>
            <w:vAlign w:val="bottom"/>
            <w:vMerge w:val="continue"/>
          </w:tcPr>
          <w:p>
            <w:pPr>
              <w:spacing w:after="0"/>
              <w:rPr>
                <w:sz w:val="21"/>
                <w:szCs w:val="21"/>
                <w:color w:val="auto"/>
              </w:rPr>
            </w:pP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639,813</w:t>
            </w:r>
          </w:p>
        </w:tc>
        <w:tc>
          <w:tcPr>
            <w:tcW w:w="140" w:type="dxa"/>
            <w:vAlign w:val="bottom"/>
            <w:vMerge w:val="continue"/>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20"/>
                <w:szCs w:val="20"/>
                <w:color w:val="auto"/>
              </w:rPr>
              <w:t>39.1%</w:t>
            </w:r>
          </w:p>
        </w:tc>
        <w:tc>
          <w:tcPr>
            <w:tcW w:w="60" w:type="dxa"/>
            <w:vAlign w:val="bottom"/>
            <w:vMerge w:val="continue"/>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0"/>
                <w:szCs w:val="20"/>
                <w:color w:val="auto"/>
              </w:rPr>
              <w:t>37.8%</w:t>
            </w:r>
          </w:p>
        </w:tc>
        <w:tc>
          <w:tcPr>
            <w:tcW w:w="8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-191135</wp:posOffset>
            </wp:positionV>
            <wp:extent cx="4697730" cy="2222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9773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2240" w:h="15840" w:orient="portrait"/>
          <w:cols w:equalWidth="0" w:num="1">
            <w:col w:w="10800"/>
          </w:cols>
          <w:pgMar w:left="720" w:top="560" w:right="720" w:bottom="0" w:gutter="0" w:footer="0" w:header="0"/>
        </w:sectPr>
      </w:pPr>
    </w:p>
    <w:bookmarkStart w:id="38" w:name="page39"/>
    <w:bookmarkEnd w:id="38"/>
    <w:p>
      <w:pPr>
        <w:spacing w:after="0"/>
        <w:rPr>
          <w:sz w:val="20"/>
          <w:szCs w:val="20"/>
          <w:color w:val="auto"/>
        </w:rPr>
      </w:pPr>
      <w:r>
        <w:rPr>
          <w:rFonts w:ascii="Arial" w:cs="Arial" w:eastAsia="Arial" w:hAnsi="Arial"/>
          <w:sz w:val="20"/>
          <w:szCs w:val="20"/>
          <w:u w:val="single" w:color="auto"/>
          <w:color w:val="auto"/>
        </w:rPr>
        <w:t>2025 as Compared to 2024</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Power Solutions and Protection:</w:t>
      </w:r>
    </w:p>
    <w:p>
      <w:pPr>
        <w:spacing w:after="0" w:line="226" w:lineRule="exact"/>
        <w:rPr>
          <w:sz w:val="20"/>
          <w:szCs w:val="20"/>
          <w:color w:val="auto"/>
        </w:rPr>
      </w:pPr>
    </w:p>
    <w:p>
      <w:pPr>
        <w:jc w:val="both"/>
        <w:ind w:left="20"/>
        <w:spacing w:after="0" w:line="258" w:lineRule="auto"/>
        <w:rPr>
          <w:sz w:val="20"/>
          <w:szCs w:val="20"/>
          <w:color w:val="auto"/>
        </w:rPr>
      </w:pPr>
      <w:r>
        <w:rPr>
          <w:rFonts w:ascii="Arial" w:cs="Arial" w:eastAsia="Arial" w:hAnsi="Arial"/>
          <w:sz w:val="19"/>
          <w:szCs w:val="19"/>
          <w:color w:val="auto"/>
        </w:rPr>
        <w:t>Sales of Power Solutions and Protection products increased by $111.3 million (45.3%) in 2025 compared to 2024. This growth was primarily attributable to strong demand in aerospace and defense applications, which contributed $136.6 million of incremental revenue in 2025. These sectors represent a new end market for Bel’s Power segment, introduced through the acquisition of Enercon in November 2024. Additional contributors to revenue growth included an $18.3 million (32.9%) increase in sales of front-end power products, driven by heightened demand in networking and datacenter applications. Further sales of Fuse products increased by $5.6 million (32.5%). These gains were partially offset by declines in other end markets, including a $9.9 million (23.6%) reduction in sales to the rail market, an $8.5 million (17.9%) decrease in sales to other industrial applications, and a $6.3 million (41.6%) decrease in the eMobility market in 2025 compared to 2024.</w:t>
      </w:r>
    </w:p>
    <w:p>
      <w:pPr>
        <w:spacing w:after="0" w:line="182" w:lineRule="exact"/>
        <w:rPr>
          <w:sz w:val="20"/>
          <w:szCs w:val="20"/>
          <w:color w:val="auto"/>
        </w:rPr>
      </w:pPr>
    </w:p>
    <w:p>
      <w:pPr>
        <w:jc w:val="both"/>
        <w:ind w:left="20"/>
        <w:spacing w:after="0" w:line="250" w:lineRule="auto"/>
        <w:rPr>
          <w:sz w:val="20"/>
          <w:szCs w:val="20"/>
          <w:color w:val="auto"/>
        </w:rPr>
      </w:pPr>
      <w:r>
        <w:rPr>
          <w:rFonts w:ascii="Arial" w:cs="Arial" w:eastAsia="Arial" w:hAnsi="Arial"/>
          <w:sz w:val="20"/>
          <w:szCs w:val="20"/>
          <w:color w:val="auto"/>
        </w:rPr>
        <w:t>Gross margin for the Power segment improved slightly in 2025 compared to 2024, reflecting 42.7% of segment sales for 2025, representing an increase of 30bps compared to 2024. The improvement in gross margin was primarily driven by increased sales volume and a favorable product mix resulting from the Enercon acquisition. The shift in product mix toward higher-margin aerospace and defense applications contributed positively to overall profitability for the segment.</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Connectivity Solutions:</w:t>
      </w:r>
    </w:p>
    <w:p>
      <w:pPr>
        <w:spacing w:after="0" w:line="224" w:lineRule="exact"/>
        <w:rPr>
          <w:sz w:val="20"/>
          <w:szCs w:val="20"/>
          <w:color w:val="auto"/>
        </w:rPr>
      </w:pPr>
    </w:p>
    <w:p>
      <w:pPr>
        <w:jc w:val="both"/>
        <w:ind w:left="20"/>
        <w:spacing w:after="0" w:line="245" w:lineRule="auto"/>
        <w:rPr>
          <w:sz w:val="20"/>
          <w:szCs w:val="20"/>
          <w:color w:val="auto"/>
        </w:rPr>
      </w:pPr>
      <w:r>
        <w:rPr>
          <w:rFonts w:ascii="Arial" w:cs="Arial" w:eastAsia="Arial" w:hAnsi="Arial"/>
          <w:sz w:val="20"/>
          <w:szCs w:val="20"/>
          <w:color w:val="auto"/>
        </w:rPr>
        <w:t>Sales of Connectivity Solutions products increased by $11.9 million (5.4%) in 2025 compared to 2024. This growth was primarily driven by a significant increase in sales to the commercial aerospace end market, which rose by $13.5 million (23.7%) year-over-year. Sales to the military end market also contributed positively, increasing by $4.7 million (10.1%) in 2025 compared to 2024. These gains were partially offset by a $2.3 million (3.1%) decrease in the volume of Connectivity Solutions products sold through distribution channels, as well as a $1.3 million (8.7%) reduction in sales of passive connector and cabling products used in the industrial premise wiring and 5G/IoT markets.</w:t>
      </w:r>
    </w:p>
    <w:p>
      <w:pPr>
        <w:spacing w:after="0" w:line="194" w:lineRule="exact"/>
        <w:rPr>
          <w:sz w:val="20"/>
          <w:szCs w:val="20"/>
          <w:color w:val="auto"/>
        </w:rPr>
      </w:pPr>
    </w:p>
    <w:p>
      <w:pPr>
        <w:jc w:val="both"/>
        <w:ind w:left="20"/>
        <w:spacing w:after="0" w:line="268" w:lineRule="auto"/>
        <w:rPr>
          <w:sz w:val="20"/>
          <w:szCs w:val="20"/>
          <w:color w:val="auto"/>
        </w:rPr>
      </w:pPr>
      <w:r>
        <w:rPr>
          <w:rFonts w:ascii="Arial" w:cs="Arial" w:eastAsia="Arial" w:hAnsi="Arial"/>
          <w:sz w:val="19"/>
          <w:szCs w:val="19"/>
          <w:color w:val="auto"/>
        </w:rPr>
        <w:t>Gross margin for the Connectivity Solutions segment improved in 2025 to 38.7% of segment sales, representing an increase of 160 bps compared to 2024. The improvement in gross margin was primarily attributable to an enhanced product mix, favorable exchange rate fluctuations between the U.S. dollar and Mexican peso, and operational efficiencies resulting from facility consolidations completed in 2024. These benefits were partially offset by higher wage rates in Mexico.</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Magnetic Solutions:</w:t>
      </w:r>
    </w:p>
    <w:p>
      <w:pPr>
        <w:spacing w:after="0" w:line="226" w:lineRule="exact"/>
        <w:rPr>
          <w:sz w:val="20"/>
          <w:szCs w:val="20"/>
          <w:color w:val="auto"/>
        </w:rPr>
      </w:pPr>
    </w:p>
    <w:p>
      <w:pPr>
        <w:jc w:val="both"/>
        <w:ind w:left="20"/>
        <w:spacing w:after="0" w:line="250" w:lineRule="auto"/>
        <w:rPr>
          <w:sz w:val="20"/>
          <w:szCs w:val="20"/>
          <w:color w:val="auto"/>
        </w:rPr>
      </w:pPr>
      <w:r>
        <w:rPr>
          <w:rFonts w:ascii="Arial" w:cs="Arial" w:eastAsia="Arial" w:hAnsi="Arial"/>
          <w:sz w:val="20"/>
          <w:szCs w:val="20"/>
          <w:color w:val="auto"/>
        </w:rPr>
        <w:t>Sales of our Magnetic Solutions products increased by $17.5 million (25.4%) during 2025 as compared to 2024. This growth was primarily driven by higher demand from networking customers. Gross margin improvements for this product group during 2025 were supported by higher sales, recent facility consolidations in the PRC, and effective cost management, partially offset by unfavorable exchange rates between the Chinese renminbi and the U.S. dollar.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2024 as Compared to 2023</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Power Solutions and Protection:</w:t>
      </w:r>
    </w:p>
    <w:p>
      <w:pPr>
        <w:spacing w:after="0" w:line="224" w:lineRule="exact"/>
        <w:rPr>
          <w:sz w:val="20"/>
          <w:szCs w:val="20"/>
          <w:color w:val="auto"/>
        </w:rPr>
      </w:pPr>
    </w:p>
    <w:p>
      <w:pPr>
        <w:jc w:val="both"/>
        <w:ind w:left="20"/>
        <w:spacing w:after="0" w:line="257" w:lineRule="auto"/>
        <w:rPr>
          <w:sz w:val="20"/>
          <w:szCs w:val="20"/>
          <w:color w:val="auto"/>
        </w:rPr>
      </w:pPr>
      <w:r>
        <w:rPr>
          <w:rFonts w:ascii="Arial" w:cs="Arial" w:eastAsia="Arial" w:hAnsi="Arial"/>
          <w:sz w:val="19"/>
          <w:szCs w:val="19"/>
          <w:color w:val="auto"/>
        </w:rPr>
        <w:t>Sales of our Power Solutions and Protection products were lower by $68.6 million (21.8%) in 2024 as compared to 2023. This decrease was primarily due to lower sales of our front-end power products and board mount power products of $45.3 million and $9.5 million, respectively, both of which are used in networking and datacenter applications. Sales of our CUI products were down by $21.2 million in 2024 as compared to 2023 due to the loss of sales in connection with a trade restriction placed on one of our suppliers in the PRC. Further, sales of product into the eMobility end market decreased by $12.9 million as compared to 2023. These decreases were offset in part by an increase in sales of our rail products by $11.8 million as compared to 2023. Raw material expedite fee revenue for this segment totaled $0.1 million in 2024 as compared to $14.9 million in 2023. Enercon contributed $20.8 million of military, aerospace and defense applications sales in the last two months of 2024. Gross margin improved in 2024 as compared to 2023 as a result of the Enercon acquisition, favorable exchange rates with the Chinese renminbi versus the U.S. dollar, a lower volume of low-margin expedite fees and a favorable shift in product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ectPr>
          <w:pgSz w:w="12240" w:h="15840" w:orient="portrait"/>
          <w:cols w:equalWidth="0" w:num="1">
            <w:col w:w="10820"/>
          </w:cols>
          <w:pgMar w:left="700" w:top="555" w:right="720" w:bottom="0" w:gutter="0" w:footer="0" w:header="0"/>
        </w:sectPr>
      </w:pPr>
    </w:p>
    <w:bookmarkStart w:id="39" w:name="page40"/>
    <w:bookmarkEnd w:id="39"/>
    <w:p>
      <w:pPr>
        <w:spacing w:after="0"/>
        <w:rPr>
          <w:sz w:val="20"/>
          <w:szCs w:val="20"/>
          <w:color w:val="auto"/>
        </w:rPr>
      </w:pPr>
      <w:r>
        <w:rPr>
          <w:rFonts w:ascii="Arial" w:cs="Arial" w:eastAsia="Arial" w:hAnsi="Arial"/>
          <w:sz w:val="20"/>
          <w:szCs w:val="20"/>
          <w:i w:val="1"/>
          <w:iCs w:val="1"/>
          <w:color w:val="auto"/>
        </w:rPr>
        <w:t>Connectivity Solutions: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Sales of our Connectivity Solutions products increased by $9.8 million (4.7%) in 2024 as compared to 2023. This increase was primarily due to an increase in sales into the commercial aerospace end market of $3.6 million (6.8%) in 2024 as compared to 2023. Sales into our military end market also grew by $2.3 million (5.2%) in 2024 as compared to 2023. We also experienced an increased volume of Connectivity Solutions products sold through our distribution channels in 2024 of $2.3 million (2.9%) compared to 2023. Gross margin for 2024 was favorably impacted by pricing actions on certain contract renewals, operational efficiencies from the facility consolidations completed in 2023 and a favorable fluctuation in exchange rates between the U.S. dollar and Mexican peso in 2024 versus 2023. These factors were partially offset by higher wage rates in Mexico in 2024 as compared to 2023.</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Magnetic Solutions: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Sales of our Magnetic Solutions products declined by $46.3 million (40.2%) during 2024 as compared to 2023. Reduced demand for our ICM products from our networking customers and through our distribution channels was the primary driver as we believe these customers continue to work through inventory on hand. Recent facility consolidations in the PRC, diligent cost management, product mix and a favorable exchange rate with the Chinese renminbi versus the U.S. dollar, were the primary drivers of gross margin expansion for this product group in 2024 as compared with 2023, despite the decline in revenue.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 of Sales</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Cost of sales as a percentage of net sales for the years ended December 31, 2025, 2024 and 2023 consisted of the following:</w:t>
      </w:r>
    </w:p>
    <w:p>
      <w:pPr>
        <w:spacing w:after="0" w:line="245"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Years Ended</w:t>
      </w:r>
    </w:p>
    <w:p>
      <w:pPr>
        <w:spacing w:after="0" w:line="33"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December 31,</w:t>
      </w:r>
    </w:p>
    <w:tbl>
      <w:tblPr>
        <w:tblLayout w:type="fixed"/>
        <w:tblInd w:w="0" w:type="dxa"/>
        <w:tblCellMar>
          <w:top w:w="0" w:type="dxa"/>
          <w:left w:w="0" w:type="dxa"/>
          <w:bottom w:w="0" w:type="dxa"/>
          <w:right w:w="0" w:type="dxa"/>
        </w:tblCellMar>
      </w:tblPr>
      <w:tr>
        <w:trPr>
          <w:trHeight w:val="233"/>
        </w:trPr>
        <w:tc>
          <w:tcPr>
            <w:tcW w:w="48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4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20"/>
                <w:szCs w:val="20"/>
                <w:color w:val="auto"/>
              </w:rPr>
              <w:t>2024</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20"/>
                <w:szCs w:val="20"/>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line="215" w:lineRule="exact"/>
              <w:rPr>
                <w:sz w:val="20"/>
                <w:szCs w:val="20"/>
                <w:color w:val="auto"/>
              </w:rPr>
            </w:pPr>
            <w:r>
              <w:rPr>
                <w:rFonts w:ascii="Arial" w:cs="Arial" w:eastAsia="Arial" w:hAnsi="Arial"/>
                <w:sz w:val="20"/>
                <w:szCs w:val="20"/>
                <w:color w:val="auto"/>
              </w:rPr>
              <w:t>Material costs</w:t>
            </w:r>
          </w:p>
        </w:tc>
        <w:tc>
          <w:tcPr>
            <w:tcW w:w="980" w:type="dxa"/>
            <w:vAlign w:val="bottom"/>
          </w:tcPr>
          <w:p>
            <w:pPr>
              <w:spacing w:after="0"/>
              <w:rPr>
                <w:sz w:val="18"/>
                <w:szCs w:val="18"/>
                <w:color w:val="auto"/>
              </w:rPr>
            </w:pPr>
          </w:p>
        </w:tc>
        <w:tc>
          <w:tcPr>
            <w:tcW w:w="680" w:type="dxa"/>
            <w:vAlign w:val="bottom"/>
            <w:gridSpan w:val="2"/>
          </w:tcPr>
          <w:p>
            <w:pPr>
              <w:jc w:val="right"/>
              <w:ind w:right="80"/>
              <w:spacing w:after="0" w:line="215" w:lineRule="exact"/>
              <w:rPr>
                <w:sz w:val="20"/>
                <w:szCs w:val="20"/>
                <w:color w:val="auto"/>
              </w:rPr>
            </w:pPr>
            <w:r>
              <w:rPr>
                <w:rFonts w:ascii="Arial" w:cs="Arial" w:eastAsia="Arial" w:hAnsi="Arial"/>
                <w:sz w:val="20"/>
                <w:szCs w:val="20"/>
                <w:color w:val="auto"/>
              </w:rPr>
              <w:t>31.3%</w:t>
            </w:r>
          </w:p>
        </w:tc>
        <w:tc>
          <w:tcPr>
            <w:tcW w:w="1660" w:type="dxa"/>
            <w:vAlign w:val="bottom"/>
            <w:gridSpan w:val="2"/>
          </w:tcPr>
          <w:p>
            <w:pPr>
              <w:jc w:val="right"/>
              <w:ind w:right="80"/>
              <w:spacing w:after="0" w:line="215" w:lineRule="exact"/>
              <w:rPr>
                <w:sz w:val="20"/>
                <w:szCs w:val="20"/>
                <w:color w:val="auto"/>
              </w:rPr>
            </w:pPr>
            <w:r>
              <w:rPr>
                <w:rFonts w:ascii="Arial" w:cs="Arial" w:eastAsia="Arial" w:hAnsi="Arial"/>
                <w:sz w:val="20"/>
                <w:szCs w:val="20"/>
                <w:color w:val="auto"/>
              </w:rPr>
              <w:t>29.7%</w:t>
            </w:r>
          </w:p>
        </w:tc>
        <w:tc>
          <w:tcPr>
            <w:tcW w:w="1580" w:type="dxa"/>
            <w:vAlign w:val="bottom"/>
            <w:gridSpan w:val="4"/>
          </w:tcPr>
          <w:p>
            <w:pPr>
              <w:jc w:val="right"/>
              <w:spacing w:after="0" w:line="215" w:lineRule="exact"/>
              <w:rPr>
                <w:sz w:val="20"/>
                <w:szCs w:val="20"/>
                <w:color w:val="auto"/>
              </w:rPr>
            </w:pPr>
            <w:r>
              <w:rPr>
                <w:rFonts w:ascii="Arial" w:cs="Arial" w:eastAsia="Arial" w:hAnsi="Arial"/>
                <w:sz w:val="20"/>
                <w:szCs w:val="20"/>
                <w:color w:val="auto"/>
              </w:rPr>
              <w:t>40.8%</w:t>
            </w:r>
          </w:p>
        </w:tc>
        <w:tc>
          <w:tcPr>
            <w:tcW w:w="0" w:type="dxa"/>
            <w:vAlign w:val="bottom"/>
          </w:tcPr>
          <w:p>
            <w:pPr>
              <w:spacing w:after="0"/>
              <w:rPr>
                <w:sz w:val="1"/>
                <w:szCs w:val="1"/>
                <w:color w:val="auto"/>
              </w:rPr>
            </w:pPr>
          </w:p>
        </w:tc>
      </w:tr>
      <w:tr>
        <w:trPr>
          <w:trHeight w:val="239"/>
        </w:trPr>
        <w:tc>
          <w:tcPr>
            <w:tcW w:w="5800" w:type="dxa"/>
            <w:vAlign w:val="bottom"/>
            <w:gridSpan w:val="2"/>
          </w:tcPr>
          <w:p>
            <w:pPr>
              <w:spacing w:after="0"/>
              <w:rPr>
                <w:sz w:val="20"/>
                <w:szCs w:val="20"/>
                <w:color w:val="auto"/>
              </w:rPr>
            </w:pPr>
            <w:r>
              <w:rPr>
                <w:rFonts w:ascii="Arial" w:cs="Arial" w:eastAsia="Arial" w:hAnsi="Arial"/>
                <w:sz w:val="20"/>
                <w:szCs w:val="20"/>
                <w:color w:val="auto"/>
              </w:rPr>
              <w:t>Labor costs</w:t>
            </w:r>
          </w:p>
        </w:tc>
        <w:tc>
          <w:tcPr>
            <w:tcW w:w="680" w:type="dxa"/>
            <w:vAlign w:val="bottom"/>
            <w:gridSpan w:val="2"/>
          </w:tcPr>
          <w:p>
            <w:pPr>
              <w:jc w:val="right"/>
              <w:ind w:right="80"/>
              <w:spacing w:after="0"/>
              <w:rPr>
                <w:sz w:val="20"/>
                <w:szCs w:val="20"/>
                <w:color w:val="auto"/>
              </w:rPr>
            </w:pPr>
            <w:r>
              <w:rPr>
                <w:rFonts w:ascii="Arial" w:cs="Arial" w:eastAsia="Arial" w:hAnsi="Arial"/>
                <w:sz w:val="20"/>
                <w:szCs w:val="20"/>
                <w:color w:val="auto"/>
              </w:rPr>
              <w:t>7.7%</w:t>
            </w:r>
          </w:p>
        </w:tc>
        <w:tc>
          <w:tcPr>
            <w:tcW w:w="1660" w:type="dxa"/>
            <w:vAlign w:val="bottom"/>
            <w:gridSpan w:val="2"/>
          </w:tcPr>
          <w:p>
            <w:pPr>
              <w:jc w:val="right"/>
              <w:ind w:right="80"/>
              <w:spacing w:after="0"/>
              <w:rPr>
                <w:sz w:val="20"/>
                <w:szCs w:val="20"/>
                <w:color w:val="auto"/>
              </w:rPr>
            </w:pPr>
            <w:r>
              <w:rPr>
                <w:rFonts w:ascii="Arial" w:cs="Arial" w:eastAsia="Arial" w:hAnsi="Arial"/>
                <w:sz w:val="20"/>
                <w:szCs w:val="20"/>
                <w:color w:val="auto"/>
              </w:rPr>
              <w:t>7.8%</w:t>
            </w:r>
          </w:p>
        </w:tc>
        <w:tc>
          <w:tcPr>
            <w:tcW w:w="1580" w:type="dxa"/>
            <w:vAlign w:val="bottom"/>
            <w:gridSpan w:val="4"/>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54"/>
        </w:trPr>
        <w:tc>
          <w:tcPr>
            <w:tcW w:w="4820" w:type="dxa"/>
            <w:vAlign w:val="bottom"/>
          </w:tcPr>
          <w:p>
            <w:pPr>
              <w:spacing w:after="0"/>
              <w:rPr>
                <w:sz w:val="20"/>
                <w:szCs w:val="20"/>
                <w:color w:val="auto"/>
              </w:rPr>
            </w:pPr>
            <w:r>
              <w:rPr>
                <w:rFonts w:ascii="Arial" w:cs="Arial" w:eastAsia="Arial" w:hAnsi="Arial"/>
                <w:sz w:val="20"/>
                <w:szCs w:val="20"/>
                <w:color w:val="auto"/>
              </w:rPr>
              <w:t>Other expenses</w:t>
            </w:r>
          </w:p>
        </w:tc>
        <w:tc>
          <w:tcPr>
            <w:tcW w:w="98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20"/>
                <w:szCs w:val="20"/>
                <w:color w:val="auto"/>
              </w:rPr>
              <w:t>21.9%</w:t>
            </w:r>
          </w:p>
        </w:tc>
        <w:tc>
          <w:tcPr>
            <w:tcW w:w="1660" w:type="dxa"/>
            <w:vAlign w:val="bottom"/>
            <w:gridSpan w:val="2"/>
          </w:tcPr>
          <w:p>
            <w:pPr>
              <w:jc w:val="right"/>
              <w:ind w:right="80"/>
              <w:spacing w:after="0"/>
              <w:rPr>
                <w:sz w:val="20"/>
                <w:szCs w:val="20"/>
                <w:color w:val="auto"/>
              </w:rPr>
            </w:pPr>
            <w:r>
              <w:rPr>
                <w:rFonts w:ascii="Arial" w:cs="Arial" w:eastAsia="Arial" w:hAnsi="Arial"/>
                <w:sz w:val="20"/>
                <w:szCs w:val="20"/>
                <w:color w:val="auto"/>
              </w:rPr>
              <w:t>24.7%</w:t>
            </w:r>
          </w:p>
        </w:tc>
        <w:tc>
          <w:tcPr>
            <w:tcW w:w="1580" w:type="dxa"/>
            <w:vAlign w:val="bottom"/>
            <w:gridSpan w:val="4"/>
          </w:tcPr>
          <w:p>
            <w:pPr>
              <w:jc w:val="right"/>
              <w:spacing w:after="0"/>
              <w:rPr>
                <w:sz w:val="20"/>
                <w:szCs w:val="20"/>
                <w:color w:val="auto"/>
              </w:rPr>
            </w:pPr>
            <w:r>
              <w:rPr>
                <w:rFonts w:ascii="Arial" w:cs="Arial" w:eastAsia="Arial" w:hAnsi="Arial"/>
                <w:sz w:val="20"/>
                <w:szCs w:val="20"/>
                <w:color w:val="auto"/>
              </w:rPr>
              <w:t>18.9%</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80"/>
              <w:spacing w:after="0"/>
              <w:rPr>
                <w:sz w:val="20"/>
                <w:szCs w:val="20"/>
                <w:color w:val="auto"/>
              </w:rPr>
            </w:pPr>
            <w:r>
              <w:rPr>
                <w:rFonts w:ascii="Arial" w:cs="Arial" w:eastAsia="Arial" w:hAnsi="Arial"/>
                <w:sz w:val="20"/>
                <w:szCs w:val="20"/>
                <w:color w:val="auto"/>
              </w:rPr>
              <w:t>Total cost of sales</w:t>
            </w: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20"/>
                <w:szCs w:val="20"/>
                <w:color w:val="auto"/>
              </w:rPr>
              <w:t>66.3%</w:t>
            </w:r>
          </w:p>
        </w:tc>
        <w:tc>
          <w:tcPr>
            <w:tcW w:w="0" w:type="dxa"/>
            <w:vAlign w:val="bottom"/>
          </w:tcPr>
          <w:p>
            <w:pPr>
              <w:spacing w:after="0" w:line="20" w:lineRule="exact"/>
              <w:rPr>
                <w:sz w:val="1"/>
                <w:szCs w:val="1"/>
                <w:color w:val="auto"/>
              </w:rPr>
            </w:pPr>
          </w:p>
        </w:tc>
      </w:tr>
      <w:tr>
        <w:trPr>
          <w:trHeight w:val="247"/>
        </w:trPr>
        <w:tc>
          <w:tcPr>
            <w:tcW w:w="482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20"/>
                <w:szCs w:val="20"/>
                <w:color w:val="auto"/>
              </w:rPr>
              <w:t>60.9%</w:t>
            </w:r>
          </w:p>
        </w:tc>
        <w:tc>
          <w:tcPr>
            <w:tcW w:w="1660" w:type="dxa"/>
            <w:vAlign w:val="bottom"/>
            <w:gridSpan w:val="2"/>
          </w:tcPr>
          <w:p>
            <w:pPr>
              <w:jc w:val="right"/>
              <w:ind w:right="80"/>
              <w:spacing w:after="0"/>
              <w:rPr>
                <w:sz w:val="20"/>
                <w:szCs w:val="20"/>
                <w:color w:val="auto"/>
              </w:rPr>
            </w:pPr>
            <w:r>
              <w:rPr>
                <w:rFonts w:ascii="Arial" w:cs="Arial" w:eastAsia="Arial" w:hAnsi="Arial"/>
                <w:sz w:val="20"/>
                <w:szCs w:val="20"/>
                <w:color w:val="auto"/>
              </w:rPr>
              <w:t>62.2%</w:t>
            </w:r>
          </w:p>
        </w:tc>
        <w:tc>
          <w:tcPr>
            <w:tcW w:w="8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-191135</wp:posOffset>
            </wp:positionV>
            <wp:extent cx="3041650" cy="2222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41650" cy="22225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2025 as Compared to 2024</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Material costs as a percentage of sales increased in 2025 compared to 2024, primarily due to a shift in production mix driven by higher sales of Power products, which typically have greater material content.</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Labor costs as a percentage of sales declined slightly for full year 2025, relative to 2024. This decrease reflects increased sales and favorable exchange rate fluctuations in the Mexican peso versus the U.S. dollar, partially offset by higher minimum wage rates and unfavorable exchange rate fluctuations in the Israeli shekel versus the U.S. dollar.</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Other expenses, including fixed costs such as support labor and benefits, depreciation and amortization, and facility costs (rent, utilities, insurance), remained relatively stable from a dollar amount perspective, aside from the inclusion of Enercon’s overhead expenses in 2025. However, as a percentage of sales, these expenses decreased in 2025 compared to 2024, benefiting from higher sales volumes during the year.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2024 as Compared to 2023</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Material costs as a percentage of sales during 2024 were lower compared to 2023, due to a shift in product mix, the stabilization of raw material pricing, shorter lead times, and better procurement efforts. Labor costs in 2024 as a percentage of sales increased compared to 2023 due to lower sales volume, a shift in product mix in 2024 compared to the previous year, and the increase in statutory minimum wage rate in Mexico. This increase in labor cost was partially offset by lower labor costs in the PRC due to the favorable fluctuation in the Chinese renminbi exchange rate versus the U.S. dollar.</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other expenses noted in the table above include fixed cost items such as support labor and fringe, depreciation and amortization, and facility costs (i.e. rent, utilities, insurance). In total, these other expenses within cost of sales decreased by $1.5 million in 2024 as compared to 2023. As a percentage of sales, other expenses increased due to the lower sales volume in 2024 as compared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2240" w:h="15840" w:orient="portrait"/>
          <w:cols w:equalWidth="0" w:num="1">
            <w:col w:w="10800"/>
          </w:cols>
          <w:pgMar w:left="720" w:top="557" w:right="720" w:bottom="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u w:val="single" w:color="auto"/>
          <w:color w:val="auto"/>
        </w:rPr>
        <w:t>Research and Development ("R&amp;D")</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R&amp;D expenses were $30.9 million, $23.6 million and $22.5 million for the years ended December 31, 2025, 2024 and 2023, respectively. The increase in R&amp;D expenses in 2025 compared to 2024 was primarily due to the inclusion of a full year of Enercon-related salaries, benefits, product development costs, and other R&amp;D expenses, whereas 2024 reflected only two months of Enercon’s R&amp;D activity following its November 2024 acquisition. The increase noted in R&amp;D expenses during 2024 compared to 2023 is largely due to higher salaries, benefits, and product development costs and R&amp;D expense resulting from the November 2024 Enercon acquisition, which have been included in Bel's results since its acquisition date.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Selling, General and Administrative Expenses ("SG&amp;A")</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2025 as Compared to 2024</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SG&amp;A expenses were $125.8 million in 2025, compared to $110.6 million in 2024. The increase was primarily due to the incremental increase in Enercon’s SG&amp;A expense by $20.8 million in 2025, versus inclusion of only two months of Enercon SG&amp;A activity in 2024 after its acquisition. Excluding Enercon, legacy Bel SG&amp;A expenses declined $5.6 million, driven by lower legal fees in 2025 compared to 2024.</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2024 as Compared to 2023</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SG&amp;A expenses were $110.6 million in 2024 as compared with $99.1 million in 2023. The primary drivers for the increase in SG&amp;A during 2024 related to acquisition-related costs within SG&amp;A of $10.9 million in connection with the acquisition of Enercon, and $2.5 million of SG&amp;A expenses attributable to the acquired business for the two months of 2024 under Bel ownership. Excluding these items related to Enercon, legacy-Bel SG&amp;A expenses declined due to lower legal fees, as well as lower incentive compensation, commissions and business promotion expenses in 2024, as compared to 2023 due to the lower sales base in the 2024 period.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Restructuring Charges</w:t>
      </w:r>
    </w:p>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2025, new restructuring charges totaled $ 2.4 million, primarily consisting of $1.6 million in severance and other costs associated to the transition of manufacturing from Bel's Pingguo, PRC facility to an outside subcontractor (the "Pingguo initiative"), and $0.4 million in charges related to the transition of certain manufacturing operations from Glen Rock, Pennsylvania to other existing Bel sites. These charges were partially offset by a $3.2 million reversal, resulting from a non-cash settlement of liabilities associated with the prior consolidation of two Magnetic Solutions manufacturing sites into a single new facility.</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recorded $3.5 million of restructuring charges in 2024 largely in connection with the Glen Rock initiative and the Fuse initiative. In 2023, the Company recorded $10.1 million of restructuring charges largely in connection with its four facility consolidation projects in the U.S., the United Kingdom and the PRC.</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Gain on Sale of Properties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2025, the Company recognized gains on sales of assets totaling $5.7 million, primarily attributable to the sale of multiple buildings in Zhongshan, PRC and the sale of property in Glen Rock, Pennsylvania. During 2023, the Company recorded a gain of $3.8 million related to the sale of one of its properties in Jersey City, New Jersey.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Interest Expense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2025 as Compared to 2024</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was $14.8 million in 2025, compared to $4.1 million in 2024. The increase in 2025 was primarily driven by higher outstanding borrowings under the Company's Credit Agreement, including amounts incurred to finance the Enercon acquisition and related costs. For further information on the Company's outstanding debt, refer to "Liquidity and Capital Resources" below and Note 11, "</w:t>
      </w:r>
      <w:r>
        <w:rPr>
          <w:rFonts w:ascii="Arial" w:cs="Arial" w:eastAsia="Arial" w:hAnsi="Arial"/>
          <w:sz w:val="18"/>
          <w:szCs w:val="18"/>
          <w:i w:val="1"/>
          <w:iCs w:val="1"/>
          <w:color w:val="auto"/>
        </w:rPr>
        <w:t>Debt</w:t>
      </w:r>
      <w:r>
        <w:rPr>
          <w:rFonts w:ascii="Arial" w:cs="Arial" w:eastAsia="Arial" w:hAnsi="Arial"/>
          <w:sz w:val="18"/>
          <w:szCs w:val="18"/>
          <w:color w:val="auto"/>
        </w:rPr>
        <w:t>". Additional details related to the Enercon acquisition are provided in Note 3, "</w:t>
      </w:r>
      <w:r>
        <w:rPr>
          <w:rFonts w:ascii="Arial" w:cs="Arial" w:eastAsia="Arial" w:hAnsi="Arial"/>
          <w:sz w:val="18"/>
          <w:szCs w:val="18"/>
          <w:i w:val="1"/>
          <w:iCs w:val="1"/>
          <w:color w:val="auto"/>
        </w:rPr>
        <w:t>Acquisition</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2024 as Compared to 2023</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Company incurred interest expense of $4.1 million in 2024 and $2.9 million in 2023 primarily due to its outstanding borrowings under the Company's Credit Agreement. The increase in interest expense during 2024 related to an increase in debt balance in the fourth quarter of 2024 due to Enercon acquisition (see Note 3, “</w:t>
      </w:r>
      <w:r>
        <w:rPr>
          <w:rFonts w:ascii="Arial" w:cs="Arial" w:eastAsia="Arial" w:hAnsi="Arial"/>
          <w:sz w:val="20"/>
          <w:szCs w:val="20"/>
          <w:i w:val="1"/>
          <w:iCs w:val="1"/>
          <w:color w:val="auto"/>
        </w:rPr>
        <w:t>Acquisition</w:t>
      </w:r>
      <w:r>
        <w:rPr>
          <w:rFonts w:ascii="Arial" w:cs="Arial" w:eastAsia="Arial" w:hAnsi="Arial"/>
          <w:sz w:val="20"/>
          <w:szCs w:val="20"/>
          <w:color w:val="auto"/>
        </w:rPr>
        <w:t xml:space="preserve">” for additional details). See </w:t>
      </w:r>
      <w:r>
        <w:rPr>
          <w:rFonts w:ascii="Arial" w:cs="Arial" w:eastAsia="Arial" w:hAnsi="Arial"/>
          <w:sz w:val="20"/>
          <w:szCs w:val="20"/>
          <w:i w:val="1"/>
          <w:iCs w:val="1"/>
          <w:color w:val="auto"/>
        </w:rPr>
        <w:t>"Liquidity and Capital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Resources" </w:t>
      </w:r>
      <w:r>
        <w:rPr>
          <w:rFonts w:ascii="Arial" w:cs="Arial" w:eastAsia="Arial" w:hAnsi="Arial"/>
          <w:sz w:val="20"/>
          <w:szCs w:val="20"/>
          <w:color w:val="auto"/>
        </w:rPr>
        <w:t>and Note 11,</w:t>
      </w:r>
      <w:r>
        <w:rPr>
          <w:rFonts w:ascii="Arial" w:cs="Arial" w:eastAsia="Arial" w:hAnsi="Arial"/>
          <w:sz w:val="20"/>
          <w:szCs w:val="20"/>
          <w:i w:val="1"/>
          <w:iCs w:val="1"/>
          <w:color w:val="auto"/>
        </w:rPr>
        <w:t xml:space="preserve"> "Debt" </w:t>
      </w:r>
      <w:r>
        <w:rPr>
          <w:rFonts w:ascii="Arial" w:cs="Arial" w:eastAsia="Arial" w:hAnsi="Arial"/>
          <w:sz w:val="20"/>
          <w:szCs w:val="20"/>
          <w:color w:val="auto"/>
        </w:rPr>
        <w:t>for further information on the Company's outstanding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2240" w:h="15840" w:orient="portrait"/>
          <w:cols w:equalWidth="0" w:num="1">
            <w:col w:w="10800"/>
          </w:cols>
          <w:pgMar w:left="720" w:top="551" w:right="720" w:bottom="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u w:val="single" w:color="auto"/>
          <w:color w:val="auto"/>
        </w:rPr>
        <w:t>Interest Income</w:t>
      </w:r>
    </w:p>
    <w:p>
      <w:pPr>
        <w:spacing w:after="0" w:line="230" w:lineRule="exact"/>
        <w:rPr>
          <w:sz w:val="20"/>
          <w:szCs w:val="20"/>
          <w:color w:val="auto"/>
        </w:rPr>
      </w:pPr>
    </w:p>
    <w:p>
      <w:pPr>
        <w:jc w:val="both"/>
        <w:ind w:right="80"/>
        <w:spacing w:after="0" w:line="257" w:lineRule="auto"/>
        <w:rPr>
          <w:sz w:val="20"/>
          <w:szCs w:val="20"/>
          <w:color w:val="auto"/>
        </w:rPr>
      </w:pPr>
      <w:r>
        <w:rPr>
          <w:rFonts w:ascii="Arial" w:cs="Arial" w:eastAsia="Arial" w:hAnsi="Arial"/>
          <w:sz w:val="20"/>
          <w:szCs w:val="20"/>
          <w:color w:val="auto"/>
        </w:rPr>
        <w:t>Interest income was $1.0 million for the year ended December 31, 2025, representing a decrease of $3.7 million, or 78.2%, compared to $4.8 million for the year ended December 31, 2024. The decrease was primarily attributable to lower average balances of U.S. Treasury Bills held during 2025 as compared to the prior year.</w:t>
      </w:r>
    </w:p>
    <w:p>
      <w:pPr>
        <w:spacing w:after="0" w:line="178" w:lineRule="exact"/>
        <w:rPr>
          <w:sz w:val="20"/>
          <w:szCs w:val="20"/>
          <w:color w:val="auto"/>
        </w:rPr>
      </w:pPr>
    </w:p>
    <w:p>
      <w:pPr>
        <w:jc w:val="both"/>
        <w:ind w:right="80"/>
        <w:spacing w:after="0" w:line="255" w:lineRule="auto"/>
        <w:rPr>
          <w:sz w:val="20"/>
          <w:szCs w:val="20"/>
          <w:color w:val="auto"/>
        </w:rPr>
      </w:pPr>
      <w:r>
        <w:rPr>
          <w:rFonts w:ascii="Arial" w:cs="Arial" w:eastAsia="Arial" w:hAnsi="Arial"/>
          <w:sz w:val="20"/>
          <w:szCs w:val="20"/>
          <w:color w:val="auto"/>
        </w:rPr>
        <w:t>Interest income for the year ended December 31, 2024 increased to $4.8 million, compared to $1.7 million for the year ended December 31, 2023. The increase was primarily driven by higher levels of investment in U.S. Treasury Bills during 2024, which resulted in higher interest income relative to the prior year.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Impairment of Innolectric</w:t>
      </w:r>
    </w:p>
    <w:p>
      <w:pPr>
        <w:spacing w:after="0" w:line="233" w:lineRule="exact"/>
        <w:rPr>
          <w:sz w:val="20"/>
          <w:szCs w:val="20"/>
          <w:color w:val="auto"/>
        </w:rPr>
      </w:pPr>
    </w:p>
    <w:p>
      <w:pPr>
        <w:jc w:val="both"/>
        <w:ind w:right="80"/>
        <w:spacing w:after="0" w:line="243" w:lineRule="auto"/>
        <w:rPr>
          <w:sz w:val="20"/>
          <w:szCs w:val="20"/>
          <w:color w:val="auto"/>
        </w:rPr>
      </w:pPr>
      <w:r>
        <w:rPr>
          <w:rFonts w:ascii="Arial" w:cs="Arial" w:eastAsia="Arial" w:hAnsi="Arial"/>
          <w:sz w:val="20"/>
          <w:szCs w:val="20"/>
          <w:color w:val="auto"/>
        </w:rPr>
        <w:t>On November 26, 2025, management concluded that an impairment charge was required in connection with the Company’s noncontrolling minority investment in innolectric, a Germany -based e-Mobility technology company, and related party notes receivable. Bel acquired a one-third (1/3) noncontrolling equity interest in innolectric in February 2023. Based on management’s assessment of the carrying value of the investment and the recoverability of the related party notes receivable, the Company recorded a pre-tax impairment charge of $13.1 million in the fourth quarter of 2025. This charge represents the full impairment of Bel’s investment in innolectric and the related notes receivable, and the Company does not expect any future recovery through the insolvency process. The impairment was determined based on indicators of impairment including the cessation of financial support from the majority owner, recent financial performance, changes in market conditions, and other relevant factors affecting innolectric’s business.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Income (Expense), Net</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2025 as Compared to 2024</w:t>
      </w:r>
    </w:p>
    <w:p>
      <w:pPr>
        <w:spacing w:after="0" w:line="226" w:lineRule="exact"/>
        <w:rPr>
          <w:sz w:val="20"/>
          <w:szCs w:val="20"/>
          <w:color w:val="auto"/>
        </w:rPr>
      </w:pPr>
    </w:p>
    <w:p>
      <w:pPr>
        <w:jc w:val="both"/>
        <w:ind w:right="80"/>
        <w:spacing w:after="0" w:line="245" w:lineRule="auto"/>
        <w:rPr>
          <w:sz w:val="20"/>
          <w:szCs w:val="20"/>
          <w:color w:val="auto"/>
        </w:rPr>
      </w:pPr>
      <w:r>
        <w:rPr>
          <w:rFonts w:ascii="Arial" w:cs="Arial" w:eastAsia="Arial" w:hAnsi="Arial"/>
          <w:sz w:val="20"/>
          <w:szCs w:val="20"/>
          <w:color w:val="auto"/>
        </w:rPr>
        <w:t>Other income (expense), net was income of $10.9 million for the year ended December 31, 2025, compared to expense of $3.2 million for the year ended December 31, 2024, representing an increase of $14.1 million year-over-year. The increase in other income (expense), net for 2025 was primarily attributable to a foreign exchange gain of $10.8 million, which was an improvement of $12.8 million compared to the prior year. Additionally, gains from the Company's Supplemental Executive Retirement Plan ("SERP") investments increased by $0.1 million to $1.4 million, and stamp duty tax expense decreased by $2.0 million in 2025 as compared to 2024.</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2024 as Compared to 2023</w:t>
      </w:r>
    </w:p>
    <w:p>
      <w:pPr>
        <w:spacing w:after="0" w:line="229" w:lineRule="exact"/>
        <w:rPr>
          <w:sz w:val="20"/>
          <w:szCs w:val="20"/>
          <w:color w:val="auto"/>
        </w:rPr>
      </w:pPr>
    </w:p>
    <w:p>
      <w:pPr>
        <w:jc w:val="both"/>
        <w:ind w:right="80"/>
        <w:spacing w:after="0" w:line="261" w:lineRule="auto"/>
        <w:rPr>
          <w:sz w:val="20"/>
          <w:szCs w:val="20"/>
          <w:color w:val="auto"/>
        </w:rPr>
      </w:pPr>
      <w:r>
        <w:rPr>
          <w:rFonts w:ascii="Arial" w:cs="Arial" w:eastAsia="Arial" w:hAnsi="Arial"/>
          <w:sz w:val="19"/>
          <w:szCs w:val="19"/>
          <w:color w:val="auto"/>
        </w:rPr>
        <w:t>Other income (expense), net was a net expense of $3.2 million in 2024 compared to a net expense of $4.5 million in 2023. The net expense in 2024 was comprised of a foreign exchange loss of $1.9 million, $0.6 million of losses associated with Bel's investment in innolectric and $2.0 million of stamp duty fees related to Enercon; partially offset by a gain of $1.3 million related to the Company's SERP investments. The net expense in 2023 was comprised of a foreign exchange loss of $1.4 million, the loss on liquidation of a foreign subsidiary of $2.7 million, $0.8 million of losses associated with Bel's investment in innolectric and $0.8 million of other expense; partially offset by a gain of $1.2 million related to the Company's SERP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Income Taxes</w:t>
      </w:r>
    </w:p>
    <w:p>
      <w:pPr>
        <w:spacing w:after="0" w:line="233" w:lineRule="exact"/>
        <w:rPr>
          <w:sz w:val="20"/>
          <w:szCs w:val="20"/>
          <w:color w:val="auto"/>
        </w:rPr>
      </w:pPr>
    </w:p>
    <w:p>
      <w:pPr>
        <w:jc w:val="both"/>
        <w:ind w:right="80"/>
        <w:spacing w:after="0" w:line="257" w:lineRule="auto"/>
        <w:rPr>
          <w:sz w:val="20"/>
          <w:szCs w:val="20"/>
          <w:color w:val="auto"/>
        </w:rPr>
      </w:pPr>
      <w:r>
        <w:rPr>
          <w:rFonts w:ascii="Arial" w:cs="Arial" w:eastAsia="Arial" w:hAnsi="Arial"/>
          <w:sz w:val="20"/>
          <w:szCs w:val="20"/>
          <w:color w:val="auto"/>
        </w:rPr>
        <w:t xml:space="preserve">The Company’s effective tax rate will fluctuate based on the geographic regions in which the pretax profits are earned. Of the jurisdictions in which the Company operates, the U.S. and Europe’s tax rates are generally equivalent; and Asia has the lowest tax rates of the Company’s three geographic regions. See Note 10, </w:t>
      </w:r>
      <w:r>
        <w:rPr>
          <w:rFonts w:ascii="Arial" w:cs="Arial" w:eastAsia="Arial" w:hAnsi="Arial"/>
          <w:sz w:val="20"/>
          <w:szCs w:val="20"/>
          <w:i w:val="1"/>
          <w:iCs w:val="1"/>
          <w:color w:val="auto"/>
        </w:rPr>
        <w:t>“Income Taxes.”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2025 as Compared to 2024</w:t>
      </w:r>
    </w:p>
    <w:p>
      <w:pPr>
        <w:spacing w:after="0" w:line="229" w:lineRule="exact"/>
        <w:rPr>
          <w:sz w:val="20"/>
          <w:szCs w:val="20"/>
          <w:color w:val="auto"/>
        </w:rPr>
      </w:pPr>
    </w:p>
    <w:p>
      <w:pPr>
        <w:jc w:val="both"/>
        <w:ind w:right="80"/>
        <w:spacing w:after="0" w:line="302" w:lineRule="auto"/>
        <w:rPr>
          <w:sz w:val="20"/>
          <w:szCs w:val="20"/>
          <w:color w:val="auto"/>
        </w:rPr>
      </w:pPr>
      <w:r>
        <w:rPr>
          <w:rFonts w:ascii="Arial" w:cs="Arial" w:eastAsia="Arial" w:hAnsi="Arial"/>
          <w:sz w:val="19"/>
          <w:szCs w:val="19"/>
          <w:color w:val="auto"/>
        </w:rPr>
        <w:t>The provision for income taxes increased by $8.3 million for the year ended December 31, 2025, compared to the year ended December 31, 2024. This increase was primarily attributable to a higher level of worldwide income before income taxes in 2025.</w:t>
      </w:r>
    </w:p>
    <w:p>
      <w:pPr>
        <w:spacing w:after="0" w:line="138" w:lineRule="exact"/>
        <w:rPr>
          <w:sz w:val="20"/>
          <w:szCs w:val="20"/>
          <w:color w:val="auto"/>
        </w:rPr>
      </w:pPr>
    </w:p>
    <w:p>
      <w:pPr>
        <w:jc w:val="both"/>
        <w:ind w:right="80"/>
        <w:spacing w:after="0" w:line="272" w:lineRule="auto"/>
        <w:rPr>
          <w:sz w:val="20"/>
          <w:szCs w:val="20"/>
          <w:color w:val="auto"/>
        </w:rPr>
      </w:pPr>
      <w:r>
        <w:rPr>
          <w:rFonts w:ascii="Arial" w:cs="Arial" w:eastAsia="Arial" w:hAnsi="Arial"/>
          <w:sz w:val="20"/>
          <w:szCs w:val="20"/>
          <w:color w:val="auto"/>
        </w:rPr>
        <w:t>The Company’s effective tax rate increased to 22.0% for the year ended December 31, 2025, from 20.5% for the prior year. The increase in the effective tax rate was primarily driven by the following factors:</w:t>
      </w:r>
    </w:p>
    <w:p>
      <w:pPr>
        <w:spacing w:after="0" w:line="169" w:lineRule="exact"/>
        <w:rPr>
          <w:sz w:val="20"/>
          <w:szCs w:val="20"/>
          <w:color w:val="auto"/>
        </w:rPr>
      </w:pPr>
    </w:p>
    <w:p>
      <w:pPr>
        <w:ind w:left="360" w:hanging="247"/>
        <w:spacing w:after="0" w:line="257" w:lineRule="auto"/>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Changes in the mix of jurisdictional earnings: A greater proportion of earnings was generated in jurisdictions with higher statutory tax rates, resulting in an increased overall tax rate.</w:t>
      </w:r>
    </w:p>
    <w:p>
      <w:pPr>
        <w:spacing w:after="0" w:line="1" w:lineRule="exact"/>
        <w:rPr>
          <w:rFonts w:ascii="Arial" w:cs="Arial" w:eastAsia="Arial" w:hAnsi="Arial"/>
          <w:sz w:val="20"/>
          <w:szCs w:val="20"/>
          <w:color w:val="auto"/>
        </w:rPr>
      </w:pPr>
    </w:p>
    <w:p>
      <w:pPr>
        <w:ind w:left="360" w:hanging="247"/>
        <w:spacing w:after="0" w:line="244" w:lineRule="auto"/>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Higher U.S. taxes on foreign subsidiary income: There was an increase in taxes related to income from foreign subsidiaries that is subject to U.S. taxation under the provisions of the Tax Cuts and Jobs Act.</w:t>
      </w:r>
    </w:p>
    <w:p>
      <w:pPr>
        <w:ind w:left="360" w:hanging="247"/>
        <w:spacing w:after="0" w:line="274" w:lineRule="auto"/>
        <w:tabs>
          <w:tab w:leader="none" w:pos="3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Decrease in tax benefit from reversal of uncertain tax positions: The tax benefit recognized in connection with the reversal of previously recorded uncertain tax positions declined, as certain statutes of limitations expired during the year.</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32</w:t>
      </w:r>
    </w:p>
    <w:p>
      <w:pPr>
        <w:sectPr>
          <w:pgSz w:w="12240" w:h="15840" w:orient="portrait"/>
          <w:cols w:equalWidth="0" w:num="1">
            <w:col w:w="10880"/>
          </w:cols>
          <w:pgMar w:left="720" w:top="551" w:right="640" w:bottom="0" w:gutter="0" w:footer="0" w:header="0"/>
        </w:sectPr>
      </w:pPr>
    </w:p>
    <w:bookmarkStart w:id="42" w:name="page43"/>
    <w:bookmarkEnd w:id="42"/>
    <w:p>
      <w:pPr>
        <w:spacing w:after="0"/>
        <w:rPr>
          <w:sz w:val="20"/>
          <w:szCs w:val="20"/>
          <w:color w:val="auto"/>
        </w:rPr>
      </w:pPr>
      <w:r>
        <w:rPr>
          <w:rFonts w:ascii="Arial" w:cs="Arial" w:eastAsia="Arial" w:hAnsi="Arial"/>
          <w:sz w:val="20"/>
          <w:szCs w:val="20"/>
          <w:u w:val="single" w:color="auto"/>
          <w:color w:val="auto"/>
        </w:rPr>
        <w:t>2024 as Compared to 2023</w:t>
      </w:r>
    </w:p>
    <w:p>
      <w:pPr>
        <w:spacing w:after="0" w:line="226" w:lineRule="exact"/>
        <w:rPr>
          <w:sz w:val="20"/>
          <w:szCs w:val="20"/>
          <w:color w:val="auto"/>
        </w:rPr>
      </w:pPr>
    </w:p>
    <w:p>
      <w:pPr>
        <w:jc w:val="both"/>
        <w:ind w:right="140"/>
        <w:spacing w:after="0" w:line="257" w:lineRule="auto"/>
        <w:rPr>
          <w:sz w:val="20"/>
          <w:szCs w:val="20"/>
          <w:color w:val="auto"/>
        </w:rPr>
      </w:pPr>
      <w:r>
        <w:rPr>
          <w:rFonts w:ascii="Arial" w:cs="Arial" w:eastAsia="Arial" w:hAnsi="Arial"/>
          <w:sz w:val="20"/>
          <w:szCs w:val="20"/>
          <w:color w:val="auto"/>
        </w:rPr>
        <w:t>The provision for income taxes increased by $3.1 million for the year ended December 31, 2024, compared to the year ended December 31, 2023. The Company’s effective tax rate increased to 20.5% for the year ended December 31, 2024, from 11.4% for the prior year. The increase in the effective tax rate was primarily driven by the following factors:</w:t>
      </w:r>
    </w:p>
    <w:p>
      <w:pPr>
        <w:spacing w:after="0" w:line="183" w:lineRule="exact"/>
        <w:rPr>
          <w:sz w:val="20"/>
          <w:szCs w:val="20"/>
          <w:color w:val="auto"/>
        </w:rPr>
      </w:pPr>
    </w:p>
    <w:p>
      <w:pPr>
        <w:ind w:left="360" w:hanging="259"/>
        <w:spacing w:after="0"/>
        <w:tabs>
          <w:tab w:leader="none" w:pos="3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Higher U.S. taxes resulting from an adjustment for non-deductible tax expenses in the prior year.</w:t>
      </w:r>
    </w:p>
    <w:p>
      <w:pPr>
        <w:spacing w:after="0" w:line="34" w:lineRule="exact"/>
        <w:rPr>
          <w:rFonts w:ascii="Arial" w:cs="Arial" w:eastAsia="Arial" w:hAnsi="Arial"/>
          <w:sz w:val="20"/>
          <w:szCs w:val="20"/>
          <w:color w:val="auto"/>
        </w:rPr>
      </w:pPr>
    </w:p>
    <w:p>
      <w:pPr>
        <w:ind w:left="360" w:hanging="259"/>
        <w:spacing w:after="0"/>
        <w:tabs>
          <w:tab w:leader="none" w:pos="3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Higher foreign taxes resulting from valuation allowances on foreign net operating losses.</w:t>
      </w:r>
    </w:p>
    <w:p>
      <w:pPr>
        <w:spacing w:after="0" w:line="8" w:lineRule="exact"/>
        <w:rPr>
          <w:rFonts w:ascii="Arial" w:cs="Arial" w:eastAsia="Arial" w:hAnsi="Arial"/>
          <w:sz w:val="20"/>
          <w:szCs w:val="20"/>
          <w:color w:val="auto"/>
        </w:rPr>
      </w:pPr>
    </w:p>
    <w:p>
      <w:pPr>
        <w:ind w:left="360" w:hanging="259"/>
        <w:spacing w:after="0" w:line="271" w:lineRule="auto"/>
        <w:tabs>
          <w:tab w:leader="none" w:pos="3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Decrease in tax benefit from reversal of uncertain tax positions: The tax benefit recognized in connection with the reversal of previously recorded uncertain tax positions declined, as certain statutes of limitations expired during the year.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Tax Matters</w:t>
      </w:r>
    </w:p>
    <w:p>
      <w:pPr>
        <w:spacing w:after="0" w:line="229" w:lineRule="exact"/>
        <w:rPr>
          <w:sz w:val="20"/>
          <w:szCs w:val="20"/>
          <w:color w:val="auto"/>
        </w:rPr>
      </w:pPr>
    </w:p>
    <w:p>
      <w:pPr>
        <w:jc w:val="both"/>
        <w:ind w:right="140"/>
        <w:spacing w:after="0" w:line="257" w:lineRule="auto"/>
        <w:rPr>
          <w:sz w:val="20"/>
          <w:szCs w:val="20"/>
          <w:color w:val="auto"/>
        </w:rPr>
      </w:pPr>
      <w:r>
        <w:rPr>
          <w:rFonts w:ascii="Arial" w:cs="Arial" w:eastAsia="Arial" w:hAnsi="Arial"/>
          <w:sz w:val="20"/>
          <w:szCs w:val="20"/>
          <w:color w:val="auto"/>
        </w:rPr>
        <w:t>The Company has a portion of its products manufactured on the mainland of the PRC where Bel is not subject to corporate income tax on manufacturing services provided by third parties. Hong Kong has a territorial tax system which imposes corporate income tax at a rate of 16.5% on income from activities solely conducted in Hong Kong.</w:t>
      </w:r>
    </w:p>
    <w:p>
      <w:pPr>
        <w:spacing w:after="0" w:line="176" w:lineRule="exact"/>
        <w:rPr>
          <w:sz w:val="20"/>
          <w:szCs w:val="20"/>
          <w:color w:val="auto"/>
        </w:rPr>
      </w:pPr>
    </w:p>
    <w:p>
      <w:pPr>
        <w:jc w:val="both"/>
        <w:ind w:right="140"/>
        <w:spacing w:after="0" w:line="268" w:lineRule="auto"/>
        <w:rPr>
          <w:sz w:val="20"/>
          <w:szCs w:val="20"/>
          <w:color w:val="auto"/>
        </w:rPr>
      </w:pPr>
      <w:r>
        <w:rPr>
          <w:rFonts w:ascii="Arial" w:cs="Arial" w:eastAsia="Arial" w:hAnsi="Arial"/>
          <w:sz w:val="19"/>
          <w:szCs w:val="19"/>
          <w:color w:val="auto"/>
        </w:rPr>
        <w:t>The Company holds an offshore business license from the government of Macao. With this license, a Macao offshore company named Bel Fuse (Macao Commercial Offshore) Limited ("Bel Fuse Macao") has been established to handle the Company’s sales to third-party customers in Asia. Sales by this company primarily consist of products manufactured in the PRC. Bel Fuse Macao is subject to Macao's corporate tax rate of 12% on income from activities solely conducted in Macao.</w:t>
      </w:r>
    </w:p>
    <w:p>
      <w:pPr>
        <w:spacing w:after="0" w:line="168" w:lineRule="exact"/>
        <w:rPr>
          <w:sz w:val="20"/>
          <w:szCs w:val="20"/>
          <w:color w:val="auto"/>
        </w:rPr>
      </w:pPr>
    </w:p>
    <w:p>
      <w:pPr>
        <w:jc w:val="both"/>
        <w:ind w:right="140"/>
        <w:spacing w:after="0" w:line="257" w:lineRule="auto"/>
        <w:rPr>
          <w:sz w:val="20"/>
          <w:szCs w:val="20"/>
          <w:color w:val="auto"/>
        </w:rPr>
      </w:pPr>
      <w:r>
        <w:rPr>
          <w:rFonts w:ascii="Arial" w:cs="Arial" w:eastAsia="Arial" w:hAnsi="Arial"/>
          <w:sz w:val="20"/>
          <w:szCs w:val="20"/>
          <w:color w:val="auto"/>
        </w:rPr>
        <w:t>Due to the practicality of determining the deferred taxes on outside basis differences in our investments in our foreign subsidiaries, management has not provided for deferred taxes on outside basis differences at December 31, 2025 and deemed that these basis differences will be indefinitely reinvested.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Inflation and Foreign Currency Exchange</w:t>
      </w:r>
    </w:p>
    <w:p>
      <w:pPr>
        <w:spacing w:after="0" w:line="230" w:lineRule="exact"/>
        <w:rPr>
          <w:sz w:val="20"/>
          <w:szCs w:val="20"/>
          <w:color w:val="auto"/>
        </w:rPr>
      </w:pPr>
    </w:p>
    <w:p>
      <w:pPr>
        <w:jc w:val="both"/>
        <w:ind w:right="140"/>
        <w:spacing w:after="0" w:line="269" w:lineRule="auto"/>
        <w:rPr>
          <w:sz w:val="20"/>
          <w:szCs w:val="20"/>
          <w:color w:val="auto"/>
        </w:rPr>
      </w:pPr>
      <w:r>
        <w:rPr>
          <w:rFonts w:ascii="Arial" w:cs="Arial" w:eastAsia="Arial" w:hAnsi="Arial"/>
          <w:sz w:val="18"/>
          <w:szCs w:val="18"/>
          <w:color w:val="auto"/>
        </w:rPr>
        <w:t xml:space="preserve">During the past three years, we do not believe the effect of inflation was material to our consolidated financial position or our consolidated results of operations. We are exposed to market risk from changes in foreign currency exchange rates. Fluctuations of the U.S. dollar against other major currencies have not significantly affected our foreign operations as most sales continue to be denominated in U.S. dollars or currencies directly or indirectly linked to the U.S. dollar. Most significant expenses, including raw materials, labor and manufacturing expenses, are incurred primarily in U.S. dollars, Mexican pesos, the Chinese renminbi or the Israeli shekel, and to a lesser extent in British pounds, or Indian rupees. The Mexican peso depreciated by 5%, the Euro appreciated by 4%, the British pound appreciated by 3%, the Israeli shekel appreciated by 6% and the Chinese renminbi remained flat versus the U.S. dollar in 2025 compared to 2024. To the extent the renminbi, peso or shekel appreciate in future periods, it could result in the Company's incurring higher costs for most expenses incurred in the PRC, Mexico and Israel. The Company periodically uses foreign currency forward contracts to manage its short-term exposures to fluctuations in operational cash flows resulting from changes in foreign currency exchange rates as further described in Note 13,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The Company's European entities, whose functional currencies are Euros and British pounds, enter into transactions which include sales that are denominated principally in Euros, British pounds and various other European currencies, and purchases that are denominated principally in U.S. dollars and British pounds. Such transactions, as well as those related to our multi-currency intercompany payable and receivable transactions, resulted in a net realized and unrealized currency exchange gain of $10.1 million in 2025, a loss of $1.9 million in 2024 and a loss of $1.4 million in 2023 which were included in other income (expense), net on the consolidated statements of operations. Translation of subsidiaries' foreign currency financial statements into U.S. dollars resulted in translation adjustments, net of taxes, of $2.5 million and ($5.5) million for the years ended December 31, 2025 and 2024, respectively, which are included in accumulated other comprehensive loss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30" w:lineRule="exact"/>
        <w:rPr>
          <w:sz w:val="20"/>
          <w:szCs w:val="20"/>
          <w:color w:val="auto"/>
        </w:rPr>
      </w:pPr>
    </w:p>
    <w:p>
      <w:pPr>
        <w:jc w:val="both"/>
        <w:ind w:right="140"/>
        <w:spacing w:after="0" w:line="257" w:lineRule="auto"/>
        <w:rPr>
          <w:sz w:val="20"/>
          <w:szCs w:val="20"/>
          <w:color w:val="auto"/>
        </w:rPr>
      </w:pPr>
      <w:r>
        <w:rPr>
          <w:rFonts w:ascii="Arial" w:cs="Arial" w:eastAsia="Arial" w:hAnsi="Arial"/>
          <w:sz w:val="19"/>
          <w:szCs w:val="19"/>
          <w:color w:val="auto"/>
        </w:rPr>
        <w:t>Our principal sources of liquidity include $57.8 million of cash and cash equivalents at December 31, 2025, cash provided by operating activities and borrowings available under our credit facility. We expect to use this liquidity for operating expenses, investments in working capital, capital expenditures, interest, taxes, lease and purchase obligations, pension benefit obligations, dividends, purchases of common stock under our Repurchase Program, and dividends, debt obligations and other long-term liabilities. Our liquidity may also be utilized to fund potential acquisitions in future periods, as well as potential future cash requirements related to the Enercon acquisition, including potential Earnout Payments that may become due and the put-call options under the Enercon shareholders’ agreement, pursuant to which Bel has the current intention to purchase the remaining 20% interest by early 2027. We believe that our current liquidity position and future cash flows from operations will enable us to fund our operations, both in the next twelve months and in the longer term.</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33</w:t>
      </w:r>
    </w:p>
    <w:p>
      <w:pPr>
        <w:sectPr>
          <w:pgSz w:w="12240" w:h="15840" w:orient="portrait"/>
          <w:cols w:equalWidth="0" w:num="1">
            <w:col w:w="10940"/>
          </w:cols>
          <w:pgMar w:left="720" w:top="785" w:right="580" w:bottom="0" w:gutter="0" w:footer="0" w:header="0"/>
        </w:sectPr>
      </w:pPr>
    </w:p>
    <w:bookmarkStart w:id="43" w:name="page44"/>
    <w:bookmarkEnd w:id="43"/>
    <w:p>
      <w:pPr>
        <w:spacing w:after="0"/>
        <w:rPr>
          <w:sz w:val="20"/>
          <w:szCs w:val="20"/>
          <w:color w:val="auto"/>
        </w:rPr>
      </w:pPr>
      <w:r>
        <w:rPr>
          <w:rFonts w:ascii="Arial" w:cs="Arial" w:eastAsia="Arial" w:hAnsi="Arial"/>
          <w:sz w:val="20"/>
          <w:szCs w:val="20"/>
          <w:u w:val="single" w:color="auto"/>
          <w:color w:val="auto"/>
        </w:rPr>
        <w:t>Cash Flow Summary</w:t>
      </w:r>
    </w:p>
    <w:p>
      <w:pPr>
        <w:spacing w:after="0" w:line="226"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During the year ended December 31, 2025, the Company's cash and cash equivalents decreased by $10.5 million. This decrease was primarily due to the following:</w:t>
      </w:r>
    </w:p>
    <w:p>
      <w:pPr>
        <w:spacing w:after="0" w:line="167" w:lineRule="exact"/>
        <w:rPr>
          <w:sz w:val="20"/>
          <w:szCs w:val="20"/>
          <w:color w:val="auto"/>
        </w:rPr>
      </w:pPr>
    </w:p>
    <w:p>
      <w:pPr>
        <w:ind w:left="360" w:hanging="259"/>
        <w:spacing w:after="0"/>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Net repayments of long-term debt of $90.0 million;</w:t>
      </w:r>
    </w:p>
    <w:p>
      <w:pPr>
        <w:spacing w:after="0" w:line="34" w:lineRule="exact"/>
        <w:rPr>
          <w:rFonts w:ascii="Arial" w:cs="Arial" w:eastAsia="Arial" w:hAnsi="Arial"/>
          <w:sz w:val="20"/>
          <w:szCs w:val="20"/>
          <w:color w:val="auto"/>
        </w:rPr>
      </w:pPr>
    </w:p>
    <w:p>
      <w:pPr>
        <w:ind w:left="360" w:hanging="259"/>
        <w:spacing w:after="0"/>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Purchases of property, plant and equipment of $12.0 million;</w:t>
      </w:r>
    </w:p>
    <w:p>
      <w:pPr>
        <w:spacing w:after="0" w:line="8" w:lineRule="exact"/>
        <w:rPr>
          <w:rFonts w:ascii="Arial" w:cs="Arial" w:eastAsia="Arial" w:hAnsi="Arial"/>
          <w:sz w:val="20"/>
          <w:szCs w:val="20"/>
          <w:color w:val="auto"/>
        </w:rPr>
      </w:pPr>
    </w:p>
    <w:p>
      <w:pPr>
        <w:ind w:left="360" w:hanging="259"/>
        <w:spacing w:after="0"/>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Dividend payments of $3.5 million; and</w:t>
      </w:r>
    </w:p>
    <w:p>
      <w:pPr>
        <w:spacing w:after="0" w:line="8" w:lineRule="exact"/>
        <w:rPr>
          <w:rFonts w:ascii="Arial" w:cs="Arial" w:eastAsia="Arial" w:hAnsi="Arial"/>
          <w:sz w:val="20"/>
          <w:szCs w:val="20"/>
          <w:color w:val="auto"/>
        </w:rPr>
      </w:pPr>
    </w:p>
    <w:p>
      <w:pPr>
        <w:ind w:left="360" w:hanging="259"/>
        <w:spacing w:after="0"/>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Deferred financing costs of $0.7 million; partially offset by</w:t>
      </w:r>
    </w:p>
    <w:p>
      <w:pPr>
        <w:spacing w:after="0" w:line="8" w:lineRule="exact"/>
        <w:rPr>
          <w:rFonts w:ascii="Arial" w:cs="Arial" w:eastAsia="Arial" w:hAnsi="Arial"/>
          <w:sz w:val="20"/>
          <w:szCs w:val="20"/>
          <w:color w:val="auto"/>
        </w:rPr>
      </w:pPr>
    </w:p>
    <w:p>
      <w:pPr>
        <w:ind w:left="640" w:hanging="227"/>
        <w:spacing w:after="0"/>
        <w:tabs>
          <w:tab w:leader="none" w:pos="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Net cash provided by operating activities of $80.6 million;</w:t>
      </w:r>
    </w:p>
    <w:p>
      <w:pPr>
        <w:spacing w:after="0" w:line="8" w:lineRule="exact"/>
        <w:rPr>
          <w:rFonts w:ascii="Arial" w:cs="Arial" w:eastAsia="Arial" w:hAnsi="Arial"/>
          <w:sz w:val="20"/>
          <w:szCs w:val="20"/>
          <w:color w:val="auto"/>
        </w:rPr>
      </w:pPr>
    </w:p>
    <w:p>
      <w:pPr>
        <w:ind w:left="640" w:hanging="227"/>
        <w:spacing w:after="0"/>
        <w:tabs>
          <w:tab w:leader="none" w:pos="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Proceeds from the sale of property of $7.8 million; and</w:t>
      </w:r>
    </w:p>
    <w:p>
      <w:pPr>
        <w:spacing w:after="0" w:line="8" w:lineRule="exact"/>
        <w:rPr>
          <w:rFonts w:ascii="Arial" w:cs="Arial" w:eastAsia="Arial" w:hAnsi="Arial"/>
          <w:sz w:val="20"/>
          <w:szCs w:val="20"/>
          <w:color w:val="auto"/>
        </w:rPr>
      </w:pPr>
    </w:p>
    <w:p>
      <w:pPr>
        <w:ind w:left="640" w:hanging="227"/>
        <w:spacing w:after="0"/>
        <w:tabs>
          <w:tab w:leader="none" w:pos="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Proceeds from held to maturity securities of $1.0 million;</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During the year ended December 31, 2025, the Company’s operating activities demonstrated continued growth and operational efficiency, supported by strong cash generation and disciplined working capital management. Accounts receivable increased by $8.6 million, primarily due to higher sales volume compared to 2024. Notably, the Company improved its collection efficiency, as reflected by a decrease in days sales outstanding (DSO) to 64 days at December 31, 2025, from 68 days at December 31, 2024. This improvement underscores enhanced cash conversion from sales and effective receivables management. Inventories increased by $2.4 million over the prior year, primarily due to higher sales volumes and increased purchasing activity to support customer demand. The Company’s inventory turns improved to 2.5 times in 2025 from 2.1 times in 2024, indicating more efficient inventory utilization and stronger demand for products. Other operating cash flow line items, such as changes in accounts payable and accrued expenses, contributed positively to liquidity, as the Company maintained disciplined expense management and optimized payment cycles.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During the year ended December 31, 2024, accounts receivable decreased by $6.8 million primarily due to the lower sales volume in 2024 as compared to 2023. Days sales outstanding (DSO) increased to 68 days at December 31, 2024 from 55 days at December 31, 2023. Inventories increased by $24.8 million from the December 31, 2023 level primarily due to the inclusion of Enercon's inventory balance at December 31, 2024 of $42.7 million. Inventory turns were 2.1 times for the year ended December 31, 2024 and 3.1 times for the year ended December 31, 2023. Given the nature of Enercon’s manufacturing process and low unit quantity per order, a higher value of inventory is kept on hand for longer periods of time, with Enercon’s inventory turns being 1.6 times, bringing Bel’s consolidated inventory turn level down substantially.</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During the year ended December 31, 2023, the Company's cash and cash equivalents increased by $19.1 million. This increase was primarily due to cash provided by operating activities of $108.3 million, proceeds from the sale of property, plant and equipment of $6.0 million, proceeds from held to maturity securities of $19.9 million, and proceeds from the sale of our business in the Czech Republic of $5.1 million; partially offset by the purchases of held to maturity and marketable securities of $60.0 million, payments for our equity method investment in innolectric of $10.3 million, purchases of property, plant and equipment of $12.1 million, dividend payments of $3.5 million, and net repayments under our revolving credit line of $35.0 million. During the year ended December 31, 2023, accounts receivable decreased $22.5 million primarily due to the lower sales volume in the second half of 2023 as compared to the same period of 2022. DSO decreased to 55 days at December 31, 2023 from 58 days at December 31, 2022. Inventories decreased by $33.6 million from the December 31, 2022 level. Inventory turns were 3.1 times for the year ended December 31, 2023 and 2.7 times for the year ended December 31, 2022.</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Cash and cash equivalents, held to maturity U.S. Treasury securities and accounts receivable comprised approximately 19.2% and 19. 0% of the Company's total assets at December 31, 2025 and December 31, 2024, respectively. The Company's current ratio (i.e., the ratio of current assets to current liabilities) was 3.0 to 1 and 2.9 to 1 at December 31, 2025 and December 31, 2024, respectively. At December 31, 2025 and 2024, $43.4 million and $48.4 million, respectively (or 75% and 71%, respectively), of cash and cash equivalents was held by foreign subsidiaries of the Company. During 2025, the Company repatriated $26.0 million of funds from outside of the U.S., with minimal incremental tax liability. We continue to analyze our global working capital and cash requirements and the potential tax liabilities attributable to further repatriation, and we have yet to make any further determination regarding repatriation of funds from outside the U.S. to fund the Company's U.S. operations in the future. In the event these funds were needed for Bel's U.S. operations, the Company would be required to accrue and pay U.S. state taxes and any applicable foreign withholding taxes to repatriate these funds.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Future Cash Requirements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expects foreseeable liquidity and capital resource requirements to be met through its existing cash and cash equivalents, and anticipated cash flows from operations, as well as borrowings available under its revolving credit facility, if needed. The Company's material cash requirements arising in the normal course of business primarily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2240" w:h="15840" w:orient="portrait"/>
          <w:cols w:equalWidth="0" w:num="1">
            <w:col w:w="10800"/>
          </w:cols>
          <w:pgMar w:left="720" w:top="555" w:right="720" w:bottom="0" w:gutter="0" w:footer="0" w:header="0"/>
        </w:sectPr>
      </w:pPr>
    </w:p>
    <w:bookmarkStart w:id="44" w:name="page45"/>
    <w:bookmarkEnd w:id="44"/>
    <w:p>
      <w:pPr>
        <w:jc w:val="both"/>
        <w:spacing w:after="0" w:line="247" w:lineRule="auto"/>
        <w:rPr>
          <w:sz w:val="20"/>
          <w:szCs w:val="20"/>
          <w:color w:val="auto"/>
        </w:rPr>
      </w:pPr>
      <w:r>
        <w:rPr>
          <w:rFonts w:ascii="Arial" w:cs="Arial" w:eastAsia="Arial" w:hAnsi="Arial"/>
          <w:sz w:val="20"/>
          <w:szCs w:val="20"/>
          <w:i w:val="1"/>
          <w:iCs w:val="1"/>
          <w:color w:val="auto"/>
        </w:rPr>
        <w:t xml:space="preserve">Debt Obligations and Interest Payments </w:t>
      </w:r>
      <w:r>
        <w:rPr>
          <w:rFonts w:ascii="Arial" w:cs="Arial" w:eastAsia="Arial" w:hAnsi="Arial"/>
          <w:sz w:val="20"/>
          <w:szCs w:val="20"/>
          <w:color w:val="auto"/>
        </w:rPr>
        <w:t>- The Company had $197.5 million outstanding under its revolving credit facility at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December 31, 2025, as further described below and in Note 11, </w:t>
      </w:r>
      <w:r>
        <w:rPr>
          <w:rFonts w:ascii="Arial" w:cs="Arial" w:eastAsia="Arial" w:hAnsi="Arial"/>
          <w:sz w:val="20"/>
          <w:szCs w:val="20"/>
          <w:i w:val="1"/>
          <w:iCs w:val="1"/>
          <w:color w:val="auto"/>
        </w:rPr>
        <w:t>"Debt"</w:t>
      </w:r>
      <w:r>
        <w:rPr>
          <w:rFonts w:ascii="Arial" w:cs="Arial" w:eastAsia="Arial" w:hAnsi="Arial"/>
          <w:sz w:val="20"/>
          <w:szCs w:val="20"/>
          <w:color w:val="auto"/>
        </w:rPr>
        <w:t>. There were no mandatory principal payments due on the credit facility borrowings during 2025. The current balance of $197.5 million is due upon expiration of the credit facility on September 1, 2028. Anticipated interest payments due amount to $26.8 million, of which $10.0 million is expected to be paid in 2026 based on our debt balance and interest rate in place at December 31, 2025.</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Lease Obligations </w:t>
      </w:r>
      <w:r>
        <w:rPr>
          <w:rFonts w:ascii="Arial" w:cs="Arial" w:eastAsia="Arial" w:hAnsi="Arial"/>
          <w:sz w:val="19"/>
          <w:szCs w:val="19"/>
          <w:color w:val="auto"/>
        </w:rPr>
        <w:t>- The Company has operating leases for its facilities used for manufacturing, research and development, sales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administration. There are also operating and finance leases related to manufacturing equipment, office equipment and vehicles. As of December 31, 2025, the Company was contractually obligated to pay future operating lease payments of $26.9 million, of which $ 9.2 million is expected to be paid in 2026, and future financing lease obligations of $1.3 million, of which $0.5 million is expected to be paid in 2026. See Note 18, </w:t>
      </w:r>
      <w:r>
        <w:rPr>
          <w:rFonts w:ascii="Arial" w:cs="Arial" w:eastAsia="Arial" w:hAnsi="Arial"/>
          <w:sz w:val="19"/>
          <w:szCs w:val="19"/>
          <w:i w:val="1"/>
          <w:iCs w:val="1"/>
          <w:color w:val="auto"/>
        </w:rPr>
        <w:t>"Leases,"</w:t>
      </w:r>
      <w:r>
        <w:rPr>
          <w:rFonts w:ascii="Arial" w:cs="Arial" w:eastAsia="Arial" w:hAnsi="Arial"/>
          <w:sz w:val="19"/>
          <w:szCs w:val="19"/>
          <w:color w:val="auto"/>
        </w:rPr>
        <w:t xml:space="preserve"> for further information.</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i w:val="1"/>
          <w:iCs w:val="1"/>
          <w:color w:val="auto"/>
        </w:rPr>
        <w:t xml:space="preserve">Purchase Obligations </w:t>
      </w:r>
      <w:r>
        <w:rPr>
          <w:rFonts w:ascii="Arial" w:cs="Arial" w:eastAsia="Arial" w:hAnsi="Arial"/>
          <w:sz w:val="20"/>
          <w:szCs w:val="20"/>
          <w:color w:val="auto"/>
        </w:rPr>
        <w:t>- The Company submits purchase orders for raw materials to various vendors throughout the year for current</w:t>
      </w:r>
      <w:r>
        <w:rPr>
          <w:rFonts w:ascii="Arial" w:cs="Arial" w:eastAsia="Arial" w:hAnsi="Arial"/>
          <w:sz w:val="20"/>
          <w:szCs w:val="20"/>
          <w:i w:val="1"/>
          <w:iCs w:val="1"/>
          <w:color w:val="auto"/>
        </w:rPr>
        <w:t xml:space="preserve"> </w:t>
      </w:r>
      <w:r>
        <w:rPr>
          <w:rFonts w:ascii="Arial" w:cs="Arial" w:eastAsia="Arial" w:hAnsi="Arial"/>
          <w:sz w:val="20"/>
          <w:szCs w:val="20"/>
          <w:color w:val="auto"/>
        </w:rPr>
        <w:t>production requirements, as well as forecasted requirements. Certain of these purchase orders relate to special purpose material and, as such, the Company may incur penalties if an order is cancelled. The Company had outstanding purchase orders related to raw materials in the amount of $81.5 million at December 31, 2025, of which $ 79.5 million is expected to be paid in 2026. The Company also had outstanding purchase orders related to capital expenditures which totaled $2.0 million at December 31, 2025, of which $1.4 million is expected to be paid in 2026.</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i w:val="1"/>
          <w:iCs w:val="1"/>
          <w:color w:val="auto"/>
        </w:rPr>
        <w:t xml:space="preserve">Pension Benefit Obligations </w:t>
      </w:r>
      <w:r>
        <w:rPr>
          <w:rFonts w:ascii="Arial" w:cs="Arial" w:eastAsia="Arial" w:hAnsi="Arial"/>
          <w:sz w:val="20"/>
          <w:szCs w:val="20"/>
          <w:color w:val="auto"/>
        </w:rPr>
        <w:t>- As further described in Note 15,</w:t>
      </w:r>
      <w:r>
        <w:rPr>
          <w:rFonts w:ascii="Arial" w:cs="Arial" w:eastAsia="Arial" w:hAnsi="Arial"/>
          <w:sz w:val="20"/>
          <w:szCs w:val="20"/>
          <w:i w:val="1"/>
          <w:iCs w:val="1"/>
          <w:color w:val="auto"/>
        </w:rPr>
        <w:t xml:space="preserve"> "Retirement Fund and Profit Sharing Plan"</w:t>
      </w:r>
      <w:r>
        <w:rPr>
          <w:rFonts w:ascii="Arial" w:cs="Arial" w:eastAsia="Arial" w:hAnsi="Arial"/>
          <w:sz w:val="20"/>
          <w:szCs w:val="20"/>
          <w:color w:val="auto"/>
        </w:rPr>
        <w:t>, the Company maintains a</w:t>
      </w:r>
      <w:r>
        <w:rPr>
          <w:rFonts w:ascii="Arial" w:cs="Arial" w:eastAsia="Arial" w:hAnsi="Arial"/>
          <w:sz w:val="20"/>
          <w:szCs w:val="20"/>
          <w:i w:val="1"/>
          <w:iCs w:val="1"/>
          <w:color w:val="auto"/>
        </w:rPr>
        <w:t xml:space="preserve"> </w:t>
      </w:r>
      <w:r>
        <w:rPr>
          <w:rFonts w:ascii="Arial" w:cs="Arial" w:eastAsia="Arial" w:hAnsi="Arial"/>
          <w:sz w:val="20"/>
          <w:szCs w:val="20"/>
          <w:color w:val="auto"/>
        </w:rPr>
        <w:t>Supplemental Executive Retirement Plan ("SERP"). At December 31, 2025, estimated future obligations under the plan amounted to $18.9 million. It is expected that the Company will pay $1.1 million in benefit payments in connection with the SERP during 2026. Included in other assets at December 31, 2025 is the cash surrender value of company-owned life insurance and marketable securities held in a rabbi trust with an aggregate value of $18.4 million, which has been designated by the Company to be utilized to fund the Company's SERP obligations.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i w:val="1"/>
          <w:iCs w:val="1"/>
          <w:color w:val="auto"/>
        </w:rPr>
        <w:t xml:space="preserve">Dividends </w:t>
      </w:r>
      <w:r>
        <w:rPr>
          <w:rFonts w:ascii="Arial" w:cs="Arial" w:eastAsia="Arial" w:hAnsi="Arial"/>
          <w:sz w:val="20"/>
          <w:szCs w:val="20"/>
          <w:color w:val="auto"/>
        </w:rPr>
        <w:t>- The Company has historically paid quarterly dividends on its two classes of common stock, which amounted to $3.5</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in each of 2025 and 2024. Consistent with the dividend rates declared in prior years, Bel's Board of Directors declared dividends on October 31, 2025 and again on February 17, 2026 on each of our two classes of common stock. These two quarterly payments, the first made in January 2026 and the second scheduled for later in the first half of 2026, comprise a total anticipated amount of $1.7 million.</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9"/>
          <w:szCs w:val="19"/>
          <w:i w:val="1"/>
          <w:iCs w:val="1"/>
          <w:color w:val="auto"/>
        </w:rPr>
        <w:t xml:space="preserve">Share Repurchase Program </w:t>
      </w:r>
      <w:r>
        <w:rPr>
          <w:rFonts w:ascii="Arial" w:cs="Arial" w:eastAsia="Arial" w:hAnsi="Arial"/>
          <w:sz w:val="19"/>
          <w:szCs w:val="19"/>
          <w:color w:val="auto"/>
        </w:rPr>
        <w:t>- In February 2024, Bel's Board of Directors authorized the repurchase of up to $25 million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common stock. The Repurchase Program does not obligate the Company to repurchase any dollar amount or number of shares, and the Repurchase Program may be suspended or terminated at any time. The timing and actual number of shares repurchased will depend on a variety of factors including price, market conditions, corporate and regulatory requirements and the consideration of other uses of cash including other investment opportunities. At December 31, 2025, the Company had an aggregate amount of $9.0 million of authorized repurchases under the program that had not yet been executed upon.</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8"/>
          <w:szCs w:val="18"/>
          <w:i w:val="1"/>
          <w:iCs w:val="1"/>
          <w:color w:val="auto"/>
        </w:rPr>
        <w:t xml:space="preserve">Tax Payments </w:t>
      </w:r>
      <w:r>
        <w:rPr>
          <w:rFonts w:ascii="Arial" w:cs="Arial" w:eastAsia="Arial" w:hAnsi="Arial"/>
          <w:sz w:val="18"/>
          <w:szCs w:val="18"/>
          <w:color w:val="auto"/>
        </w:rPr>
        <w:t>- At December 31, 2025, we had liabilities for unrecognized tax benefits and related interest and penalties of $17.5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all of which is included in other liabilities on our consolidated balance sheet. At December 31, 2025, we cannot reasonably estimate the future period or periods of cash settlement of these liabilities. See Note 10,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further discussion.</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addition to its cash requirements arising in the normal course of business described above, the Company has potential future cash requirements related to its acquisition of Enercon, whereby the Company has recorded earnout liabilities having a fair value as of December 31, 2025 in the amount of $6.6 million that would be paid in early 2026 and early 2027 in the event certain financial thresholds are achieved by the acquired business based on the Purchase Agreement provision which provides for potential earnout payments of up to $ 5.0 million for each of the fiscal 2025 and fiscal 2026 earnout periods subject to the achievement of the financial thresholds. Further, there are put-call options associated with the redeemable noncontrolling interest in early 2027. As described elsewhere in this Annual Report, we have the current intention to purchase the remaining 20% interest in Enercon by early 2027 in accordance with the terms and subject to the conditions of the shareholders' agreement. At December 31, 2025, the redemption value related to the redeemable noncontrolling interest was $93.2 million. See Note 3, </w:t>
      </w:r>
      <w:r>
        <w:rPr>
          <w:rFonts w:ascii="Arial" w:cs="Arial" w:eastAsia="Arial" w:hAnsi="Arial"/>
          <w:sz w:val="19"/>
          <w:szCs w:val="19"/>
          <w:i w:val="1"/>
          <w:iCs w:val="1"/>
          <w:color w:val="auto"/>
        </w:rPr>
        <w:t>"Acquisition"</w:t>
      </w:r>
      <w:r>
        <w:rPr>
          <w:rFonts w:ascii="Arial" w:cs="Arial" w:eastAsia="Arial" w:hAnsi="Arial"/>
          <w:sz w:val="19"/>
          <w:szCs w:val="19"/>
          <w:color w:val="auto"/>
        </w:rPr>
        <w:t xml:space="preserve"> and Note 6, </w:t>
      </w:r>
      <w:r>
        <w:rPr>
          <w:rFonts w:ascii="Arial" w:cs="Arial" w:eastAsia="Arial" w:hAnsi="Arial"/>
          <w:sz w:val="19"/>
          <w:szCs w:val="19"/>
          <w:i w:val="1"/>
          <w:iCs w:val="1"/>
          <w:color w:val="auto"/>
        </w:rPr>
        <w:t>"Fair Value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Measurements" </w:t>
      </w:r>
      <w:r>
        <w:rPr>
          <w:rFonts w:ascii="Arial" w:cs="Arial" w:eastAsia="Arial" w:hAnsi="Arial"/>
          <w:sz w:val="19"/>
          <w:szCs w:val="19"/>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2240" w:h="15840" w:orient="portrait"/>
          <w:cols w:equalWidth="0" w:num="1">
            <w:col w:w="10800"/>
          </w:cols>
          <w:pgMar w:left="720" w:top="555" w:right="720" w:bottom="0" w:gutter="0" w:footer="0" w:header="0"/>
        </w:sectPr>
      </w:pPr>
    </w:p>
    <w:bookmarkStart w:id="45" w:name="page46"/>
    <w:bookmarkEnd w:id="45"/>
    <w:p>
      <w:pPr>
        <w:spacing w:after="0"/>
        <w:rPr>
          <w:sz w:val="20"/>
          <w:szCs w:val="20"/>
          <w:color w:val="auto"/>
        </w:rPr>
      </w:pPr>
      <w:r>
        <w:rPr>
          <w:rFonts w:ascii="Arial" w:cs="Arial" w:eastAsia="Arial" w:hAnsi="Arial"/>
          <w:sz w:val="20"/>
          <w:szCs w:val="20"/>
          <w:u w:val="single" w:color="auto"/>
          <w:color w:val="auto"/>
        </w:rPr>
        <w:t>Contractual Obligations</w:t>
      </w:r>
    </w:p>
    <w:p>
      <w:pPr>
        <w:spacing w:after="0" w:line="226" w:lineRule="exact"/>
        <w:rPr>
          <w:sz w:val="20"/>
          <w:szCs w:val="20"/>
          <w:color w:val="auto"/>
        </w:rPr>
      </w:pPr>
    </w:p>
    <w:p>
      <w:pPr>
        <w:ind w:right="440"/>
        <w:spacing w:after="0" w:line="274" w:lineRule="auto"/>
        <w:rPr>
          <w:sz w:val="20"/>
          <w:szCs w:val="20"/>
          <w:color w:val="auto"/>
        </w:rPr>
      </w:pPr>
      <w:r>
        <w:rPr>
          <w:rFonts w:ascii="Arial" w:cs="Arial" w:eastAsia="Arial" w:hAnsi="Arial"/>
          <w:sz w:val="20"/>
          <w:szCs w:val="20"/>
          <w:color w:val="auto"/>
        </w:rPr>
        <w:t>The following table sets forth at December 31, 2025 the amounts of payments due under specific types of contractual obligations, aggregated by category of contractual obligation, for the time periods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740" w:type="dxa"/>
            <w:vAlign w:val="bottom"/>
            <w:tcBorders>
              <w:bottom w:val="single" w:sz="8" w:color="auto"/>
            </w:tcBorders>
            <w:gridSpan w:val="8"/>
          </w:tcPr>
          <w:p>
            <w:pPr>
              <w:ind w:left="20"/>
              <w:spacing w:after="0"/>
              <w:rPr>
                <w:sz w:val="20"/>
                <w:szCs w:val="20"/>
                <w:color w:val="auto"/>
              </w:rPr>
            </w:pPr>
            <w:r>
              <w:rPr>
                <w:rFonts w:ascii="Arial" w:cs="Arial" w:eastAsia="Arial" w:hAnsi="Arial"/>
                <w:sz w:val="20"/>
                <w:szCs w:val="20"/>
                <w:color w:val="auto"/>
                <w:w w:val="89"/>
              </w:rPr>
              <w:t>Payments due by period (dollars in thousands)</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06"/>
        </w:trPr>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21"/>
              <w:spacing w:after="0" w:line="206" w:lineRule="exact"/>
              <w:rPr>
                <w:sz w:val="20"/>
                <w:szCs w:val="20"/>
                <w:color w:val="auto"/>
              </w:rPr>
            </w:pPr>
            <w:r>
              <w:rPr>
                <w:rFonts w:ascii="Arial" w:cs="Arial" w:eastAsia="Arial" w:hAnsi="Arial"/>
                <w:sz w:val="20"/>
                <w:szCs w:val="20"/>
                <w:color w:val="auto"/>
                <w:w w:val="86"/>
              </w:rPr>
              <w:t>Less than 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right"/>
              <w:spacing w:after="0" w:line="206" w:lineRule="exact"/>
              <w:rPr>
                <w:sz w:val="20"/>
                <w:szCs w:val="20"/>
                <w:color w:val="auto"/>
              </w:rPr>
            </w:pPr>
            <w:r>
              <w:rPr>
                <w:rFonts w:ascii="Arial" w:cs="Arial" w:eastAsia="Arial" w:hAnsi="Arial"/>
                <w:sz w:val="20"/>
                <w:szCs w:val="20"/>
                <w:color w:val="auto"/>
                <w:w w:val="97"/>
              </w:rPr>
              <w:t>More than 5</w:t>
            </w:r>
          </w:p>
        </w:tc>
      </w:tr>
      <w:tr>
        <w:trPr>
          <w:trHeight w:val="257"/>
        </w:trPr>
        <w:tc>
          <w:tcPr>
            <w:tcW w:w="3720" w:type="dxa"/>
            <w:vAlign w:val="bottom"/>
          </w:tcPr>
          <w:p>
            <w:pPr>
              <w:spacing w:after="0"/>
              <w:rPr>
                <w:sz w:val="20"/>
                <w:szCs w:val="20"/>
                <w:color w:val="auto"/>
              </w:rPr>
            </w:pPr>
            <w:r>
              <w:rPr>
                <w:rFonts w:ascii="Arial" w:cs="Arial" w:eastAsia="Arial" w:hAnsi="Arial"/>
                <w:sz w:val="20"/>
                <w:szCs w:val="20"/>
                <w:color w:val="auto"/>
              </w:rPr>
              <w:t>Contractual Obligations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Total</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year</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93"/>
              </w:rPr>
              <w:t>1-3 years</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93"/>
              </w:rPr>
              <w:t>3-5 years</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years</w:t>
            </w:r>
          </w:p>
        </w:tc>
      </w:tr>
      <w:tr>
        <w:trPr>
          <w:trHeight w:val="454"/>
        </w:trPr>
        <w:tc>
          <w:tcPr>
            <w:tcW w:w="3720" w:type="dxa"/>
            <w:vAlign w:val="bottom"/>
          </w:tcPr>
          <w:p>
            <w:pPr>
              <w:spacing w:after="0"/>
              <w:rPr>
                <w:sz w:val="20"/>
                <w:szCs w:val="20"/>
                <w:color w:val="auto"/>
              </w:rPr>
            </w:pPr>
            <w:r>
              <w:rPr>
                <w:rFonts w:ascii="Arial" w:cs="Arial" w:eastAsia="Arial" w:hAnsi="Arial"/>
                <w:sz w:val="20"/>
                <w:szCs w:val="20"/>
                <w:color w:val="auto"/>
              </w:rPr>
              <w:t>Long-term debt obligations (1)</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197,500</w:t>
            </w:r>
          </w:p>
        </w:tc>
        <w:tc>
          <w:tcPr>
            <w:tcW w:w="260" w:type="dxa"/>
            <w:vAlign w:val="bottom"/>
            <w:gridSpan w:val="2"/>
          </w:tcPr>
          <w:p>
            <w:pPr>
              <w:ind w:left="160"/>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197,500</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39"/>
        </w:trPr>
        <w:tc>
          <w:tcPr>
            <w:tcW w:w="3720" w:type="dxa"/>
            <w:vAlign w:val="bottom"/>
          </w:tcPr>
          <w:p>
            <w:pPr>
              <w:spacing w:after="0"/>
              <w:rPr>
                <w:sz w:val="20"/>
                <w:szCs w:val="20"/>
                <w:color w:val="auto"/>
              </w:rPr>
            </w:pPr>
            <w:r>
              <w:rPr>
                <w:rFonts w:ascii="Arial" w:cs="Arial" w:eastAsia="Arial" w:hAnsi="Arial"/>
                <w:sz w:val="20"/>
                <w:szCs w:val="20"/>
                <w:color w:val="auto"/>
                <w:w w:val="94"/>
              </w:rPr>
              <w:t>Interest payments due on long-term debt (2)</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26,798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10,032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16,766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39"/>
        </w:trPr>
        <w:tc>
          <w:tcPr>
            <w:tcW w:w="3720" w:type="dxa"/>
            <w:vAlign w:val="bottom"/>
          </w:tcPr>
          <w:p>
            <w:pPr>
              <w:spacing w:after="0"/>
              <w:rPr>
                <w:sz w:val="20"/>
                <w:szCs w:val="20"/>
                <w:color w:val="auto"/>
              </w:rPr>
            </w:pPr>
            <w:r>
              <w:rPr>
                <w:rFonts w:ascii="Arial" w:cs="Arial" w:eastAsia="Arial" w:hAnsi="Arial"/>
                <w:sz w:val="20"/>
                <w:szCs w:val="20"/>
                <w:color w:val="auto"/>
              </w:rPr>
              <w:t>Capital expenditure obligations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1,980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39"/>
        </w:trPr>
        <w:tc>
          <w:tcPr>
            <w:tcW w:w="3720" w:type="dxa"/>
            <w:vAlign w:val="bottom"/>
          </w:tcPr>
          <w:p>
            <w:pPr>
              <w:spacing w:after="0"/>
              <w:rPr>
                <w:sz w:val="20"/>
                <w:szCs w:val="20"/>
                <w:color w:val="auto"/>
              </w:rPr>
            </w:pPr>
            <w:r>
              <w:rPr>
                <w:rFonts w:ascii="Arial" w:cs="Arial" w:eastAsia="Arial" w:hAnsi="Arial"/>
                <w:sz w:val="20"/>
                <w:szCs w:val="20"/>
                <w:color w:val="auto"/>
              </w:rPr>
              <w:t>Operating leases (3)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26,945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9,203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10,894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4,414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2,434</w:t>
            </w:r>
          </w:p>
        </w:tc>
      </w:tr>
      <w:tr>
        <w:trPr>
          <w:trHeight w:val="239"/>
        </w:trPr>
        <w:tc>
          <w:tcPr>
            <w:tcW w:w="3720" w:type="dxa"/>
            <w:vAlign w:val="bottom"/>
          </w:tcPr>
          <w:p>
            <w:pPr>
              <w:spacing w:after="0"/>
              <w:rPr>
                <w:sz w:val="20"/>
                <w:szCs w:val="20"/>
                <w:color w:val="auto"/>
              </w:rPr>
            </w:pPr>
            <w:r>
              <w:rPr>
                <w:rFonts w:ascii="Arial" w:cs="Arial" w:eastAsia="Arial" w:hAnsi="Arial"/>
                <w:sz w:val="20"/>
                <w:szCs w:val="20"/>
                <w:color w:val="auto"/>
              </w:rPr>
              <w:t>Raw material purchase obligations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81,503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79,513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27"/>
        </w:trPr>
        <w:tc>
          <w:tcPr>
            <w:tcW w:w="3720" w:type="dxa"/>
            <w:vAlign w:val="bottom"/>
          </w:tcPr>
          <w:p>
            <w:pPr>
              <w:spacing w:after="0" w:line="227" w:lineRule="exact"/>
              <w:rPr>
                <w:sz w:val="20"/>
                <w:szCs w:val="20"/>
                <w:color w:val="auto"/>
              </w:rPr>
            </w:pPr>
            <w:r>
              <w:rPr>
                <w:rFonts w:ascii="Arial" w:cs="Arial" w:eastAsia="Arial" w:hAnsi="Arial"/>
                <w:sz w:val="20"/>
                <w:szCs w:val="20"/>
                <w:color w:val="auto"/>
              </w:rPr>
              <w:t>First quarter 2026 quarterly cash dividend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7"/>
        </w:trPr>
        <w:tc>
          <w:tcPr>
            <w:tcW w:w="3720" w:type="dxa"/>
            <w:vAlign w:val="bottom"/>
          </w:tcPr>
          <w:p>
            <w:pPr>
              <w:spacing w:after="0"/>
              <w:rPr>
                <w:sz w:val="20"/>
                <w:szCs w:val="20"/>
                <w:color w:val="auto"/>
              </w:rPr>
            </w:pPr>
            <w:r>
              <w:rPr>
                <w:rFonts w:ascii="Arial" w:cs="Arial" w:eastAsia="Arial" w:hAnsi="Arial"/>
                <w:sz w:val="20"/>
                <w:szCs w:val="20"/>
                <w:color w:val="auto"/>
              </w:rPr>
              <w:t>declared</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880</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880</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47"/>
        </w:trPr>
        <w:tc>
          <w:tcPr>
            <w:tcW w:w="3720" w:type="dxa"/>
            <w:vAlign w:val="bottom"/>
          </w:tcPr>
          <w:p>
            <w:pPr>
              <w:spacing w:after="0"/>
              <w:rPr>
                <w:sz w:val="20"/>
                <w:szCs w:val="20"/>
                <w:color w:val="auto"/>
              </w:rPr>
            </w:pPr>
            <w:r>
              <w:rPr>
                <w:rFonts w:ascii="Arial" w:cs="Arial" w:eastAsia="Arial" w:hAnsi="Arial"/>
                <w:sz w:val="20"/>
                <w:szCs w:val="20"/>
                <w:color w:val="auto"/>
              </w:rPr>
              <w:t>Total</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335,606</w:t>
            </w:r>
          </w:p>
        </w:tc>
        <w:tc>
          <w:tcPr>
            <w:tcW w:w="1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101,018</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227,740</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4,414</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-191135</wp:posOffset>
            </wp:positionV>
            <wp:extent cx="4060825" cy="2222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60825" cy="222250"/>
                    </a:xfrm>
                    <a:prstGeom prst="rect">
                      <a:avLst/>
                    </a:prstGeom>
                    <a:noFill/>
                  </pic:spPr>
                </pic:pic>
              </a:graphicData>
            </a:graphic>
          </wp:anchor>
        </w:drawing>
      </w:r>
    </w:p>
    <w:p>
      <w:pPr>
        <w:spacing w:after="0" w:line="225" w:lineRule="exact"/>
        <w:rPr>
          <w:sz w:val="20"/>
          <w:szCs w:val="20"/>
          <w:color w:val="auto"/>
        </w:rPr>
      </w:pPr>
    </w:p>
    <w:p>
      <w:pPr>
        <w:ind w:left="360" w:hanging="360"/>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Represents the principal amount of the debt required to be repaid in each period.</w:t>
      </w:r>
    </w:p>
    <w:p>
      <w:pPr>
        <w:spacing w:after="0" w:line="34" w:lineRule="exact"/>
        <w:rPr>
          <w:rFonts w:ascii="Arial" w:cs="Arial" w:eastAsia="Arial" w:hAnsi="Arial"/>
          <w:sz w:val="20"/>
          <w:szCs w:val="20"/>
          <w:color w:val="auto"/>
        </w:rPr>
      </w:pPr>
    </w:p>
    <w:p>
      <w:pPr>
        <w:jc w:val="both"/>
        <w:ind w:left="360" w:right="440" w:hanging="360"/>
        <w:spacing w:after="0" w:line="241" w:lineRule="auto"/>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Includes interest payments required under our CSA related to our revolver balance. The interest rate in place under our Credit and Security Agreement on December 31, 2025 was utilized and this calculation assumes obligations are repaid when due.</w:t>
      </w:r>
    </w:p>
    <w:p>
      <w:pPr>
        <w:spacing w:after="0" w:line="2" w:lineRule="exact"/>
        <w:rPr>
          <w:rFonts w:ascii="Arial" w:cs="Arial" w:eastAsia="Arial" w:hAnsi="Arial"/>
          <w:sz w:val="20"/>
          <w:szCs w:val="20"/>
          <w:color w:val="auto"/>
        </w:rPr>
      </w:pPr>
    </w:p>
    <w:p>
      <w:pPr>
        <w:ind w:left="360" w:right="440" w:hanging="360"/>
        <w:spacing w:after="0" w:line="248" w:lineRule="auto"/>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Represents estimated future minimum annual rental commitments primarily under non-cancelable real and personal property leases as of December 31, 2025.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Credit Facility</w:t>
      </w: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The Company is a party to a credit agreement, as further described in Note 11, </w:t>
      </w:r>
      <w:r>
        <w:rPr>
          <w:rFonts w:ascii="Arial" w:cs="Arial" w:eastAsia="Arial" w:hAnsi="Arial"/>
          <w:sz w:val="18"/>
          <w:szCs w:val="18"/>
          <w:i w:val="1"/>
          <w:iCs w:val="1"/>
          <w:color w:val="auto"/>
        </w:rPr>
        <w:t>"Debt"</w:t>
      </w:r>
      <w:r>
        <w:rPr>
          <w:rFonts w:ascii="Arial" w:cs="Arial" w:eastAsia="Arial" w:hAnsi="Arial"/>
          <w:sz w:val="18"/>
          <w:szCs w:val="18"/>
          <w:color w:val="auto"/>
        </w:rPr>
        <w:t>. The Credit Agreement contains customary representations and warranties, covenants and events of default. In addition, the Credit Agreement contains financial covenants that measure (i) the ratio of the Company’s total funded indebtedness, on a consolidated basis, less the aggregate amount of all unencumbered cash and cash equivalents, to the amount of the Company’s consolidated EBITDA (“Leverage Ratio”) and (ii) the ratio of the amount of the Company’s consolidated EBITDA to the Company’s consolidated fixed charges (“Fixed Charge Coverage Ratio”). If an event of default occurs, the lenders under the Credit Agreement would be entitled to take various actions, including the acceleration of amounts due thereunder and all actions permitted to be taken by a secured creditor.</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At December 31, 2025, the Company had $197.5 million outstanding under its Credit Agreement. The unused credit available under the credit facility at December 31, 2025 was $202.5 million, of which we had the ability to borrow the full amount without violating our Leverage Ratio covenant based on the Company's existing consolidated EBITDA. At December 31, 2025, the Company was in compliance with its debt covenants, including its most restrictive covenant, the Leverage Ratio.</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At December 31, 2025, the Company was also a party to two pay-fixed, receive-variable interest rate swap agreements in the aggregate amount of $60 million through August 2026. See Note 13, </w:t>
      </w:r>
      <w:r>
        <w:rPr>
          <w:rFonts w:ascii="Arial" w:cs="Arial" w:eastAsia="Arial" w:hAnsi="Arial"/>
          <w:sz w:val="20"/>
          <w:szCs w:val="20"/>
          <w:i w:val="1"/>
          <w:iCs w:val="1"/>
          <w:color w:val="auto"/>
        </w:rPr>
        <w:t>"Derivative Instruments and Hedging Activities"</w:t>
      </w:r>
      <w:r>
        <w:rPr>
          <w:rFonts w:ascii="Arial" w:cs="Arial" w:eastAsia="Arial" w:hAnsi="Arial"/>
          <w:sz w:val="20"/>
          <w:szCs w:val="20"/>
          <w:color w:val="auto"/>
        </w:rPr>
        <w:t xml:space="preserve"> for further details.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Critical Accounting Estimates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Company's consolidated financial statements include certain amounts that are based on management's best estimates and judgments. The Company bases its estimates on historical experience and on various other assumptions, including in some cases future projections, that are believed to be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or conditions. Different assumptions and judgments could change the estimates used in the preparation of the consolidated financial statements, which, in turn, could change the results from those reported. Management evaluates its estimates, assumptions and judgments on an ongoing basis.</w:t>
      </w:r>
    </w:p>
    <w:p>
      <w:pPr>
        <w:spacing w:after="0" w:line="181" w:lineRule="exact"/>
        <w:rPr>
          <w:sz w:val="20"/>
          <w:szCs w:val="20"/>
          <w:color w:val="auto"/>
        </w:rPr>
      </w:pPr>
    </w:p>
    <w:p>
      <w:pPr>
        <w:jc w:val="both"/>
        <w:spacing w:after="0" w:line="329" w:lineRule="auto"/>
        <w:rPr>
          <w:sz w:val="20"/>
          <w:szCs w:val="20"/>
          <w:color w:val="auto"/>
        </w:rPr>
      </w:pPr>
      <w:r>
        <w:rPr>
          <w:rFonts w:ascii="Arial" w:cs="Arial" w:eastAsia="Arial" w:hAnsi="Arial"/>
          <w:sz w:val="18"/>
          <w:szCs w:val="18"/>
          <w:color w:val="auto"/>
        </w:rPr>
        <w:t>Based on the above, we have determined that our most critical accounting estimates are those related to business combinations, inventory valuation, goodwill and other indefinite-lived intangible assets, and those related to our pension benefit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2240" w:h="15840" w:orient="portrait"/>
          <w:cols w:equalWidth="0" w:num="1">
            <w:col w:w="10800"/>
          </w:cols>
          <w:pgMar w:left="720" w:top="555" w:right="720" w:bottom="0" w:gutter="0" w:footer="0" w:header="0"/>
        </w:sectPr>
      </w:pPr>
    </w:p>
    <w:bookmarkStart w:id="46" w:name="page47"/>
    <w:bookmarkEnd w:id="46"/>
    <w:p>
      <w:pPr>
        <w:spacing w:after="0"/>
        <w:rPr>
          <w:sz w:val="20"/>
          <w:szCs w:val="20"/>
          <w:color w:val="auto"/>
        </w:rPr>
      </w:pPr>
      <w:r>
        <w:rPr>
          <w:rFonts w:ascii="Arial" w:cs="Arial" w:eastAsia="Arial" w:hAnsi="Arial"/>
          <w:sz w:val="20"/>
          <w:szCs w:val="20"/>
          <w:u w:val="single" w:color="auto"/>
          <w:color w:val="auto"/>
        </w:rPr>
        <w:t>Business Combinations</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a business combination, we allocate the fair value of purchase price consideration to the identifiable assets acquired, the liabilities assumed, and any noncontrolling interest in the acquiree based on their estimated fair values. The excess of the fair value of purchase price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or earned through the use of acquired trademarks, estimated royalty rates, acquired technology, useful lives and discount rates. Management’s estimates of fair value are based upon assumptions believed to be reasonable, but which are inherently uncertain and unpredictable and, as a result, actual results may differ from estimates.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Inventory Valuation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Inventories consist of raw materials and purchased components and are stated at the lower of cost and net realizable value. Material costs are principally determined by standard cost or the weighted moving average method, both of which approximate actual cost. The Company reduces the carrying value of its inventory for estimated obsolescence or unmarketable inventory by an amount equal to the difference between the cost of inventory and the estimated market value based on the aforementioned assumptions. Our reserve calculations are based on historical experience related to slow-moving inventory in addition to specific known concerns in the case of products going end-of-life or customer cancellations. As of December 31, 2025 and 2024, the Company had reserves for excess or obsolete inventory of $18.0 million and $14.5 million, respectively. In the event of a sudden decrease in demand for our products, or a higher incidence of inventory obsolescence, the Company could be required to increase its inventory reserve, which would have an unfavorable impact on our gross margin.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Goodwill</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We use a fair value approach to test goodwill for impairment. We must recognize a non-cash impairment charge for the amount, if any, by which the carrying amount of goodwill exceeds its implied fair value. We derive an estimate of fair values for each of our reporting units using a combination of an income approach and an appropriate market approach, each based on an applicable weighting. We assess the applicable weighting based on such factors as current market conditions and the quality and reliability of the data. Absent an indication of fair value from a potential buyer or similar specific transactions, we believe that the use of these methods provides a reasonable estimate of a reporting unit's fair value.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Fair value computed by these methods is arrived at using a number of factors, including projected future operating results, anticipated future cash flows, effective income tax rates, comparable marketplace data within a consistent industry grouping, and the cost of capital. There are inherent uncertainties, however, related to these factors and to our judgment in applying them to this analysis. Nonetheless, we believe that the combination of these methods provides a reasonable approach to estimate the fair value of our reporting units. Assumptions for sales, net earnings and cash flows for each reporting unit were consistent among these methods.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Approach Used to Determine Fair Values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income approach is based upon the present value of expected cash flows. Expected cash flows are converted to present value using factors that consider the timing and risk of the future cash flows. The estimate of cash flows used is prepared on an unleveraged debt-free basis. We use a discount rate that reflects a market-derived weighted average cost of capital. We believe that this approach is appropriate because it provides a fair value estimate based upon the reporting unit's expected long-term operating and cash flow performance. The projections are based upon our best estimates of projected economic and market conditions over the related period including growth rates, estimates of future expected changes in operating margins and cash expenditures. Other significant estimates and assumptions include terminal value long-term growth rates, provisions for income taxes, future capital expenditures and changes in future cashless, debt-free working capital. We applied a combined weighting of 75% to the income approach when determining the fair value of our reporting units.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Market Approach Used to Determine Fair Values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market approach estimates the fair value of the reporting unit by applying multiples of operating performance measures to the reporting unit's operating performance (the "Guideline Publicly Traded Company Method"). These multiples are derived from comparable publicly traded companies with similar investment characteristics to the reporting unit, and such comparables are reviewed and updated as needed annually. We believe that this approach is appropriate because it provides a fair value estimate using multiples from entities with operations and economic characteristics comparable to our reporting units and the Company as a whole. The key estimates and assumptions that are used to determine fair value under this market approach include current and forward 12-month operating performance results and the selection of the relevant multiples to be applied. Under the Guideline Publicly Traded Company Method, a control premium, or an amount that a buyer is usually willing to pay over the current market price of a publicly traded company, is applied to the calculated equity values to adjust the public trading value upward for a 100% ownership interest, where applicable.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2240" w:h="15840" w:orient="portrait"/>
          <w:cols w:equalWidth="0" w:num="1">
            <w:col w:w="10800"/>
          </w:cols>
          <w:pgMar w:left="720" w:top="555" w:right="720" w:bottom="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19"/>
          <w:szCs w:val="19"/>
          <w:color w:val="auto"/>
        </w:rPr>
        <w:t>In order to assess the reasonableness of the calculated fair values of our reporting units, we also compare the sum of the reporting units' fair values to our market capitalization and calculate an implied control premium (the excess of the sum of the reporting units' fair values over the market capitalization). We evaluate the control premium by comparing it to control premiums of recent comparable market transactions. If the implied control premium is not reasonable in light of these recent transactions, we will reevaluate our fair value estimates of the reporting units by adjusting the discount rates and/or other assumptions.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We applied a combined weighting of 25% to the market approach when determining the fair value of our reporting units.</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As indicated in Note 5, </w:t>
      </w:r>
      <w:r>
        <w:rPr>
          <w:rFonts w:ascii="Arial" w:cs="Arial" w:eastAsia="Arial" w:hAnsi="Arial"/>
          <w:sz w:val="19"/>
          <w:szCs w:val="19"/>
          <w:i w:val="1"/>
          <w:iCs w:val="1"/>
          <w:color w:val="auto"/>
        </w:rPr>
        <w:t>"Goodwill and Other Intangible Assets"</w:t>
      </w:r>
      <w:r>
        <w:rPr>
          <w:rFonts w:ascii="Arial" w:cs="Arial" w:eastAsia="Arial" w:hAnsi="Arial"/>
          <w:sz w:val="19"/>
          <w:szCs w:val="19"/>
          <w:color w:val="auto"/>
        </w:rPr>
        <w:t>, the fair value of each of our four reporting units exceeded their respective carrying values by a very large margin (ranging from 56% to 540%). If market factors change and the discount rate utilized in the fair value calculation changes, it would result in a higher or lower fair value of our reporting units. The discount rates utilized in our October 1, 2025 impairment test ranged from 10.0% to 12.0%. An increase in the discount rate assumption of 50 basis points would have impacted the fair values of our reporting units, and would have reduced the excess of fair value over carrying value to a revised range of 51% to 517%. Further, if we are unable to achieve the projected revenue growth rates or margins assumed in our projections, this would also impact the fair value of our reporting units. If we were to change our reporting unit structure again or if other events and circumstances change (such as a sustained decrease in the price of our common stock, a decline in current market multiples, a significant adverse change in legal factors or business climates, an adverse action or assessment by a regulator, heightened competition, strategic decisions made in response to economic or competitive conditions or a more-likely- than-not expectation that a reporting unit or a significant portion of a reporting unit will be sold or disposed of), we may be required to record impairment charges in future periods. Any impairment charges that we may take in the future could be material to our consolidated results of operations and consolidated financial condition.</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The Company conducted its annual goodwill impairment test as of October 1, 2025, and no impairment was identified at that time. Management has also concluded that the fair value of its goodwill exceeded the associated carrying value at December 31, 2025 and that no impairment exists as of that date. See Note 5,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for details of our goodwill balance and the goodwill review performed in 2025. We will continue to monitor goodwill on an annual basis and whenever events or changes in circumstances, such as significant adverse changes in business climate or operating results, changes in management's business strategy or significant declines in our stock price, indicate that there may be a potential indicator of impairment.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Indefinite-Lived Intangible Assets</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tests indefinite-lived intangible assets for impairment annually on October 1, or upon a triggering event, using a fair value approach, the relief-from-royalty method (a form of the income approach). The Company conducted its annual impairment tests as of October 1, 2025 and in connection with its analysis, did not identify any impairment as of that date. Management has also concluded that the fair value of its trademarks exceeds the associated carrying values at December 31, 2025 and that no impairment existed as of that date. At December 31, 2025, the Company's indefinite-lived intangible assets related solely to trademarks.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Pension Benefit Obligations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Net periodic benefit cost for the Company's SERP totaled $1.1 million in 2025, $1.4 million in 2024, and $1.3 million in 2023. Benefit plan information for financial reporting purposes is calculated using actuarial assumptions including a discount rate for plan benefit obligations. The changes in net periodic benefit cost year-over-year are attributable to demographic changes within the plan, as well as any changes to the discount rate or the assumption around the future annual increases in compensation. The discount rate utilized for the net periodic benefit cost was 5.50% at December 31, 2025 and 4.75% at December 31, 2024. An increase or decrease in this 2025 discount rate assumption of 25 basis points would have increased/decreased the 2025 periodic benefit cost by less than $0.1 million. The discount rate utilized for the pension benefit obligation was 5.25% at December 31, 2025 and 5.50% at December 31, 2024. An increase in this 2025 discount rate assumption of 25 basis points would have reduced the pension benefit obligation by $0.4 million at December 31, 2025. A decrease in this 2025 discount rate assumption of 25 basis points would have increased the pension benefit obligation by $0.5 million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2240" w:h="15840" w:orient="portrait"/>
          <w:cols w:equalWidth="0" w:num="1">
            <w:col w:w="10800"/>
          </w:cols>
          <w:pgMar w:left="720" w:top="785" w:right="720" w:bottom="0" w:gutter="0" w:footer="0" w:header="0"/>
        </w:sectPr>
      </w:pPr>
    </w:p>
    <w:bookmarkStart w:id="48" w:name="page49"/>
    <w:bookmarkEnd w:id="48"/>
    <w:p>
      <w:pPr>
        <w:ind w:left="20"/>
        <w:spacing w:after="0"/>
        <w:rPr>
          <w:sz w:val="20"/>
          <w:szCs w:val="20"/>
          <w:color w:val="auto"/>
        </w:rPr>
      </w:pPr>
      <w:r>
        <w:rPr>
          <w:rFonts w:ascii="Arial" w:cs="Arial" w:eastAsia="Arial" w:hAnsi="Arial"/>
          <w:sz w:val="20"/>
          <w:szCs w:val="20"/>
          <w:u w:val="single" w:color="auto"/>
          <w:color w:val="auto"/>
        </w:rPr>
        <w:t>Other Matters</w:t>
      </w:r>
    </w:p>
    <w:p>
      <w:pPr>
        <w:spacing w:after="0" w:line="226" w:lineRule="exact"/>
        <w:rPr>
          <w:sz w:val="20"/>
          <w:szCs w:val="20"/>
          <w:color w:val="auto"/>
        </w:rPr>
      </w:pPr>
    </w:p>
    <w:p>
      <w:pPr>
        <w:jc w:val="both"/>
        <w:ind w:left="20"/>
        <w:spacing w:after="0" w:line="270" w:lineRule="auto"/>
        <w:rPr>
          <w:sz w:val="20"/>
          <w:szCs w:val="20"/>
          <w:color w:val="auto"/>
        </w:rPr>
      </w:pPr>
      <w:r>
        <w:rPr>
          <w:rFonts w:ascii="Arial" w:cs="Arial" w:eastAsia="Arial" w:hAnsi="Arial"/>
          <w:sz w:val="18"/>
          <w:szCs w:val="18"/>
          <w:color w:val="auto"/>
        </w:rPr>
        <w:t>The Company believes that it has sufficient cash reserves to fund its foreseeable working capital needs. It may, however, seek to expand such resources through bank borrowings, at favorable lending rates, from time to time. If the Company were to undertake another substantial acquisition for cash, the acquisition would either be funded with cash on hand or would be financed through cash on hand and through bank borrowings or the issuance of public or private debt or equity. If the Company borrows additional money to finance acquisitions, this would further decrease the Company's ratio of earnings to fixed charges, and could further impact the Company's material restrictive covenants, depending on the size of the borrowing and the nature of the target company. Under its existing credit facility, the Company is required to obtain its lender's consent for certain additional debt financing and to comply with other covenants, including the application of specific financial ratios, which may limit the Company’s ability to pay cash dividends on its common stock and/or the amounts thereof, including to the extent that payment of any such dividend would cause noncompliance with any such financial ratio. Depending on the nature of the transaction, the Company cannot assure investors that the necessary acquisition financing would be available to it on acceptable terms, or at all, when required. If the Company issues a substantial amount of stock either as consideration in an acquisition or to finance an acquisition, such issuance may dilute existing shareholders and may take the form of capital stock having preferences over its existing common stock.</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New Financial Accounting Standards</w:t>
      </w:r>
    </w:p>
    <w:p>
      <w:pPr>
        <w:spacing w:after="0" w:line="229" w:lineRule="exact"/>
        <w:rPr>
          <w:sz w:val="20"/>
          <w:szCs w:val="20"/>
          <w:color w:val="auto"/>
        </w:rPr>
      </w:pPr>
    </w:p>
    <w:p>
      <w:pPr>
        <w:ind w:left="20" w:right="640"/>
        <w:spacing w:after="0" w:line="274" w:lineRule="auto"/>
        <w:rPr>
          <w:sz w:val="20"/>
          <w:szCs w:val="20"/>
          <w:color w:val="auto"/>
        </w:rPr>
      </w:pPr>
      <w:r>
        <w:rPr>
          <w:rFonts w:ascii="Arial" w:cs="Arial" w:eastAsia="Arial" w:hAnsi="Arial"/>
          <w:sz w:val="20"/>
          <w:szCs w:val="20"/>
          <w:color w:val="auto"/>
        </w:rPr>
        <w:t xml:space="preserve">The discussion of new financial accounting standards applicable to the Company is incorporated herein by reference to Note 1, </w:t>
      </w:r>
      <w:r>
        <w:rPr>
          <w:rFonts w:ascii="Arial" w:cs="Arial" w:eastAsia="Arial" w:hAnsi="Arial"/>
          <w:sz w:val="20"/>
          <w:szCs w:val="20"/>
          <w:i w:val="1"/>
          <w:iCs w:val="1"/>
          <w:color w:val="auto"/>
        </w:rPr>
        <w:t>"Description of Business and Summary of Significant Accounting Policies."</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Item 7A. </w:t>
      </w:r>
      <w:r>
        <w:rPr>
          <w:rFonts w:ascii="Arial" w:cs="Arial" w:eastAsia="Arial" w:hAnsi="Arial"/>
          <w:sz w:val="20"/>
          <w:szCs w:val="20"/>
          <w:b w:val="1"/>
          <w:bCs w:val="1"/>
          <w:i w:val="1"/>
          <w:iCs w:val="1"/>
          <w:color w:val="auto"/>
        </w:rPr>
        <w:t>Quantitative and Qualitative Disclosures About Market Risk</w:t>
      </w: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Company is exposed to various risks in its business activities, including market risks related to interest rates, foreign currency exchange rates, and fluctuations in commodity prices.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Interest Rate Risk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 May 2, 2025, Bel entered into a Fourth Amendment Agreement (the “Fourth Amendment”) to the Credit Agreement, which made certain amendments to the Credit Agreement including: (i) increasing the maximum revolving amount from $325 million to $ 400 million pursuant to Section 2.10(b)(i)(A) of the Credit Agreement; (ii) extending the commitment period (and the final maturity for revolving loans borrowed under the credit agreement) to September 1, 2028; and (iii) providing an incremental extension of credit to the Company of $75 million concurrently with the effectiveness of the Fourth Amendment, consisting of (x) a $ 50 million commitment from Wells Fargo Bank, N.A., which joined the Credit Agreement as a new revolving lender pursuant to the Fourth Amendment, and (y) an aggregate $25 million commitment increase, on a pro rata basis, from the existing lenders party to the Credit Agreement. As of December 31, 2025, outstanding borrowings under the revolving credit facility amounted to $197.5 million, with unused credit available of $202.5 million. The Company incurred $14.8 million in interest expense during the year ended December 31, 2025, related to interest due on its outstanding borrowings under the Credit Agreement. An interest rate swap with a notional value of $60 million was designated as a cash flow hedge to mitigate the variability of cash flows associated with the Company's SOFR-based loans scheduled to mature on September 1, 2028. This cash flow hedge partially reduces the Company's exposure to future interest rate fluctuations. After accounting for the aforementioned hedge, the remaining borrowings of $137.5 million, which represents approximately 69.6% of the Company's total debt, are still subject to future interest rate changes that could adversely affect the Company's cash flows. A prospective increase of 100 basis points in the interest rate applicable to the Company's outstanding borrowings under its credit facility would lead to an estimated increase of $1.4 million in annual interest expense.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Exchange Rate Risk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The Company operates globally, exposing it to foreign exchange risks stemming from currency fluctuations that can impact sales, margins, and equity. To manage this risk, the Company strategically locates factories near sales regions, utilizes hedging contracts, and carefully manages costs and working capital. However, these strategies may not completely shield the Company from sudden declines in foreign currencies. Key currencies involved include the euro and British pound, Chinese renminbi, Mexican peso and Israeli shekel. As of December 31, 2025, the Company faced significant exposure to foreign currencies, particularly the euro, Chinese renminbi, Mexican peso, Israeli shekel and Indian rupee. The carrying value of intercompany loans at risk was approximately $112 million, with potential losses of $11.2 million projected from a hypothetical 10% decline in currency rates. Some exposures may offset others, reducing the overall risk. In the PRC, Mexico and Israel, the Company's labor costs are incurred in the respective local currency. Any fluctuations in related exchange rates could result in the Company incurring higher expenses in those countries. The Company employs foreign exchange forward contracts for hedging, which, as of December 31, 2025, had a fair value that was not material. A 10% change in exchange rates would not significantly impact this value. The Company does not engage in speculative trading and maintains strong relationships with financial institutions to minimize exposure risks. See the </w:t>
      </w:r>
      <w:r>
        <w:rPr>
          <w:rFonts w:ascii="Arial" w:cs="Arial" w:eastAsia="Arial" w:hAnsi="Arial"/>
          <w:sz w:val="18"/>
          <w:szCs w:val="18"/>
          <w:i w:val="1"/>
          <w:iCs w:val="1"/>
          <w:color w:val="auto"/>
        </w:rPr>
        <w:t>"Inflation and 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Exchange" </w:t>
      </w:r>
      <w:r>
        <w:rPr>
          <w:rFonts w:ascii="Arial" w:cs="Arial" w:eastAsia="Arial" w:hAnsi="Arial"/>
          <w:sz w:val="18"/>
          <w:szCs w:val="18"/>
          <w:color w:val="auto"/>
        </w:rPr>
        <w:t>section above for additional information related to the Company's foreign exchange rate risk.</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ectPr>
          <w:pgSz w:w="12240" w:h="15840" w:orient="portrait"/>
          <w:cols w:equalWidth="0" w:num="1">
            <w:col w:w="10820"/>
          </w:cols>
          <w:pgMar w:left="700" w:top="555" w:right="720" w:bottom="0" w:gutter="0" w:footer="0" w:header="0"/>
        </w:sectPr>
      </w:pPr>
    </w:p>
    <w:bookmarkStart w:id="49" w:name="page50"/>
    <w:bookmarkEnd w:id="49"/>
    <w:p>
      <w:pPr>
        <w:spacing w:after="0"/>
        <w:rPr>
          <w:sz w:val="20"/>
          <w:szCs w:val="20"/>
          <w:color w:val="auto"/>
        </w:rPr>
      </w:pPr>
      <w:r>
        <w:rPr>
          <w:rFonts w:ascii="Arial" w:cs="Arial" w:eastAsia="Arial" w:hAnsi="Arial"/>
          <w:sz w:val="20"/>
          <w:szCs w:val="20"/>
          <w:u w:val="single" w:color="auto"/>
          <w:color w:val="auto"/>
        </w:rPr>
        <w:t>Commodity Price Risk</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utilizes various metals in the production of its products, including gold, silver, copper, zinc, and tin. Fluctuations in the prices of these and other commodities can lead to significantly higher production costs. The Company believes it has adequate primary and secondary sources for each of its key materials. While facing potential volatility in metal prices and anticipating increased material costs, the Company actively monitors these risks. To mitigate any possible negative impacts from these changes, it has implemented and may continue to implement various strategies, including price adjustments and productivity improvements.</w:t>
      </w:r>
    </w:p>
    <w:p>
      <w:pPr>
        <w:spacing w:after="0" w:line="38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232" w:lineRule="exact"/>
        <w:rPr>
          <w:sz w:val="20"/>
          <w:szCs w:val="20"/>
          <w:color w:val="auto"/>
        </w:rPr>
      </w:pPr>
    </w:p>
    <w:p>
      <w:pPr>
        <w:jc w:val="both"/>
        <w:ind w:left="20"/>
        <w:spacing w:after="0" w:line="274" w:lineRule="auto"/>
        <w:rPr>
          <w:sz w:val="20"/>
          <w:szCs w:val="20"/>
          <w:color w:val="auto"/>
        </w:rPr>
      </w:pPr>
      <w:r>
        <w:rPr>
          <w:rFonts w:ascii="Arial" w:cs="Arial" w:eastAsia="Arial" w:hAnsi="Arial"/>
          <w:sz w:val="20"/>
          <w:szCs w:val="20"/>
          <w:color w:val="auto"/>
        </w:rPr>
        <w:t>See the consolidated financial statements listed in the accompanying Index to Consolidated Financial Statements for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ectPr>
          <w:pgSz w:w="12240" w:h="15840" w:orient="portrait"/>
          <w:cols w:equalWidth="0" w:num="1">
            <w:col w:w="10820"/>
          </w:cols>
          <w:pgMar w:left="700" w:top="555" w:right="720" w:bottom="0" w:gutter="0" w:footer="0" w:header="0"/>
        </w:sectPr>
      </w:pPr>
    </w:p>
    <w:bookmarkStart w:id="50" w:name="page51"/>
    <w:bookmarkEnd w:id="50"/>
    <w:p>
      <w:pPr>
        <w:jc w:val="center"/>
        <w:ind w:right="-79"/>
        <w:spacing w:after="0"/>
        <w:rPr>
          <w:sz w:val="20"/>
          <w:szCs w:val="20"/>
          <w:color w:val="auto"/>
        </w:rPr>
      </w:pPr>
      <w:r>
        <w:rPr>
          <w:rFonts w:ascii="Arial" w:cs="Arial" w:eastAsia="Arial" w:hAnsi="Arial"/>
          <w:sz w:val="20"/>
          <w:szCs w:val="20"/>
          <w:color w:val="auto"/>
        </w:rPr>
        <w:t>BEL FUSE INC. AND SUBSIDIARIES</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INDEX TO CONSOLIDATED FINANCIAL STATEMENTS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780" w:type="dxa"/>
            <w:vAlign w:val="bottom"/>
          </w:tcPr>
          <w:p>
            <w:pPr>
              <w:spacing w:after="0"/>
              <w:rPr>
                <w:sz w:val="20"/>
                <w:szCs w:val="20"/>
                <w:color w:val="auto"/>
              </w:rPr>
            </w:pPr>
            <w:r>
              <w:rPr>
                <w:rFonts w:ascii="Arial" w:cs="Arial" w:eastAsia="Arial" w:hAnsi="Arial"/>
                <w:sz w:val="20"/>
                <w:szCs w:val="20"/>
                <w:color w:val="auto"/>
              </w:rPr>
              <w:t>Financial Statements</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Page</w:t>
            </w:r>
          </w:p>
        </w:tc>
      </w:tr>
      <w:tr>
        <w:trPr>
          <w:trHeight w:val="728"/>
        </w:trPr>
        <w:tc>
          <w:tcPr>
            <w:tcW w:w="9780" w:type="dxa"/>
            <w:vAlign w:val="bottom"/>
          </w:tcPr>
          <w:p>
            <w:pPr>
              <w:spacing w:after="0"/>
              <w:rPr>
                <w:sz w:val="20"/>
                <w:szCs w:val="20"/>
                <w:color w:val="auto"/>
              </w:rPr>
            </w:pPr>
            <w:r>
              <w:rPr>
                <w:rFonts w:ascii="Arial" w:cs="Arial" w:eastAsia="Arial" w:hAnsi="Arial"/>
                <w:sz w:val="20"/>
                <w:szCs w:val="20"/>
                <w:color w:val="auto"/>
                <w:w w:val="95"/>
              </w:rPr>
              <w:t>Reports of Independent Registered Public Accounting Firm (Grant Thornton LLP, Iselin, New Jersey, PCAOB #248)</w:t>
            </w:r>
          </w:p>
        </w:tc>
        <w:tc>
          <w:tcPr>
            <w:tcW w:w="9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478"/>
        </w:trPr>
        <w:tc>
          <w:tcPr>
            <w:tcW w:w="9780" w:type="dxa"/>
            <w:vAlign w:val="bottom"/>
          </w:tcPr>
          <w:p>
            <w:pPr>
              <w:spacing w:after="0"/>
              <w:rPr>
                <w:sz w:val="20"/>
                <w:szCs w:val="20"/>
                <w:color w:val="auto"/>
              </w:rPr>
            </w:pPr>
            <w:r>
              <w:rPr>
                <w:rFonts w:ascii="Arial" w:cs="Arial" w:eastAsia="Arial" w:hAnsi="Arial"/>
                <w:sz w:val="20"/>
                <w:szCs w:val="20"/>
                <w:color w:val="auto"/>
              </w:rPr>
              <w:t>Consolidated Balance Sheets - December 31, 2025 and 2024</w:t>
            </w:r>
          </w:p>
        </w:tc>
        <w:tc>
          <w:tcPr>
            <w:tcW w:w="9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478"/>
        </w:trPr>
        <w:tc>
          <w:tcPr>
            <w:tcW w:w="9780" w:type="dxa"/>
            <w:vAlign w:val="bottom"/>
          </w:tcPr>
          <w:p>
            <w:pPr>
              <w:spacing w:after="0"/>
              <w:rPr>
                <w:sz w:val="20"/>
                <w:szCs w:val="20"/>
                <w:color w:val="auto"/>
              </w:rPr>
            </w:pPr>
            <w:r>
              <w:rPr>
                <w:rFonts w:ascii="Arial" w:cs="Arial" w:eastAsia="Arial" w:hAnsi="Arial"/>
                <w:sz w:val="20"/>
                <w:szCs w:val="20"/>
                <w:color w:val="auto"/>
              </w:rPr>
              <w:t>Consolidated Statements of Operations for the Three Years Ended December 31, 2025</w:t>
            </w:r>
          </w:p>
        </w:tc>
        <w:tc>
          <w:tcPr>
            <w:tcW w:w="94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478"/>
        </w:trPr>
        <w:tc>
          <w:tcPr>
            <w:tcW w:w="9780" w:type="dxa"/>
            <w:vAlign w:val="bottom"/>
          </w:tcPr>
          <w:p>
            <w:pPr>
              <w:spacing w:after="0"/>
              <w:rPr>
                <w:sz w:val="20"/>
                <w:szCs w:val="20"/>
                <w:color w:val="auto"/>
              </w:rPr>
            </w:pPr>
            <w:r>
              <w:rPr>
                <w:rFonts w:ascii="Arial" w:cs="Arial" w:eastAsia="Arial" w:hAnsi="Arial"/>
                <w:sz w:val="20"/>
                <w:szCs w:val="20"/>
                <w:color w:val="auto"/>
              </w:rPr>
              <w:t>Consolidated Statements of Comprehensive Income for the Three Years Ended December 31, 2025</w:t>
            </w:r>
          </w:p>
        </w:tc>
        <w:tc>
          <w:tcPr>
            <w:tcW w:w="94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443"/>
        </w:trPr>
        <w:tc>
          <w:tcPr>
            <w:tcW w:w="9780" w:type="dxa"/>
            <w:vAlign w:val="bottom"/>
          </w:tcPr>
          <w:p>
            <w:pPr>
              <w:spacing w:after="0"/>
              <w:rPr>
                <w:sz w:val="20"/>
                <w:szCs w:val="20"/>
                <w:color w:val="auto"/>
              </w:rPr>
            </w:pPr>
            <w:r>
              <w:rPr>
                <w:rFonts w:ascii="Arial" w:cs="Arial" w:eastAsia="Arial" w:hAnsi="Arial"/>
                <w:sz w:val="20"/>
                <w:szCs w:val="20"/>
                <w:color w:val="auto"/>
                <w:w w:val="93"/>
              </w:rPr>
              <w:t>Consolidated Statements of Shareholders' Equity and Redeemable Noncontrolling Interest for the Three Years Ended</w:t>
            </w:r>
          </w:p>
        </w:tc>
        <w:tc>
          <w:tcPr>
            <w:tcW w:w="940" w:type="dxa"/>
            <w:vAlign w:val="bottom"/>
          </w:tcPr>
          <w:p>
            <w:pPr>
              <w:spacing w:after="0"/>
              <w:rPr>
                <w:sz w:val="24"/>
                <w:szCs w:val="24"/>
                <w:color w:val="auto"/>
              </w:rPr>
            </w:pPr>
          </w:p>
        </w:tc>
      </w:tr>
      <w:tr>
        <w:trPr>
          <w:trHeight w:val="264"/>
        </w:trPr>
        <w:tc>
          <w:tcPr>
            <w:tcW w:w="9780" w:type="dxa"/>
            <w:vAlign w:val="bottom"/>
          </w:tcPr>
          <w:p>
            <w:pPr>
              <w:spacing w:after="0"/>
              <w:rPr>
                <w:sz w:val="20"/>
                <w:szCs w:val="20"/>
                <w:color w:val="auto"/>
              </w:rPr>
            </w:pPr>
            <w:r>
              <w:rPr>
                <w:rFonts w:ascii="Arial" w:cs="Arial" w:eastAsia="Arial" w:hAnsi="Arial"/>
                <w:sz w:val="20"/>
                <w:szCs w:val="20"/>
                <w:color w:val="auto"/>
              </w:rPr>
              <w:t>December 31, 2025</w:t>
            </w:r>
          </w:p>
        </w:tc>
        <w:tc>
          <w:tcPr>
            <w:tcW w:w="94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478"/>
        </w:trPr>
        <w:tc>
          <w:tcPr>
            <w:tcW w:w="9780" w:type="dxa"/>
            <w:vAlign w:val="bottom"/>
          </w:tcPr>
          <w:p>
            <w:pPr>
              <w:spacing w:after="0"/>
              <w:rPr>
                <w:sz w:val="20"/>
                <w:szCs w:val="20"/>
                <w:color w:val="auto"/>
              </w:rPr>
            </w:pPr>
            <w:r>
              <w:rPr>
                <w:rFonts w:ascii="Arial" w:cs="Arial" w:eastAsia="Arial" w:hAnsi="Arial"/>
                <w:sz w:val="20"/>
                <w:szCs w:val="20"/>
                <w:color w:val="auto"/>
              </w:rPr>
              <w:t>Consolidated Statements of Cash Flows for the Three Years Ended December 31, 2025</w:t>
            </w:r>
          </w:p>
        </w:tc>
        <w:tc>
          <w:tcPr>
            <w:tcW w:w="9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478"/>
        </w:trPr>
        <w:tc>
          <w:tcPr>
            <w:tcW w:w="9780" w:type="dxa"/>
            <w:vAlign w:val="bottom"/>
          </w:tcPr>
          <w:p>
            <w:pPr>
              <w:spacing w:after="0"/>
              <w:rPr>
                <w:sz w:val="20"/>
                <w:szCs w:val="20"/>
                <w:color w:val="auto"/>
              </w:rPr>
            </w:pPr>
            <w:r>
              <w:rPr>
                <w:rFonts w:ascii="Arial" w:cs="Arial" w:eastAsia="Arial" w:hAnsi="Arial"/>
                <w:sz w:val="20"/>
                <w:szCs w:val="20"/>
                <w:color w:val="auto"/>
              </w:rPr>
              <w:t>Notes to Consolidated Financial Statements</w:t>
            </w:r>
          </w:p>
        </w:tc>
        <w:tc>
          <w:tcPr>
            <w:tcW w:w="940" w:type="dxa"/>
            <w:vAlign w:val="bottom"/>
          </w:tcPr>
          <w:p>
            <w:pPr>
              <w:jc w:val="right"/>
              <w:spacing w:after="0"/>
              <w:rPr>
                <w:sz w:val="20"/>
                <w:szCs w:val="20"/>
                <w:color w:val="auto"/>
              </w:rPr>
            </w:pPr>
            <w:r>
              <w:rPr>
                <w:rFonts w:ascii="Arial" w:cs="Arial" w:eastAsia="Arial" w:hAnsi="Arial"/>
                <w:sz w:val="20"/>
                <w:szCs w:val="20"/>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-2446020</wp:posOffset>
            </wp:positionV>
            <wp:extent cx="6842125"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421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41</w:t>
      </w:r>
    </w:p>
    <w:p>
      <w:pPr>
        <w:sectPr>
          <w:pgSz w:w="12240" w:h="15840" w:orient="portrait"/>
          <w:cols w:equalWidth="0" w:num="1">
            <w:col w:w="10720"/>
          </w:cols>
          <w:pgMar w:left="720" w:top="790" w:right="800" w:bottom="0" w:gutter="0" w:footer="0" w:header="0"/>
        </w:sectPr>
      </w:pPr>
    </w:p>
    <w:bookmarkStart w:id="51" w:name="page52"/>
    <w:bookmarkEnd w:id="51"/>
    <w:p>
      <w:pPr>
        <w:ind w:left="19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Bel Fuse Inc.</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audited the accompanying consolidated balance sheets of Bel Fuse Inc. (a New Jersey corporation) and subsidiaries (the “Company”) as of December 31, 2025 and 2024, the related consolidated statements of operations, comprehensive income, shareholders’ equity and redeemable noncontrolling interest, and cash flows for each of the three years in the period ended December 31, 2025,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Arial" w:cs="Arial" w:eastAsia="Arial" w:hAnsi="Arial"/>
          <w:sz w:val="20"/>
          <w:szCs w:val="20"/>
          <w:i w:val="1"/>
          <w:iCs w:val="1"/>
          <w:color w:val="auto"/>
        </w:rPr>
        <w:t>Internal Control</w:t>
      </w:r>
      <w:r>
        <w:rPr>
          <w:rFonts w:ascii="Arial" w:cs="Arial" w:eastAsia="Arial" w:hAnsi="Arial"/>
          <w:sz w:val="20"/>
          <w:szCs w:val="20"/>
          <w:color w:val="auto"/>
        </w:rPr>
        <w:t>—</w:t>
      </w:r>
      <w:r>
        <w:rPr>
          <w:rFonts w:ascii="Arial" w:cs="Arial" w:eastAsia="Arial" w:hAnsi="Arial"/>
          <w:sz w:val="20"/>
          <w:szCs w:val="20"/>
          <w:i w:val="1"/>
          <w:iCs w:val="1"/>
          <w:color w:val="auto"/>
        </w:rPr>
        <w:t>Integrated Framework</w:t>
      </w:r>
      <w:r>
        <w:rPr>
          <w:rFonts w:ascii="Arial" w:cs="Arial" w:eastAsia="Arial" w:hAnsi="Arial"/>
          <w:sz w:val="20"/>
          <w:szCs w:val="20"/>
          <w:color w:val="auto"/>
        </w:rPr>
        <w:t xml:space="preserve"> issued by the Committee of Sponsoring Organizations of the Treadway Commission (“COSO”), and our report dated February 24, 2026, expressed an unqualified opinion.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3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judgements.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Goodwill and indefinite-lived intangible assets impairment assessment: Enercon reporting unit, Enercon Technologies Trademark and Milpower Source Trademark</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As described further in Notes 1 and 5 to the consolidated financial statements, the Company performed a quantitative goodwill impairment assessment and an impairment assessment of indefinite-lived intangible assets as of October 1, 2025. We identified the goodwill impairment assessment for the Enercon reporting unit and the impairment assessment of the Enercon Technologies and Milpower Source indefinite-lived trademarks as a critical audit matter.</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principal considerations for our determination that the quantitative goodwill impairment assessment for the Enercon reporting unit and the impairment assessment of Enercon Technologies and Milpower Source indefinite-lived trademarks are a critical audit matter are (i) the assessments required management to make significant estimates and assumptions in determining fair value, (ii) the high degree of auditor judgement and subjectivity in performing procedures and evaluating management’s significant assumptions relating to the revenue growth rate, and weighted average cost of capital (“WACC”) and (iii) the audit effort involved the use of professionals with specialized skills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2240" w:h="15840" w:orient="portrait"/>
          <w:cols w:equalWidth="0" w:num="1">
            <w:col w:w="10800"/>
          </w:cols>
          <w:pgMar w:left="720" w:top="551" w:right="720" w:bottom="0" w:gutter="0" w:footer="0" w:header="0"/>
        </w:sectPr>
      </w:pPr>
    </w:p>
    <w:bookmarkStart w:id="52" w:name="page53"/>
    <w:bookmarkEnd w:id="52"/>
    <w:p>
      <w:pPr>
        <w:spacing w:after="0" w:line="332" w:lineRule="auto"/>
        <w:rPr>
          <w:sz w:val="20"/>
          <w:szCs w:val="20"/>
          <w:color w:val="auto"/>
        </w:rPr>
      </w:pPr>
      <w:r>
        <w:rPr>
          <w:rFonts w:ascii="Arial" w:cs="Arial" w:eastAsia="Arial" w:hAnsi="Arial"/>
          <w:sz w:val="18"/>
          <w:szCs w:val="18"/>
          <w:color w:val="auto"/>
        </w:rPr>
        <w:t>Our audit procedures related to the quantitative goodwill impairment assessment for the Enercon reporting unit and the impairment assessment of Enercon Technologies and Milpower Source indefinite-lived trademarks included the following, among others:</w:t>
      </w:r>
    </w:p>
    <w:p>
      <w:pPr>
        <w:spacing w:after="0" w:line="118" w:lineRule="exact"/>
        <w:rPr>
          <w:sz w:val="20"/>
          <w:szCs w:val="20"/>
          <w:color w:val="auto"/>
        </w:rPr>
      </w:pPr>
    </w:p>
    <w:p>
      <w:pPr>
        <w:jc w:val="both"/>
        <w:ind w:left="1160" w:hanging="356"/>
        <w:spacing w:after="0" w:line="257" w:lineRule="auto"/>
        <w:tabs>
          <w:tab w:leader="none" w:pos="11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tested the design and operating effectiveness of relevant controls over management’s impairment assessment process, including controls over the development and review of key valuation assumptions and the appropriateness of the valuation models used.</w:t>
      </w:r>
    </w:p>
    <w:p>
      <w:pPr>
        <w:spacing w:after="0" w:line="187" w:lineRule="exact"/>
        <w:rPr>
          <w:rFonts w:ascii="Arial" w:cs="Arial" w:eastAsia="Arial" w:hAnsi="Arial"/>
          <w:sz w:val="20"/>
          <w:szCs w:val="20"/>
          <w:color w:val="auto"/>
        </w:rPr>
      </w:pPr>
    </w:p>
    <w:p>
      <w:pPr>
        <w:ind w:left="1160" w:hanging="356"/>
        <w:spacing w:after="0" w:line="275" w:lineRule="auto"/>
        <w:tabs>
          <w:tab w:leader="none" w:pos="11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tested the forecasted revenue growth rate, by assessing the reasonableness of management’s forecasts compared to historical results and forecasted industry trends.</w:t>
      </w:r>
    </w:p>
    <w:p>
      <w:pPr>
        <w:spacing w:after="0" w:line="167" w:lineRule="exact"/>
        <w:rPr>
          <w:rFonts w:ascii="Arial" w:cs="Arial" w:eastAsia="Arial" w:hAnsi="Arial"/>
          <w:sz w:val="20"/>
          <w:szCs w:val="20"/>
          <w:color w:val="auto"/>
        </w:rPr>
      </w:pPr>
    </w:p>
    <w:p>
      <w:pPr>
        <w:jc w:val="both"/>
        <w:ind w:left="1160" w:hanging="356"/>
        <w:spacing w:after="0" w:line="257" w:lineRule="auto"/>
        <w:tabs>
          <w:tab w:leader="none" w:pos="11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With the assistance of professionals with specialized skills and knowledge, we assessed the assumptions and methodologies used in developing the WACC by developing a range of independent estimates and comparing those to the rate selected by management.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2021.</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Iselin, New Jersey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2240" w:h="15840" w:orient="portrait"/>
          <w:cols w:equalWidth="0" w:num="1">
            <w:col w:w="10800"/>
          </w:cols>
          <w:pgMar w:left="720" w:top="555" w:right="720" w:bottom="0" w:gutter="0" w:footer="0" w:header="0"/>
        </w:sectPr>
      </w:pPr>
    </w:p>
    <w:bookmarkStart w:id="53" w:name="page54"/>
    <w:bookmarkEnd w:id="53"/>
    <w:p>
      <w:pPr>
        <w:ind w:left="19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Bel Fuse Inc.</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We have audited the internal control over financial reporting of Bel Fuse Inc. (a New Jersey corporation and subsidiaries (the “Company”) as of December 31, 2025, based on criteria established in the 2013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Arial" w:cs="Arial" w:eastAsia="Arial" w:hAnsi="Arial"/>
          <w:sz w:val="20"/>
          <w:szCs w:val="20"/>
          <w:i w:val="1"/>
          <w:iCs w:val="1"/>
          <w:color w:val="auto"/>
        </w:rPr>
        <w:t xml:space="preserve">Internal Control—Integrated Framework </w:t>
      </w:r>
      <w:r>
        <w:rPr>
          <w:rFonts w:ascii="Arial" w:cs="Arial" w:eastAsia="Arial" w:hAnsi="Arial"/>
          <w:sz w:val="20"/>
          <w:szCs w:val="20"/>
          <w:color w:val="auto"/>
        </w:rPr>
        <w:t>issued by COSO.</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consolidated financial statements of the Company as of and for the year ended December 31, 2025, and our report dated February 24, 2026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Iselin, New Jersey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2240" w:h="15840" w:orient="portrait"/>
          <w:cols w:equalWidth="0" w:num="1">
            <w:col w:w="10800"/>
          </w:cols>
          <w:pgMar w:left="720" w:top="551" w:right="720"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48"/>
        </w:trPr>
        <w:tc>
          <w:tcPr>
            <w:tcW w:w="7680" w:type="dxa"/>
            <w:vAlign w:val="bottom"/>
          </w:tcPr>
          <w:p>
            <w:pPr>
              <w:ind w:left="3740"/>
              <w:spacing w:after="0"/>
              <w:rPr>
                <w:sz w:val="20"/>
                <w:szCs w:val="20"/>
                <w:color w:val="auto"/>
              </w:rPr>
            </w:pPr>
            <w:r>
              <w:rPr>
                <w:rFonts w:ascii="Arial" w:cs="Arial" w:eastAsia="Arial" w:hAnsi="Arial"/>
                <w:sz w:val="20"/>
                <w:szCs w:val="20"/>
                <w:b w:val="1"/>
                <w:bCs w:val="1"/>
                <w:color w:val="auto"/>
              </w:rPr>
              <w:t>BEL FUSE INC. AND SUBSIDIARIES</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3660"/>
              <w:spacing w:after="0"/>
              <w:rPr>
                <w:sz w:val="20"/>
                <w:szCs w:val="20"/>
                <w:color w:val="auto"/>
              </w:rPr>
            </w:pPr>
            <w:r>
              <w:rPr>
                <w:rFonts w:ascii="Arial" w:cs="Arial" w:eastAsia="Arial" w:hAnsi="Arial"/>
                <w:sz w:val="20"/>
                <w:szCs w:val="20"/>
                <w:b w:val="1"/>
                <w:bCs w:val="1"/>
                <w:color w:val="auto"/>
              </w:rPr>
              <w:t>CONSOLIDATED BALANCE SHEETS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780" w:type="dxa"/>
            <w:vAlign w:val="bottom"/>
            <w:gridSpan w:val="2"/>
          </w:tcPr>
          <w:p>
            <w:pPr>
              <w:ind w:left="3060"/>
              <w:spacing w:after="0"/>
              <w:rPr>
                <w:sz w:val="20"/>
                <w:szCs w:val="20"/>
                <w:color w:val="auto"/>
              </w:rPr>
            </w:pPr>
            <w:r>
              <w:rPr>
                <w:rFonts w:ascii="Arial" w:cs="Arial" w:eastAsia="Arial" w:hAnsi="Arial"/>
                <w:sz w:val="20"/>
                <w:szCs w:val="20"/>
                <w:b w:val="1"/>
                <w:bCs w:val="1"/>
                <w:color w:val="auto"/>
                <w:w w:val="89"/>
              </w:rPr>
              <w:t>(dollars in thousands, except share and per share data)</w:t>
            </w: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5"/>
        </w:trPr>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b w:val="1"/>
                <w:bCs w:val="1"/>
                <w:color w:val="auto"/>
                <w:w w:val="89"/>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b w:val="1"/>
                <w:bCs w:val="1"/>
                <w:color w:val="auto"/>
                <w:w w:val="89"/>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80" w:type="dxa"/>
            <w:vAlign w:val="bottom"/>
            <w:vMerge w:val="restart"/>
          </w:tcPr>
          <w:p>
            <w:pPr>
              <w:jc w:val="center"/>
              <w:ind w:right="1"/>
              <w:spacing w:after="0"/>
              <w:rPr>
                <w:sz w:val="20"/>
                <w:szCs w:val="20"/>
                <w:color w:val="auto"/>
              </w:rPr>
            </w:pPr>
            <w:r>
              <w:rPr>
                <w:rFonts w:ascii="Arial" w:cs="Arial" w:eastAsia="Arial" w:hAnsi="Arial"/>
                <w:sz w:val="20"/>
                <w:szCs w:val="20"/>
                <w:b w:val="1"/>
                <w:bCs w:val="1"/>
                <w:color w:val="auto"/>
                <w:w w:val="92"/>
              </w:rPr>
              <w:t>ASSETS</w:t>
            </w: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2025</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80" w:type="dxa"/>
            <w:vAlign w:val="bottom"/>
          </w:tcPr>
          <w:p>
            <w:pPr>
              <w:spacing w:after="0"/>
              <w:rPr>
                <w:sz w:val="20"/>
                <w:szCs w:val="20"/>
                <w:color w:val="auto"/>
              </w:rPr>
            </w:pPr>
            <w:r>
              <w:rPr>
                <w:rFonts w:ascii="Arial" w:cs="Arial" w:eastAsia="Arial" w:hAnsi="Arial"/>
                <w:sz w:val="20"/>
                <w:szCs w:val="20"/>
                <w:color w:val="auto"/>
              </w:rPr>
              <w:t>Current assets: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57,800</w:t>
            </w:r>
          </w:p>
        </w:tc>
        <w:tc>
          <w:tcPr>
            <w:tcW w:w="3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68,253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Held to maturity U.S. Treasury securities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80"/>
              <w:spacing w:after="0"/>
              <w:rPr>
                <w:sz w:val="20"/>
                <w:szCs w:val="20"/>
                <w:color w:val="auto"/>
              </w:rPr>
            </w:pPr>
            <w:r>
              <w:rPr>
                <w:rFonts w:ascii="Arial" w:cs="Arial" w:eastAsia="Arial" w:hAnsi="Arial"/>
                <w:sz w:val="20"/>
                <w:szCs w:val="20"/>
                <w:color w:val="auto"/>
                <w:w w:val="95"/>
              </w:rPr>
              <w:t>Accounts receivable, net of credit losses of $671 and $1,336, at December 31, 2025 and</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360"/>
              <w:spacing w:after="0"/>
              <w:rPr>
                <w:sz w:val="20"/>
                <w:szCs w:val="20"/>
                <w:color w:val="auto"/>
              </w:rPr>
            </w:pPr>
            <w:r>
              <w:rPr>
                <w:rFonts w:ascii="Arial" w:cs="Arial" w:eastAsia="Arial" w:hAnsi="Arial"/>
                <w:sz w:val="20"/>
                <w:szCs w:val="20"/>
                <w:color w:val="auto"/>
              </w:rPr>
              <w:t>2024, respectively</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121,490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111,376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Inventories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167,270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161,370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Unbilled receivables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9,747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4,994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Assets held for sale</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680" w:type="dxa"/>
            <w:vAlign w:val="bottom"/>
          </w:tcPr>
          <w:p>
            <w:pPr>
              <w:ind w:left="180"/>
              <w:spacing w:after="0"/>
              <w:rPr>
                <w:sz w:val="20"/>
                <w:szCs w:val="20"/>
                <w:color w:val="auto"/>
              </w:rPr>
            </w:pPr>
            <w:r>
              <w:rPr>
                <w:rFonts w:ascii="Arial" w:cs="Arial" w:eastAsia="Arial" w:hAnsi="Arial"/>
                <w:sz w:val="20"/>
                <w:szCs w:val="20"/>
                <w:color w:val="auto"/>
              </w:rPr>
              <w:t>Other current assets</w:t>
            </w: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28,454</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80" w:type="dxa"/>
            <w:vAlign w:val="bottom"/>
          </w:tcPr>
          <w:p>
            <w:pPr>
              <w:ind w:left="360"/>
              <w:spacing w:after="0"/>
              <w:rPr>
                <w:sz w:val="20"/>
                <w:szCs w:val="20"/>
                <w:color w:val="auto"/>
              </w:rPr>
            </w:pPr>
            <w:r>
              <w:rPr>
                <w:rFonts w:ascii="Arial" w:cs="Arial" w:eastAsia="Arial" w:hAnsi="Arial"/>
                <w:sz w:val="20"/>
                <w:szCs w:val="20"/>
                <w:color w:val="auto"/>
              </w:rPr>
              <w:t>Total current assets</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384,761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373,530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7680" w:type="dxa"/>
            <w:vAlign w:val="bottom"/>
          </w:tcPr>
          <w:p>
            <w:pPr>
              <w:spacing w:after="0"/>
              <w:rPr>
                <w:sz w:val="20"/>
                <w:szCs w:val="20"/>
                <w:color w:val="auto"/>
              </w:rPr>
            </w:pPr>
            <w:r>
              <w:rPr>
                <w:rFonts w:ascii="Arial" w:cs="Arial" w:eastAsia="Arial" w:hAnsi="Arial"/>
                <w:sz w:val="20"/>
                <w:szCs w:val="20"/>
                <w:color w:val="auto"/>
              </w:rPr>
              <w:t>Property, plant and equipment, net</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48,428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47,879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680" w:type="dxa"/>
            <w:vAlign w:val="bottom"/>
          </w:tcPr>
          <w:p>
            <w:pPr>
              <w:spacing w:after="0"/>
              <w:rPr>
                <w:sz w:val="20"/>
                <w:szCs w:val="20"/>
                <w:color w:val="auto"/>
              </w:rPr>
            </w:pPr>
            <w:r>
              <w:rPr>
                <w:rFonts w:ascii="Arial" w:cs="Arial" w:eastAsia="Arial" w:hAnsi="Arial"/>
                <w:sz w:val="20"/>
                <w:szCs w:val="20"/>
                <w:color w:val="auto"/>
              </w:rPr>
              <w:t>Right-of-use assets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22,868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25,125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spacing w:after="0"/>
              <w:rPr>
                <w:sz w:val="20"/>
                <w:szCs w:val="20"/>
                <w:color w:val="auto"/>
              </w:rPr>
            </w:pPr>
            <w:r>
              <w:rPr>
                <w:rFonts w:ascii="Arial" w:cs="Arial" w:eastAsia="Arial" w:hAnsi="Arial"/>
                <w:sz w:val="20"/>
                <w:szCs w:val="20"/>
                <w:color w:val="auto"/>
              </w:rPr>
              <w:t>Related-party note receivable</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spacing w:after="0"/>
              <w:rPr>
                <w:sz w:val="20"/>
                <w:szCs w:val="20"/>
                <w:color w:val="auto"/>
              </w:rPr>
            </w:pPr>
            <w:r>
              <w:rPr>
                <w:rFonts w:ascii="Arial" w:cs="Arial" w:eastAsia="Arial" w:hAnsi="Arial"/>
                <w:sz w:val="20"/>
                <w:szCs w:val="20"/>
                <w:color w:val="auto"/>
              </w:rPr>
              <w:t>Equity method investment</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9,265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spacing w:after="0"/>
              <w:rPr>
                <w:sz w:val="20"/>
                <w:szCs w:val="20"/>
                <w:color w:val="auto"/>
              </w:rPr>
            </w:pPr>
            <w:r>
              <w:rPr>
                <w:rFonts w:ascii="Arial" w:cs="Arial" w:eastAsia="Arial" w:hAnsi="Arial"/>
                <w:sz w:val="20"/>
                <w:szCs w:val="20"/>
                <w:color w:val="auto"/>
              </w:rPr>
              <w:t>Intangible assets, net</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217,966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231,948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spacing w:after="0"/>
              <w:rPr>
                <w:sz w:val="20"/>
                <w:szCs w:val="20"/>
                <w:color w:val="auto"/>
              </w:rPr>
            </w:pPr>
            <w:r>
              <w:rPr>
                <w:rFonts w:ascii="Arial" w:cs="Arial" w:eastAsia="Arial" w:hAnsi="Arial"/>
                <w:sz w:val="20"/>
                <w:szCs w:val="20"/>
                <w:color w:val="auto"/>
              </w:rPr>
              <w:t>Goodwill, net</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214,821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208,036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spacing w:after="0"/>
              <w:rPr>
                <w:sz w:val="20"/>
                <w:szCs w:val="20"/>
                <w:color w:val="auto"/>
              </w:rPr>
            </w:pPr>
            <w:r>
              <w:rPr>
                <w:rFonts w:ascii="Arial" w:cs="Arial" w:eastAsia="Arial" w:hAnsi="Arial"/>
                <w:sz w:val="20"/>
                <w:szCs w:val="20"/>
                <w:color w:val="auto"/>
              </w:rPr>
              <w:t>Deferred income taxes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12,843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16,430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680" w:type="dxa"/>
            <w:vAlign w:val="bottom"/>
          </w:tcPr>
          <w:p>
            <w:pPr>
              <w:spacing w:after="0"/>
              <w:rPr>
                <w:sz w:val="20"/>
                <w:szCs w:val="20"/>
                <w:color w:val="auto"/>
              </w:rPr>
            </w:pPr>
            <w:r>
              <w:rPr>
                <w:rFonts w:ascii="Arial" w:cs="Arial" w:eastAsia="Arial" w:hAnsi="Arial"/>
                <w:sz w:val="20"/>
                <w:szCs w:val="20"/>
                <w:color w:val="auto"/>
              </w:rPr>
              <w:t>Other assets</w:t>
            </w: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33,513</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34,639</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7680" w:type="dxa"/>
            <w:vAlign w:val="bottom"/>
          </w:tcPr>
          <w:p>
            <w:pPr>
              <w:ind w:left="360"/>
              <w:spacing w:after="0"/>
              <w:rPr>
                <w:sz w:val="20"/>
                <w:szCs w:val="20"/>
                <w:color w:val="auto"/>
              </w:rPr>
            </w:pPr>
            <w:r>
              <w:rPr>
                <w:rFonts w:ascii="Arial" w:cs="Arial" w:eastAsia="Arial" w:hAnsi="Arial"/>
                <w:sz w:val="20"/>
                <w:szCs w:val="20"/>
                <w:color w:val="auto"/>
              </w:rPr>
              <w:t>Total assets</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935,200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949,789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9"/>
        </w:trPr>
        <w:tc>
          <w:tcPr>
            <w:tcW w:w="7680" w:type="dxa"/>
            <w:vAlign w:val="bottom"/>
          </w:tcPr>
          <w:p>
            <w:pPr>
              <w:jc w:val="center"/>
              <w:ind w:right="21"/>
              <w:spacing w:after="0"/>
              <w:rPr>
                <w:sz w:val="20"/>
                <w:szCs w:val="20"/>
                <w:color w:val="auto"/>
              </w:rPr>
            </w:pPr>
            <w:r>
              <w:rPr>
                <w:rFonts w:ascii="Arial" w:cs="Arial" w:eastAsia="Arial" w:hAnsi="Arial"/>
                <w:sz w:val="20"/>
                <w:szCs w:val="20"/>
                <w:b w:val="1"/>
                <w:bCs w:val="1"/>
                <w:color w:val="auto"/>
              </w:rPr>
              <w:t>LIABILITIES, REDEEMABLE NONCONTROLLING INTEREST AND</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80" w:type="dxa"/>
            <w:vAlign w:val="bottom"/>
          </w:tcPr>
          <w:p>
            <w:pPr>
              <w:jc w:val="center"/>
              <w:ind w:right="21"/>
              <w:spacing w:after="0"/>
              <w:rPr>
                <w:sz w:val="20"/>
                <w:szCs w:val="20"/>
                <w:color w:val="auto"/>
              </w:rPr>
            </w:pPr>
            <w:r>
              <w:rPr>
                <w:rFonts w:ascii="Arial" w:cs="Arial" w:eastAsia="Arial" w:hAnsi="Arial"/>
                <w:sz w:val="20"/>
                <w:szCs w:val="20"/>
                <w:b w:val="1"/>
                <w:bCs w:val="1"/>
                <w:color w:val="auto"/>
              </w:rPr>
              <w:t>SHAREHOLDERS' EQUITY</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spacing w:after="0"/>
              <w:rPr>
                <w:sz w:val="20"/>
                <w:szCs w:val="20"/>
                <w:color w:val="auto"/>
              </w:rPr>
            </w:pPr>
            <w:r>
              <w:rPr>
                <w:rFonts w:ascii="Arial" w:cs="Arial" w:eastAsia="Arial" w:hAnsi="Arial"/>
                <w:sz w:val="20"/>
                <w:szCs w:val="20"/>
                <w:color w:val="auto"/>
              </w:rPr>
              <w:t>Current liabilities: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Accounts payable</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52,990</w:t>
            </w:r>
          </w:p>
        </w:tc>
        <w:tc>
          <w:tcPr>
            <w:tcW w:w="3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49,182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Accrued expenses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49,710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53,031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Operating lease liability, current</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8,029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680" w:type="dxa"/>
            <w:vAlign w:val="bottom"/>
          </w:tcPr>
          <w:p>
            <w:pPr>
              <w:ind w:left="180"/>
              <w:spacing w:after="0"/>
              <w:rPr>
                <w:sz w:val="20"/>
                <w:szCs w:val="20"/>
                <w:color w:val="auto"/>
              </w:rPr>
            </w:pPr>
            <w:r>
              <w:rPr>
                <w:rFonts w:ascii="Arial" w:cs="Arial" w:eastAsia="Arial" w:hAnsi="Arial"/>
                <w:sz w:val="20"/>
                <w:szCs w:val="20"/>
                <w:color w:val="auto"/>
              </w:rPr>
              <w:t>Other current liabilities</w:t>
            </w: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16,716</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17,902</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80" w:type="dxa"/>
            <w:vAlign w:val="bottom"/>
          </w:tcPr>
          <w:p>
            <w:pPr>
              <w:ind w:left="360"/>
              <w:spacing w:after="0"/>
              <w:rPr>
                <w:sz w:val="20"/>
                <w:szCs w:val="20"/>
                <w:color w:val="auto"/>
              </w:rPr>
            </w:pPr>
            <w:r>
              <w:rPr>
                <w:rFonts w:ascii="Arial" w:cs="Arial" w:eastAsia="Arial" w:hAnsi="Arial"/>
                <w:sz w:val="20"/>
                <w:szCs w:val="20"/>
                <w:color w:val="auto"/>
              </w:rPr>
              <w:t>Total current liabilities</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127,445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128,069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7680" w:type="dxa"/>
            <w:vAlign w:val="bottom"/>
          </w:tcPr>
          <w:p>
            <w:pPr>
              <w:spacing w:after="0"/>
              <w:rPr>
                <w:sz w:val="20"/>
                <w:szCs w:val="20"/>
                <w:color w:val="auto"/>
              </w:rPr>
            </w:pPr>
            <w:r>
              <w:rPr>
                <w:rFonts w:ascii="Arial" w:cs="Arial" w:eastAsia="Arial" w:hAnsi="Arial"/>
                <w:sz w:val="20"/>
                <w:szCs w:val="20"/>
                <w:color w:val="auto"/>
              </w:rPr>
              <w:t>Long-term liabilities: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Long-term debt</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197,500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287,500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Operating lease liability, long-term</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15,867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17,763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Liability for uncertain tax positions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17,524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18,127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Minimum pension obligation and unfunded pension liability</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19,303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18,431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Deferred income taxes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29,684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28,916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Related-party note payable</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680" w:type="dxa"/>
            <w:vAlign w:val="bottom"/>
          </w:tcPr>
          <w:p>
            <w:pPr>
              <w:ind w:left="180"/>
              <w:spacing w:after="0"/>
              <w:rPr>
                <w:sz w:val="20"/>
                <w:szCs w:val="20"/>
                <w:color w:val="auto"/>
              </w:rPr>
            </w:pPr>
            <w:r>
              <w:rPr>
                <w:rFonts w:ascii="Arial" w:cs="Arial" w:eastAsia="Arial" w:hAnsi="Arial"/>
                <w:sz w:val="20"/>
                <w:szCs w:val="20"/>
                <w:color w:val="auto"/>
              </w:rPr>
              <w:t>Other long-term liabilities</w:t>
            </w: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9,203</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4,826</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680" w:type="dxa"/>
            <w:vAlign w:val="bottom"/>
          </w:tcPr>
          <w:p>
            <w:pPr>
              <w:ind w:left="360"/>
              <w:spacing w:after="0"/>
              <w:rPr>
                <w:sz w:val="20"/>
                <w:szCs w:val="20"/>
                <w:color w:val="auto"/>
              </w:rPr>
            </w:pPr>
            <w:r>
              <w:rPr>
                <w:rFonts w:ascii="Arial" w:cs="Arial" w:eastAsia="Arial" w:hAnsi="Arial"/>
                <w:sz w:val="20"/>
                <w:szCs w:val="20"/>
                <w:color w:val="auto"/>
              </w:rPr>
              <w:t>Total liabilities</w:t>
            </w: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416,526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508,627</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7680" w:type="dxa"/>
            <w:vAlign w:val="bottom"/>
          </w:tcPr>
          <w:p>
            <w:pPr>
              <w:spacing w:after="0"/>
              <w:rPr>
                <w:sz w:val="20"/>
                <w:szCs w:val="20"/>
                <w:color w:val="auto"/>
              </w:rPr>
            </w:pPr>
            <w:r>
              <w:rPr>
                <w:rFonts w:ascii="Arial" w:cs="Arial" w:eastAsia="Arial" w:hAnsi="Arial"/>
                <w:sz w:val="20"/>
                <w:szCs w:val="20"/>
                <w:color w:val="auto"/>
              </w:rPr>
              <w:t>Commitments and contingencies (see Note 19)</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680" w:type="dxa"/>
            <w:vAlign w:val="bottom"/>
            <w:vMerge w:val="restart"/>
          </w:tcPr>
          <w:p>
            <w:pPr>
              <w:spacing w:after="0"/>
              <w:rPr>
                <w:sz w:val="20"/>
                <w:szCs w:val="20"/>
                <w:color w:val="auto"/>
              </w:rPr>
            </w:pPr>
            <w:r>
              <w:rPr>
                <w:rFonts w:ascii="Arial" w:cs="Arial" w:eastAsia="Arial" w:hAnsi="Arial"/>
                <w:sz w:val="20"/>
                <w:szCs w:val="20"/>
                <w:color w:val="auto"/>
              </w:rPr>
              <w:t>Redeemable noncontrolling interest</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680" w:type="dxa"/>
            <w:vAlign w:val="bottom"/>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93,161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80,586</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18"/>
        </w:trPr>
        <w:tc>
          <w:tcPr>
            <w:tcW w:w="7680" w:type="dxa"/>
            <w:vAlign w:val="bottom"/>
          </w:tcPr>
          <w:p>
            <w:pPr>
              <w:ind w:left="4880"/>
              <w:spacing w:after="0"/>
              <w:rPr>
                <w:sz w:val="20"/>
                <w:szCs w:val="20"/>
                <w:color w:val="auto"/>
              </w:rPr>
            </w:pPr>
            <w:r>
              <w:rPr>
                <w:rFonts w:ascii="Arial" w:cs="Arial" w:eastAsia="Arial" w:hAnsi="Arial"/>
                <w:sz w:val="20"/>
                <w:szCs w:val="20"/>
                <w:color w:val="auto"/>
              </w:rPr>
              <w:t>(continued)</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-4053205</wp:posOffset>
            </wp:positionV>
            <wp:extent cx="2015490" cy="43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1549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2240" w:h="15840" w:orient="portrait"/>
          <w:cols w:equalWidth="0" w:num="1">
            <w:col w:w="10800"/>
          </w:cols>
          <w:pgMar w:left="720" w:top="592" w:right="720" w:bottom="0" w:gutter="0" w:footer="0" w:header="0"/>
        </w:sectPr>
      </w:pPr>
    </w:p>
    <w:bookmarkStart w:id="55" w:name="page56"/>
    <w:bookmarkEnd w:id="55"/>
    <w:p>
      <w:pPr>
        <w:jc w:val="center"/>
        <w:ind w:right="-19"/>
        <w:spacing w:after="0"/>
        <w:rPr>
          <w:sz w:val="20"/>
          <w:szCs w:val="20"/>
          <w:color w:val="auto"/>
        </w:rPr>
      </w:pPr>
      <w:r>
        <w:rPr>
          <w:rFonts w:ascii="Arial" w:cs="Arial" w:eastAsia="Arial" w:hAnsi="Arial"/>
          <w:sz w:val="20"/>
          <w:szCs w:val="20"/>
          <w:b w:val="1"/>
          <w:bCs w:val="1"/>
          <w:color w:val="auto"/>
        </w:rPr>
        <w:t>BEL FUSE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(dollars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auto"/>
                <w:w w:val="89"/>
              </w:rPr>
              <w:t>December 31,</w:t>
            </w: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w w:val="89"/>
              </w:rPr>
              <w:t>December 31,</w:t>
            </w:r>
          </w:p>
        </w:tc>
        <w:tc>
          <w:tcPr>
            <w:tcW w:w="0" w:type="dxa"/>
            <w:vAlign w:val="bottom"/>
          </w:tcPr>
          <w:p>
            <w:pPr>
              <w:spacing w:after="0"/>
              <w:rPr>
                <w:sz w:val="1"/>
                <w:szCs w:val="1"/>
                <w:color w:val="auto"/>
              </w:rPr>
            </w:pPr>
          </w:p>
        </w:tc>
      </w:tr>
      <w:tr>
        <w:trPr>
          <w:trHeight w:val="256"/>
        </w:trPr>
        <w:tc>
          <w:tcPr>
            <w:tcW w:w="7680" w:type="dxa"/>
            <w:vAlign w:val="bottom"/>
            <w:vMerge w:val="restart"/>
          </w:tcPr>
          <w:p>
            <w:pPr>
              <w:ind w:left="620"/>
              <w:spacing w:after="0"/>
              <w:rPr>
                <w:sz w:val="20"/>
                <w:szCs w:val="20"/>
                <w:color w:val="auto"/>
              </w:rPr>
            </w:pPr>
            <w:r>
              <w:rPr>
                <w:rFonts w:ascii="Arial" w:cs="Arial" w:eastAsia="Arial" w:hAnsi="Arial"/>
                <w:sz w:val="20"/>
                <w:szCs w:val="20"/>
                <w:b w:val="1"/>
                <w:bCs w:val="1"/>
                <w:color w:val="auto"/>
              </w:rPr>
              <w:t>LIABILITIES, REDEEMABLE NONCONTROLLING INTEREST AND</w:t>
            </w: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2025</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500"/>
              <w:spacing w:after="0"/>
              <w:rPr>
                <w:sz w:val="20"/>
                <w:szCs w:val="20"/>
                <w:color w:val="auto"/>
              </w:rPr>
            </w:pPr>
            <w:r>
              <w:rPr>
                <w:rFonts w:ascii="Arial" w:cs="Arial" w:eastAsia="Arial" w:hAnsi="Arial"/>
                <w:sz w:val="20"/>
                <w:szCs w:val="20"/>
                <w:b w:val="1"/>
                <w:bCs w:val="1"/>
                <w:color w:val="auto"/>
              </w:rPr>
              <w:t>SHAREHOLDERS' EQUITY</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spacing w:after="0"/>
              <w:rPr>
                <w:sz w:val="20"/>
                <w:szCs w:val="20"/>
                <w:color w:val="auto"/>
              </w:rPr>
            </w:pPr>
            <w:r>
              <w:rPr>
                <w:rFonts w:ascii="Arial" w:cs="Arial" w:eastAsia="Arial" w:hAnsi="Arial"/>
                <w:sz w:val="20"/>
                <w:szCs w:val="20"/>
                <w:color w:val="auto"/>
              </w:rPr>
              <w:t>Shareholders' equity:</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Preferred stock, no par value, 1,000,000 shares authorized; none issued</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80"/>
              <w:spacing w:after="0"/>
              <w:rPr>
                <w:sz w:val="20"/>
                <w:szCs w:val="20"/>
                <w:color w:val="auto"/>
              </w:rPr>
            </w:pPr>
            <w:r>
              <w:rPr>
                <w:rFonts w:ascii="Arial" w:cs="Arial" w:eastAsia="Arial" w:hAnsi="Arial"/>
                <w:sz w:val="20"/>
                <w:szCs w:val="20"/>
                <w:color w:val="auto"/>
                <w:w w:val="92"/>
              </w:rPr>
              <w:t>Class A common stock, par value $.10 per share, 10,000,000 shares authorized; 2,115,263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shares outstanding at each date (net of 1,072,769 restricted treasury shares)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680" w:type="dxa"/>
            <w:vAlign w:val="bottom"/>
          </w:tcPr>
          <w:p>
            <w:pPr>
              <w:ind w:left="180"/>
              <w:spacing w:after="0" w:line="227" w:lineRule="exact"/>
              <w:rPr>
                <w:sz w:val="20"/>
                <w:szCs w:val="20"/>
                <w:color w:val="auto"/>
              </w:rPr>
            </w:pPr>
            <w:r>
              <w:rPr>
                <w:rFonts w:ascii="Arial" w:cs="Arial" w:eastAsia="Arial" w:hAnsi="Arial"/>
                <w:sz w:val="20"/>
                <w:szCs w:val="20"/>
                <w:color w:val="auto"/>
                <w:w w:val="91"/>
              </w:rPr>
              <w:t>Class B common stock, par value $.10 per share, 30,000,000 shares authorized; 10,543,368</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80"/>
              <w:spacing w:after="0"/>
              <w:rPr>
                <w:sz w:val="20"/>
                <w:szCs w:val="20"/>
                <w:color w:val="auto"/>
              </w:rPr>
            </w:pPr>
            <w:r>
              <w:rPr>
                <w:rFonts w:ascii="Arial" w:cs="Arial" w:eastAsia="Arial" w:hAnsi="Arial"/>
                <w:sz w:val="20"/>
                <w:szCs w:val="20"/>
                <w:color w:val="auto"/>
                <w:w w:val="92"/>
              </w:rPr>
              <w:t>shares and 10,425,175 shares outstanding at December 31, 2025 and December 31, 2024,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respectively (net of 3,218,307 restricted treasury shares)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1,058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80"/>
              <w:spacing w:after="0"/>
              <w:rPr>
                <w:sz w:val="20"/>
                <w:szCs w:val="20"/>
                <w:color w:val="auto"/>
              </w:rPr>
            </w:pPr>
            <w:r>
              <w:rPr>
                <w:rFonts w:ascii="Arial" w:cs="Arial" w:eastAsia="Arial" w:hAnsi="Arial"/>
                <w:sz w:val="20"/>
                <w:szCs w:val="20"/>
                <w:color w:val="auto"/>
                <w:w w:val="91"/>
              </w:rPr>
              <w:t>Treasury stock (unrestricted; none outstanding at December 31, 2025, and at December 31,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2024)</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Additional paid-in capital</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38,315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31,514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180"/>
              <w:spacing w:after="0"/>
              <w:rPr>
                <w:sz w:val="20"/>
                <w:szCs w:val="20"/>
                <w:color w:val="auto"/>
              </w:rPr>
            </w:pPr>
            <w:r>
              <w:rPr>
                <w:rFonts w:ascii="Arial" w:cs="Arial" w:eastAsia="Arial" w:hAnsi="Arial"/>
                <w:sz w:val="20"/>
                <w:szCs w:val="20"/>
                <w:color w:val="auto"/>
              </w:rPr>
              <w:t>Retained earnings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403,102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345,031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Arial" w:cs="Arial" w:eastAsia="Arial" w:hAnsi="Arial"/>
                <w:sz w:val="20"/>
                <w:szCs w:val="20"/>
                <w:color w:val="auto"/>
              </w:rPr>
              <w:t>Accumulated other comprehensive loss</w:t>
            </w:r>
          </w:p>
        </w:tc>
        <w:tc>
          <w:tcPr>
            <w:tcW w:w="10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20"/>
                <w:szCs w:val="20"/>
                <w:color w:val="auto"/>
              </w:rPr>
              <w:t>(17,174)</w:t>
            </w: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(17,227)</w:t>
            </w:r>
          </w:p>
        </w:tc>
        <w:tc>
          <w:tcPr>
            <w:tcW w:w="0" w:type="dxa"/>
            <w:vAlign w:val="bottom"/>
          </w:tcPr>
          <w:p>
            <w:pPr>
              <w:spacing w:after="0"/>
              <w:rPr>
                <w:sz w:val="1"/>
                <w:szCs w:val="1"/>
                <w:color w:val="auto"/>
              </w:rPr>
            </w:pPr>
          </w:p>
        </w:tc>
      </w:tr>
      <w:tr>
        <w:trPr>
          <w:trHeight w:val="233"/>
        </w:trPr>
        <w:tc>
          <w:tcPr>
            <w:tcW w:w="7680" w:type="dxa"/>
            <w:vAlign w:val="bottom"/>
          </w:tcPr>
          <w:p>
            <w:pPr>
              <w:ind w:left="360"/>
              <w:spacing w:after="0"/>
              <w:rPr>
                <w:sz w:val="20"/>
                <w:szCs w:val="20"/>
                <w:color w:val="auto"/>
              </w:rPr>
            </w:pPr>
            <w:r>
              <w:rPr>
                <w:rFonts w:ascii="Arial" w:cs="Arial" w:eastAsia="Arial" w:hAnsi="Arial"/>
                <w:sz w:val="20"/>
                <w:szCs w:val="20"/>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425,513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360,576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680" w:type="dxa"/>
            <w:vAlign w:val="bottom"/>
          </w:tcPr>
          <w:p>
            <w:pPr>
              <w:ind w:left="540"/>
              <w:spacing w:after="0"/>
              <w:rPr>
                <w:sz w:val="20"/>
                <w:szCs w:val="20"/>
                <w:color w:val="auto"/>
              </w:rPr>
            </w:pPr>
            <w:r>
              <w:rPr>
                <w:rFonts w:ascii="Arial" w:cs="Arial" w:eastAsia="Arial" w:hAnsi="Arial"/>
                <w:sz w:val="20"/>
                <w:szCs w:val="20"/>
                <w:color w:val="auto"/>
              </w:rPr>
              <w:t>Total liabilities, redeemable noncontrolling interest and shareholders' equity</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935,200</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949,789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-15875</wp:posOffset>
            </wp:positionV>
            <wp:extent cx="1946910" cy="43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4691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ectPr>
          <w:pgSz w:w="12240" w:h="15840" w:orient="portrait"/>
          <w:cols w:equalWidth="0" w:num="1">
            <w:col w:w="10780"/>
          </w:cols>
          <w:pgMar w:left="720" w:top="1034" w:right="740" w:bottom="0" w:gutter="0" w:footer="0" w:header="0"/>
        </w:sectPr>
      </w:pPr>
    </w:p>
    <w:bookmarkStart w:id="56" w:name="page57"/>
    <w:bookmarkEnd w:id="56"/>
    <w:p>
      <w:pPr>
        <w:jc w:val="center"/>
        <w:ind w:right="-19"/>
        <w:spacing w:after="0"/>
        <w:rPr>
          <w:sz w:val="20"/>
          <w:szCs w:val="20"/>
          <w:color w:val="auto"/>
        </w:rPr>
      </w:pPr>
      <w:r>
        <w:rPr>
          <w:rFonts w:ascii="Arial" w:cs="Arial" w:eastAsia="Arial" w:hAnsi="Arial"/>
          <w:sz w:val="20"/>
          <w:szCs w:val="20"/>
          <w:b w:val="1"/>
          <w:bCs w:val="1"/>
          <w:color w:val="auto"/>
        </w:rPr>
        <w:t>BEL FUSE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7"/>
          </w:tcPr>
          <w:p>
            <w:pPr>
              <w:ind w:left="900"/>
              <w:spacing w:after="0"/>
              <w:rPr>
                <w:sz w:val="20"/>
                <w:szCs w:val="20"/>
                <w:color w:val="auto"/>
              </w:rPr>
            </w:pPr>
            <w:r>
              <w:rPr>
                <w:rFonts w:ascii="Arial" w:cs="Arial" w:eastAsia="Arial" w:hAnsi="Arial"/>
                <w:sz w:val="20"/>
                <w:szCs w:val="20"/>
                <w:b w:val="1"/>
                <w:bCs w:val="1"/>
                <w:color w:val="auto"/>
                <w:w w:val="96"/>
              </w:rPr>
              <w:t>Year Ended December 31,</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06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2025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60" w:type="dxa"/>
            <w:vAlign w:val="bottom"/>
            <w:vMerge w:val="continue"/>
          </w:tcPr>
          <w:p>
            <w:pPr>
              <w:spacing w:after="0"/>
              <w:rPr>
                <w:sz w:val="18"/>
                <w:szCs w:val="18"/>
                <w:color w:val="auto"/>
              </w:rPr>
            </w:pPr>
          </w:p>
        </w:tc>
        <w:tc>
          <w:tcPr>
            <w:tcW w:w="300" w:type="dxa"/>
            <w:vAlign w:val="bottom"/>
          </w:tcPr>
          <w:p>
            <w:pPr>
              <w:jc w:val="right"/>
              <w:ind w:right="101"/>
              <w:spacing w:after="0" w:line="215" w:lineRule="exact"/>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line="215" w:lineRule="exact"/>
              <w:rPr>
                <w:sz w:val="20"/>
                <w:szCs w:val="20"/>
                <w:color w:val="auto"/>
              </w:rPr>
            </w:pPr>
            <w:r>
              <w:rPr>
                <w:rFonts w:ascii="Arial" w:cs="Arial" w:eastAsia="Arial" w:hAnsi="Arial"/>
                <w:sz w:val="20"/>
                <w:szCs w:val="20"/>
                <w:color w:val="auto"/>
              </w:rPr>
              <w:t>675,455</w:t>
            </w:r>
          </w:p>
        </w:tc>
        <w:tc>
          <w:tcPr>
            <w:tcW w:w="220" w:type="dxa"/>
            <w:vAlign w:val="bottom"/>
          </w:tcPr>
          <w:p>
            <w:pPr>
              <w:spacing w:after="0"/>
              <w:rPr>
                <w:sz w:val="18"/>
                <w:szCs w:val="18"/>
                <w:color w:val="auto"/>
              </w:rPr>
            </w:pPr>
          </w:p>
        </w:tc>
        <w:tc>
          <w:tcPr>
            <w:tcW w:w="300" w:type="dxa"/>
            <w:vAlign w:val="bottom"/>
          </w:tcPr>
          <w:p>
            <w:pPr>
              <w:jc w:val="right"/>
              <w:ind w:right="101"/>
              <w:spacing w:after="0" w:line="215" w:lineRule="exact"/>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line="215" w:lineRule="exact"/>
              <w:rPr>
                <w:sz w:val="20"/>
                <w:szCs w:val="20"/>
                <w:color w:val="auto"/>
              </w:rPr>
            </w:pPr>
            <w:r>
              <w:rPr>
                <w:rFonts w:ascii="Arial" w:cs="Arial" w:eastAsia="Arial" w:hAnsi="Arial"/>
                <w:sz w:val="20"/>
                <w:szCs w:val="20"/>
                <w:color w:val="auto"/>
              </w:rPr>
              <w:t>534,792</w:t>
            </w:r>
          </w:p>
        </w:tc>
        <w:tc>
          <w:tcPr>
            <w:tcW w:w="22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Arial" w:cs="Arial" w:eastAsia="Arial" w:hAnsi="Arial"/>
                <w:sz w:val="20"/>
                <w:szCs w:val="20"/>
                <w:color w:val="auto"/>
              </w:rPr>
              <w:t>639,813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60" w:type="dxa"/>
            <w:vAlign w:val="bottom"/>
          </w:tcPr>
          <w:p>
            <w:pPr>
              <w:spacing w:after="0"/>
              <w:rPr>
                <w:sz w:val="20"/>
                <w:szCs w:val="20"/>
                <w:color w:val="auto"/>
              </w:rPr>
            </w:pPr>
            <w:r>
              <w:rPr>
                <w:rFonts w:ascii="Arial" w:cs="Arial" w:eastAsia="Arial" w:hAnsi="Arial"/>
                <w:sz w:val="20"/>
                <w:szCs w:val="20"/>
                <w:color w:val="auto"/>
              </w:rPr>
              <w:t>Cost of sales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411,037</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332,434</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423,964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060" w:type="dxa"/>
            <w:vAlign w:val="bottom"/>
          </w:tcPr>
          <w:p>
            <w:pPr>
              <w:ind w:left="180"/>
              <w:spacing w:after="0"/>
              <w:rPr>
                <w:sz w:val="20"/>
                <w:szCs w:val="20"/>
                <w:color w:val="auto"/>
              </w:rPr>
            </w:pPr>
            <w:r>
              <w:rPr>
                <w:rFonts w:ascii="Arial" w:cs="Arial" w:eastAsia="Arial" w:hAnsi="Arial"/>
                <w:sz w:val="20"/>
                <w:szCs w:val="20"/>
                <w:color w:val="auto"/>
              </w:rPr>
              <w:t>Gross profit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264,418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202,358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215,849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6060" w:type="dxa"/>
            <w:vAlign w:val="bottom"/>
          </w:tcPr>
          <w:p>
            <w:pPr>
              <w:spacing w:after="0"/>
              <w:rPr>
                <w:sz w:val="20"/>
                <w:szCs w:val="20"/>
                <w:color w:val="auto"/>
              </w:rPr>
            </w:pPr>
            <w:r>
              <w:rPr>
                <w:rFonts w:ascii="Arial" w:cs="Arial" w:eastAsia="Arial" w:hAnsi="Arial"/>
                <w:sz w:val="20"/>
                <w:szCs w:val="20"/>
                <w:color w:val="auto"/>
              </w:rPr>
              <w:t>Research and development costs</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30,867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23,586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22,487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20"/>
                <w:szCs w:val="20"/>
                <w:color w:val="auto"/>
              </w:rPr>
              <w:t>Selling, general and administrative expenses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125,828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110,616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99,091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20"/>
                <w:szCs w:val="20"/>
                <w:color w:val="auto"/>
              </w:rPr>
              <w:t>Impairment of CUI tradename</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20"/>
                <w:szCs w:val="20"/>
                <w:color w:val="auto"/>
              </w:rPr>
              <w:t>Restructuring (credits) charges</w:t>
            </w: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(677)</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3,459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10,114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20"/>
                <w:szCs w:val="20"/>
                <w:color w:val="auto"/>
              </w:rPr>
              <w:t>Gain on sale of properties</w:t>
            </w: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(5,701)</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(3,819)</w:t>
            </w:r>
          </w:p>
        </w:tc>
        <w:tc>
          <w:tcPr>
            <w:tcW w:w="0" w:type="dxa"/>
            <w:vAlign w:val="bottom"/>
          </w:tcPr>
          <w:p>
            <w:pPr>
              <w:spacing w:after="0"/>
              <w:rPr>
                <w:sz w:val="1"/>
                <w:szCs w:val="1"/>
                <w:color w:val="auto"/>
              </w:rPr>
            </w:pPr>
          </w:p>
        </w:tc>
      </w:tr>
      <w:tr>
        <w:trPr>
          <w:trHeight w:val="254"/>
        </w:trPr>
        <w:tc>
          <w:tcPr>
            <w:tcW w:w="6060" w:type="dxa"/>
            <w:vAlign w:val="bottom"/>
          </w:tcPr>
          <w:p>
            <w:pPr>
              <w:spacing w:after="0"/>
              <w:rPr>
                <w:sz w:val="20"/>
                <w:szCs w:val="20"/>
                <w:color w:val="auto"/>
              </w:rPr>
            </w:pPr>
            <w:r>
              <w:rPr>
                <w:rFonts w:ascii="Arial" w:cs="Arial" w:eastAsia="Arial" w:hAnsi="Arial"/>
                <w:sz w:val="20"/>
                <w:szCs w:val="20"/>
                <w:color w:val="auto"/>
              </w:rPr>
              <w:t>Earnout liability adjustments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3,105</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060" w:type="dxa"/>
            <w:vAlign w:val="bottom"/>
          </w:tcPr>
          <w:p>
            <w:pPr>
              <w:ind w:left="180"/>
              <w:spacing w:after="0"/>
              <w:rPr>
                <w:sz w:val="20"/>
                <w:szCs w:val="20"/>
                <w:color w:val="auto"/>
              </w:rPr>
            </w:pPr>
            <w:r>
              <w:rPr>
                <w:rFonts w:ascii="Arial" w:cs="Arial" w:eastAsia="Arial" w:hAnsi="Arial"/>
                <w:sz w:val="20"/>
                <w:szCs w:val="20"/>
                <w:color w:val="auto"/>
              </w:rPr>
              <w:t>Income from operations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110,996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64,297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87,976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6060" w:type="dxa"/>
            <w:vAlign w:val="bottom"/>
          </w:tcPr>
          <w:p>
            <w:pPr>
              <w:spacing w:after="0"/>
              <w:rPr>
                <w:sz w:val="20"/>
                <w:szCs w:val="20"/>
                <w:color w:val="auto"/>
              </w:rPr>
            </w:pPr>
            <w:r>
              <w:rPr>
                <w:rFonts w:ascii="Arial" w:cs="Arial" w:eastAsia="Arial" w:hAnsi="Arial"/>
                <w:sz w:val="20"/>
                <w:szCs w:val="20"/>
                <w:color w:val="auto"/>
              </w:rPr>
              <w:t>Gain on sale of Czech Republic business</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20"/>
                <w:szCs w:val="20"/>
                <w:color w:val="auto"/>
              </w:rPr>
              <w:t>Interest expense</w:t>
            </w: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(14,751)</w:t>
            </w: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(4,078)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(2,850)</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20"/>
                <w:szCs w:val="20"/>
                <w:color w:val="auto"/>
              </w:rPr>
              <w:t>Interest income</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1,035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4,754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1,697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20"/>
                <w:szCs w:val="20"/>
                <w:color w:val="auto"/>
              </w:rPr>
              <w:t>Impairment of equity method investment and related party notes</w:t>
            </w: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(13,087)</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60" w:type="dxa"/>
            <w:vAlign w:val="bottom"/>
          </w:tcPr>
          <w:p>
            <w:pPr>
              <w:spacing w:after="0"/>
              <w:rPr>
                <w:sz w:val="20"/>
                <w:szCs w:val="20"/>
                <w:color w:val="auto"/>
              </w:rPr>
            </w:pPr>
            <w:r>
              <w:rPr>
                <w:rFonts w:ascii="Arial" w:cs="Arial" w:eastAsia="Arial" w:hAnsi="Arial"/>
                <w:sz w:val="20"/>
                <w:szCs w:val="20"/>
                <w:color w:val="auto"/>
              </w:rPr>
              <w:t>Other income (expense), net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10,857</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(3,165)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(4,503)</w:t>
            </w:r>
          </w:p>
        </w:tc>
        <w:tc>
          <w:tcPr>
            <w:tcW w:w="0" w:type="dxa"/>
            <w:vAlign w:val="bottom"/>
          </w:tcPr>
          <w:p>
            <w:pPr>
              <w:spacing w:after="0"/>
              <w:rPr>
                <w:sz w:val="1"/>
                <w:szCs w:val="1"/>
                <w:color w:val="auto"/>
              </w:rPr>
            </w:pPr>
          </w:p>
        </w:tc>
      </w:tr>
      <w:tr>
        <w:trPr>
          <w:trHeight w:val="259"/>
        </w:trPr>
        <w:tc>
          <w:tcPr>
            <w:tcW w:w="6060" w:type="dxa"/>
            <w:vAlign w:val="bottom"/>
          </w:tcPr>
          <w:p>
            <w:pPr>
              <w:ind w:left="180"/>
              <w:spacing w:after="0"/>
              <w:rPr>
                <w:sz w:val="20"/>
                <w:szCs w:val="20"/>
                <w:color w:val="auto"/>
              </w:rPr>
            </w:pPr>
            <w:r>
              <w:rPr>
                <w:rFonts w:ascii="Arial" w:cs="Arial" w:eastAsia="Arial" w:hAnsi="Arial"/>
                <w:sz w:val="20"/>
                <w:szCs w:val="20"/>
                <w:color w:val="auto"/>
              </w:rPr>
              <w:t>Earnings before provision for income taxes</w:t>
            </w: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95,050</w:t>
            </w:r>
          </w:p>
        </w:tc>
        <w:tc>
          <w:tcPr>
            <w:tcW w:w="2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61,808</w:t>
            </w:r>
          </w:p>
        </w:tc>
        <w:tc>
          <w:tcPr>
            <w:tcW w:w="2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83,300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606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20,939</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12,616</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9,469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060" w:type="dxa"/>
            <w:vAlign w:val="bottom"/>
          </w:tcPr>
          <w:p>
            <w:pPr>
              <w:ind w:left="180"/>
              <w:spacing w:after="0"/>
              <w:rPr>
                <w:sz w:val="20"/>
                <w:szCs w:val="20"/>
                <w:color w:val="auto"/>
              </w:rPr>
            </w:pPr>
            <w:r>
              <w:rPr>
                <w:rFonts w:ascii="Arial" w:cs="Arial" w:eastAsia="Arial" w:hAnsi="Arial"/>
                <w:sz w:val="20"/>
                <w:szCs w:val="20"/>
                <w:color w:val="auto"/>
              </w:rPr>
              <w:t>Net earnings available to common shareholders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74,111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49,192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73,831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6060" w:type="dxa"/>
            <w:vAlign w:val="bottom"/>
          </w:tcPr>
          <w:p>
            <w:pPr>
              <w:spacing w:after="0"/>
              <w:rPr>
                <w:sz w:val="20"/>
                <w:szCs w:val="20"/>
                <w:color w:val="auto"/>
              </w:rPr>
            </w:pPr>
            <w:r>
              <w:rPr>
                <w:rFonts w:ascii="Arial" w:cs="Arial" w:eastAsia="Arial" w:hAnsi="Arial"/>
                <w:sz w:val="20"/>
                <w:szCs w:val="20"/>
                <w:color w:val="auto"/>
              </w:rPr>
              <w:t>Less: Net earnings attributable to noncontrolling interest</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3,452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484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Pr>
          <w:p>
            <w:pPr>
              <w:spacing w:after="0"/>
              <w:rPr>
                <w:sz w:val="20"/>
                <w:szCs w:val="20"/>
                <w:color w:val="auto"/>
              </w:rPr>
            </w:pPr>
            <w:r>
              <w:rPr>
                <w:rFonts w:ascii="Arial" w:cs="Arial" w:eastAsia="Arial" w:hAnsi="Arial"/>
                <w:sz w:val="20"/>
                <w:szCs w:val="20"/>
                <w:color w:val="auto"/>
              </w:rPr>
              <w:t>Redemption value adjustment attributable to noncontrolling interest</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9,123</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7,748</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060" w:type="dxa"/>
            <w:vAlign w:val="bottom"/>
          </w:tcPr>
          <w:p>
            <w:pPr>
              <w:ind w:left="180"/>
              <w:spacing w:after="0"/>
              <w:rPr>
                <w:sz w:val="20"/>
                <w:szCs w:val="20"/>
                <w:color w:val="auto"/>
              </w:rPr>
            </w:pPr>
            <w:r>
              <w:rPr>
                <w:rFonts w:ascii="Arial" w:cs="Arial" w:eastAsia="Arial" w:hAnsi="Arial"/>
                <w:sz w:val="20"/>
                <w:szCs w:val="20"/>
                <w:color w:val="auto"/>
              </w:rPr>
              <w:t>Net earnings attributable to Bel Fuse shareholders</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61,536</w:t>
            </w:r>
          </w:p>
        </w:tc>
        <w:tc>
          <w:tcPr>
            <w:tcW w:w="22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40,960</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73,831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9"/>
        </w:trPr>
        <w:tc>
          <w:tcPr>
            <w:tcW w:w="6060" w:type="dxa"/>
            <w:vAlign w:val="bottom"/>
          </w:tcPr>
          <w:p>
            <w:pPr>
              <w:spacing w:after="0"/>
              <w:rPr>
                <w:sz w:val="20"/>
                <w:szCs w:val="20"/>
                <w:color w:val="auto"/>
              </w:rPr>
            </w:pPr>
            <w:r>
              <w:rPr>
                <w:rFonts w:ascii="Arial" w:cs="Arial" w:eastAsia="Arial" w:hAnsi="Arial"/>
                <w:sz w:val="20"/>
                <w:szCs w:val="20"/>
                <w:color w:val="auto"/>
              </w:rPr>
              <w:t>Net earnings per common share: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20"/>
                <w:szCs w:val="20"/>
                <w:color w:val="auto"/>
              </w:rPr>
              <w:t>Class A common shares - basic and diluted</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4.65</w:t>
            </w:r>
          </w:p>
        </w:tc>
        <w:tc>
          <w:tcPr>
            <w:tcW w:w="22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3.10</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6060" w:type="dxa"/>
            <w:vAlign w:val="bottom"/>
          </w:tcPr>
          <w:p>
            <w:pPr>
              <w:ind w:left="180"/>
              <w:spacing w:after="0"/>
              <w:rPr>
                <w:sz w:val="20"/>
                <w:szCs w:val="20"/>
                <w:color w:val="auto"/>
              </w:rPr>
            </w:pPr>
            <w:r>
              <w:rPr>
                <w:rFonts w:ascii="Arial" w:cs="Arial" w:eastAsia="Arial" w:hAnsi="Arial"/>
                <w:sz w:val="20"/>
                <w:szCs w:val="20"/>
                <w:color w:val="auto"/>
              </w:rPr>
              <w:t>Class B common shares - basic</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4.91</w:t>
            </w:r>
          </w:p>
        </w:tc>
        <w:tc>
          <w:tcPr>
            <w:tcW w:w="22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3.28</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5.83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060" w:type="dxa"/>
            <w:vAlign w:val="bottom"/>
          </w:tcPr>
          <w:p>
            <w:pPr>
              <w:ind w:left="180"/>
              <w:spacing w:after="0"/>
              <w:rPr>
                <w:sz w:val="20"/>
                <w:szCs w:val="20"/>
                <w:color w:val="auto"/>
              </w:rPr>
            </w:pPr>
            <w:r>
              <w:rPr>
                <w:rFonts w:ascii="Arial" w:cs="Arial" w:eastAsia="Arial" w:hAnsi="Arial"/>
                <w:sz w:val="20"/>
                <w:szCs w:val="20"/>
                <w:color w:val="auto"/>
              </w:rPr>
              <w:t>Class B common shares - diluted</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4.90</w:t>
            </w:r>
          </w:p>
        </w:tc>
        <w:tc>
          <w:tcPr>
            <w:tcW w:w="22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3.28</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5.83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6060" w:type="dxa"/>
            <w:vAlign w:val="bottom"/>
          </w:tcPr>
          <w:p>
            <w:pPr>
              <w:spacing w:after="0"/>
              <w:rPr>
                <w:sz w:val="20"/>
                <w:szCs w:val="20"/>
                <w:color w:val="auto"/>
              </w:rPr>
            </w:pPr>
            <w:r>
              <w:rPr>
                <w:rFonts w:ascii="Arial" w:cs="Arial" w:eastAsia="Arial" w:hAnsi="Arial"/>
                <w:sz w:val="20"/>
                <w:szCs w:val="20"/>
                <w:color w:val="auto"/>
              </w:rPr>
              <w:t>Weighted-average shares outstanding:</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20"/>
                <w:szCs w:val="20"/>
                <w:color w:val="auto"/>
              </w:rPr>
              <w:t>Class A common shares - basic and diluted</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2,115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2,124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2,142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6060" w:type="dxa"/>
            <w:vAlign w:val="bottom"/>
          </w:tcPr>
          <w:p>
            <w:pPr>
              <w:ind w:left="180"/>
              <w:spacing w:after="0"/>
              <w:rPr>
                <w:sz w:val="20"/>
                <w:szCs w:val="20"/>
                <w:color w:val="auto"/>
              </w:rPr>
            </w:pPr>
            <w:r>
              <w:rPr>
                <w:rFonts w:ascii="Arial" w:cs="Arial" w:eastAsia="Arial" w:hAnsi="Arial"/>
                <w:sz w:val="20"/>
                <w:szCs w:val="20"/>
                <w:color w:val="auto"/>
              </w:rPr>
              <w:t>Class B common shares - basic</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10,525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10,491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10,634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60" w:type="dxa"/>
            <w:vAlign w:val="bottom"/>
          </w:tcPr>
          <w:p>
            <w:pPr>
              <w:ind w:left="180"/>
              <w:spacing w:after="0"/>
              <w:rPr>
                <w:sz w:val="20"/>
                <w:szCs w:val="20"/>
                <w:color w:val="auto"/>
              </w:rPr>
            </w:pPr>
            <w:r>
              <w:rPr>
                <w:rFonts w:ascii="Arial" w:cs="Arial" w:eastAsia="Arial" w:hAnsi="Arial"/>
                <w:sz w:val="20"/>
                <w:szCs w:val="20"/>
                <w:color w:val="auto"/>
              </w:rPr>
              <w:t>Class B common shares - diluted</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10,546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10,491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-1754505</wp:posOffset>
            </wp:positionV>
            <wp:extent cx="2977515" cy="52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77515" cy="5270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-1263015</wp:posOffset>
            </wp:positionV>
            <wp:extent cx="2977515" cy="52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77515" cy="5270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-1076325</wp:posOffset>
            </wp:positionV>
            <wp:extent cx="2977515" cy="52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77515" cy="5270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-888365</wp:posOffset>
            </wp:positionV>
            <wp:extent cx="2977515" cy="52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77515" cy="5270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-397510</wp:posOffset>
            </wp:positionV>
            <wp:extent cx="2977515" cy="52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77515" cy="5270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-210820</wp:posOffset>
            </wp:positionV>
            <wp:extent cx="2986405" cy="241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86405" cy="24193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ectPr>
          <w:pgSz w:w="12240" w:h="15840" w:orient="portrait"/>
          <w:cols w:equalWidth="0" w:num="1">
            <w:col w:w="10780"/>
          </w:cols>
          <w:pgMar w:left="720" w:top="785" w:right="740" w:bottom="0" w:gutter="0" w:footer="0" w:header="0"/>
        </w:sectPr>
      </w:pPr>
    </w:p>
    <w:bookmarkStart w:id="57" w:name="page58"/>
    <w:bookmarkEnd w:id="57"/>
    <w:p>
      <w:pPr>
        <w:jc w:val="center"/>
        <w:ind w:left="740" w:right="2340"/>
        <w:spacing w:after="0" w:line="270" w:lineRule="auto"/>
        <w:rPr>
          <w:sz w:val="20"/>
          <w:szCs w:val="20"/>
          <w:color w:val="auto"/>
        </w:rPr>
      </w:pPr>
      <w:r>
        <w:rPr>
          <w:rFonts w:ascii="Arial" w:cs="Arial" w:eastAsia="Arial" w:hAnsi="Arial"/>
          <w:sz w:val="20"/>
          <w:szCs w:val="20"/>
          <w:b w:val="1"/>
          <w:bCs w:val="1"/>
          <w:color w:val="auto"/>
        </w:rPr>
        <w:t>BEL FUSE INC. AND SUBSIDIARIES CONSOLIDATED STATEMENTS OF COMPREHENSIVE INCOME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7"/>
          </w:tcPr>
          <w:p>
            <w:pPr>
              <w:ind w:left="900"/>
              <w:spacing w:after="0"/>
              <w:rPr>
                <w:sz w:val="20"/>
                <w:szCs w:val="20"/>
                <w:color w:val="auto"/>
              </w:rPr>
            </w:pPr>
            <w:r>
              <w:rPr>
                <w:rFonts w:ascii="Arial" w:cs="Arial" w:eastAsia="Arial" w:hAnsi="Arial"/>
                <w:sz w:val="20"/>
                <w:szCs w:val="20"/>
                <w:b w:val="1"/>
                <w:bCs w:val="1"/>
                <w:color w:val="auto"/>
                <w:w w:val="96"/>
              </w:rPr>
              <w:t>Year Ended December 31,</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060" w:type="dxa"/>
            <w:vAlign w:val="bottom"/>
            <w:vMerge w:val="restart"/>
          </w:tcPr>
          <w:p>
            <w:pPr>
              <w:spacing w:after="0"/>
              <w:rPr>
                <w:sz w:val="20"/>
                <w:szCs w:val="20"/>
                <w:color w:val="auto"/>
              </w:rPr>
            </w:pPr>
            <w:r>
              <w:rPr>
                <w:rFonts w:ascii="Arial" w:cs="Arial" w:eastAsia="Arial" w:hAnsi="Arial"/>
                <w:sz w:val="20"/>
                <w:szCs w:val="20"/>
                <w:color w:val="auto"/>
              </w:rPr>
              <w:t>Net earnings available to common shareholders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2025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060" w:type="dxa"/>
            <w:vAlign w:val="bottom"/>
            <w:vMerge w:val="continue"/>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74,111</w:t>
            </w:r>
          </w:p>
        </w:tc>
        <w:tc>
          <w:tcPr>
            <w:tcW w:w="22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49,192</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73,831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606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20"/>
                <w:szCs w:val="20"/>
                <w:color w:val="auto"/>
              </w:rPr>
              <w:t>Currency translation adjustment, net of taxes of $0, $36 and ($93)</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2,476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(5,543)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6,684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20"/>
                <w:szCs w:val="20"/>
                <w:color w:val="auto"/>
                <w:w w:val="92"/>
              </w:rPr>
              <w:t>Unrealized losses on interest rate swap cash flow hedge, net of taxes of</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20"/>
                <w:szCs w:val="20"/>
                <w:color w:val="auto"/>
              </w:rPr>
              <w:t>$0 in all periods</w:t>
            </w: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(1,823)</w:t>
            </w: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(1,231)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(1,579)</w:t>
            </w: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20"/>
                <w:szCs w:val="20"/>
                <w:color w:val="auto"/>
                <w:w w:val="97"/>
              </w:rPr>
              <w:t>Unrealized holding gains on marketable securities arising during the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20"/>
                <w:szCs w:val="20"/>
                <w:color w:val="auto"/>
              </w:rPr>
              <w:t>period, net of taxes of $0 in all periods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20"/>
                <w:szCs w:val="20"/>
                <w:color w:val="auto"/>
                <w:w w:val="95"/>
              </w:rPr>
              <w:t>Change in unfunded SERP liability, net of taxes of ($179), ($465) and</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180"/>
              <w:spacing w:after="0"/>
              <w:rPr>
                <w:sz w:val="20"/>
                <w:szCs w:val="20"/>
                <w:color w:val="auto"/>
              </w:rPr>
            </w:pPr>
            <w:r>
              <w:rPr>
                <w:rFonts w:ascii="Arial" w:cs="Arial" w:eastAsia="Arial" w:hAnsi="Arial"/>
                <w:sz w:val="20"/>
                <w:szCs w:val="20"/>
                <w:color w:val="auto"/>
              </w:rPr>
              <w:t>($161)</w:t>
            </w:r>
          </w:p>
        </w:tc>
        <w:tc>
          <w:tcPr>
            <w:tcW w:w="30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(600)</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1,582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(597)</w:t>
            </w:r>
          </w:p>
        </w:tc>
        <w:tc>
          <w:tcPr>
            <w:tcW w:w="0" w:type="dxa"/>
            <w:vAlign w:val="bottom"/>
          </w:tcPr>
          <w:p>
            <w:pPr>
              <w:spacing w:after="0"/>
              <w:rPr>
                <w:sz w:val="1"/>
                <w:szCs w:val="1"/>
                <w:color w:val="auto"/>
              </w:rPr>
            </w:pPr>
          </w:p>
        </w:tc>
      </w:tr>
      <w:tr>
        <w:trPr>
          <w:trHeight w:val="233"/>
        </w:trPr>
        <w:tc>
          <w:tcPr>
            <w:tcW w:w="6060" w:type="dxa"/>
            <w:vAlign w:val="bottom"/>
          </w:tcPr>
          <w:p>
            <w:pPr>
              <w:spacing w:after="0"/>
              <w:rPr>
                <w:sz w:val="20"/>
                <w:szCs w:val="20"/>
                <w:color w:val="auto"/>
              </w:rPr>
            </w:pPr>
            <w:r>
              <w:rPr>
                <w:rFonts w:ascii="Arial" w:cs="Arial" w:eastAsia="Arial" w:hAnsi="Arial"/>
                <w:sz w:val="20"/>
                <w:szCs w:val="20"/>
                <w:color w:val="auto"/>
              </w:rPr>
              <w:t>Other comprehensive income (loss)</w:t>
            </w: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(5,190)</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4,509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060" w:type="dxa"/>
            <w:vAlign w:val="bottom"/>
          </w:tcPr>
          <w:p>
            <w:pPr>
              <w:spacing w:after="0"/>
              <w:rPr>
                <w:sz w:val="20"/>
                <w:szCs w:val="20"/>
                <w:color w:val="auto"/>
              </w:rPr>
            </w:pPr>
            <w:r>
              <w:rPr>
                <w:rFonts w:ascii="Arial" w:cs="Arial" w:eastAsia="Arial" w:hAnsi="Arial"/>
                <w:sz w:val="20"/>
                <w:szCs w:val="20"/>
                <w:color w:val="auto"/>
              </w:rPr>
              <w:t>Comprehensive income</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74,164</w:t>
            </w:r>
          </w:p>
        </w:tc>
        <w:tc>
          <w:tcPr>
            <w:tcW w:w="22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44,002</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78,340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60" w:type="dxa"/>
            <w:vAlign w:val="bottom"/>
          </w:tcPr>
          <w:p>
            <w:pPr>
              <w:spacing w:after="0"/>
              <w:rPr>
                <w:sz w:val="20"/>
                <w:szCs w:val="20"/>
                <w:color w:val="auto"/>
              </w:rPr>
            </w:pPr>
            <w:r>
              <w:rPr>
                <w:rFonts w:ascii="Arial" w:cs="Arial" w:eastAsia="Arial" w:hAnsi="Arial"/>
                <w:sz w:val="20"/>
                <w:szCs w:val="20"/>
                <w:color w:val="auto"/>
              </w:rPr>
              <w:t>Comprehensive income attributable to noncontrolling interest</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3,452</w:t>
            </w:r>
          </w:p>
        </w:tc>
        <w:tc>
          <w:tcPr>
            <w:tcW w:w="22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484</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060" w:type="dxa"/>
            <w:vAlign w:val="bottom"/>
          </w:tcPr>
          <w:p>
            <w:pPr>
              <w:spacing w:after="0"/>
              <w:rPr>
                <w:sz w:val="20"/>
                <w:szCs w:val="20"/>
                <w:color w:val="auto"/>
              </w:rPr>
            </w:pPr>
            <w:r>
              <w:rPr>
                <w:rFonts w:ascii="Arial" w:cs="Arial" w:eastAsia="Arial" w:hAnsi="Arial"/>
                <w:sz w:val="20"/>
                <w:szCs w:val="20"/>
                <w:color w:val="auto"/>
              </w:rPr>
              <w:t>Comprehensive income attributable to Bel shareholders</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70,712</w:t>
            </w:r>
          </w:p>
        </w:tc>
        <w:tc>
          <w:tcPr>
            <w:tcW w:w="22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43,518</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78,340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-400050</wp:posOffset>
            </wp:positionV>
            <wp:extent cx="2977515" cy="52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77515" cy="5270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-212090</wp:posOffset>
            </wp:positionV>
            <wp:extent cx="2986405" cy="2438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86405" cy="24384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consolidated financial statements.</w:t>
      </w:r>
    </w:p>
    <w:p>
      <w:pPr>
        <w:sectPr>
          <w:pgSz w:w="12240" w:h="15840" w:orient="portrait"/>
          <w:cols w:equalWidth="0" w:num="1">
            <w:col w:w="10780"/>
          </w:cols>
          <w:pgMar w:left="720" w:top="83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2240" w:h="15840" w:orient="portrait"/>
          <w:cols w:equalWidth="0" w:num="1">
            <w:col w:w="10780"/>
          </w:cols>
          <w:pgMar w:left="720" w:top="832" w:right="740" w:bottom="0" w:gutter="0" w:footer="0" w:header="0"/>
          <w:type w:val="continuous"/>
        </w:sectPr>
      </w:pPr>
    </w:p>
    <w:bookmarkStart w:id="58" w:name="page59"/>
    <w:bookmarkEnd w:id="58"/>
    <w:p>
      <w:pPr>
        <w:jc w:val="center"/>
        <w:ind w:right="-39"/>
        <w:spacing w:after="0"/>
        <w:rPr>
          <w:sz w:val="20"/>
          <w:szCs w:val="20"/>
          <w:color w:val="auto"/>
        </w:rPr>
      </w:pPr>
      <w:r>
        <w:rPr>
          <w:rFonts w:ascii="Arial" w:cs="Arial" w:eastAsia="Arial" w:hAnsi="Arial"/>
          <w:sz w:val="20"/>
          <w:szCs w:val="20"/>
          <w:b w:val="1"/>
          <w:bCs w:val="1"/>
          <w:color w:val="auto"/>
        </w:rPr>
        <w:t>BEL FUSE INC. AND SUBSIDIARIES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SHAREHOLDERS' EQUITY AND REDEEMABLE NONCONTROLLING</w:t>
      </w:r>
    </w:p>
    <w:p>
      <w:pPr>
        <w:jc w:val="center"/>
        <w:ind w:right="-39"/>
        <w:spacing w:after="0"/>
        <w:rPr>
          <w:sz w:val="20"/>
          <w:szCs w:val="20"/>
          <w:color w:val="auto"/>
        </w:rPr>
      </w:pPr>
      <w:r>
        <w:rPr>
          <w:rFonts w:ascii="Arial" w:cs="Arial" w:eastAsia="Arial" w:hAnsi="Arial"/>
          <w:sz w:val="20"/>
          <w:szCs w:val="20"/>
          <w:b w:val="1"/>
          <w:bCs w:val="1"/>
          <w:color w:val="auto"/>
        </w:rPr>
        <w:t>INTEREST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4"/>
          </w:tcPr>
          <w:p>
            <w:pPr>
              <w:jc w:val="center"/>
              <w:ind w:right="140"/>
              <w:spacing w:after="0"/>
              <w:rPr>
                <w:sz w:val="20"/>
                <w:szCs w:val="20"/>
                <w:color w:val="auto"/>
              </w:rPr>
            </w:pPr>
            <w:r>
              <w:rPr>
                <w:rFonts w:ascii="Arial" w:cs="Arial" w:eastAsia="Arial" w:hAnsi="Arial"/>
                <w:sz w:val="16"/>
                <w:szCs w:val="16"/>
                <w:color w:val="auto"/>
                <w:w w:val="92"/>
              </w:rPr>
              <w:t>Accumulated</w:t>
            </w:r>
          </w:p>
        </w:tc>
        <w:tc>
          <w:tcPr>
            <w:tcW w:w="780" w:type="dxa"/>
            <w:vAlign w:val="bottom"/>
            <w:gridSpan w:val="3"/>
            <w:vMerge w:val="restart"/>
          </w:tcPr>
          <w:p>
            <w:pPr>
              <w:jc w:val="center"/>
              <w:ind w:right="140"/>
              <w:spacing w:after="0"/>
              <w:rPr>
                <w:sz w:val="20"/>
                <w:szCs w:val="20"/>
                <w:color w:val="auto"/>
              </w:rPr>
            </w:pPr>
            <w:r>
              <w:rPr>
                <w:rFonts w:ascii="Arial" w:cs="Arial" w:eastAsia="Arial" w:hAnsi="Arial"/>
                <w:sz w:val="16"/>
                <w:szCs w:val="16"/>
                <w:color w:val="auto"/>
                <w:w w:val="94"/>
              </w:rPr>
              <w:t>Class A</w:t>
            </w: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4"/>
              </w:rPr>
              <w:t>Class A</w:t>
            </w:r>
          </w:p>
        </w:tc>
        <w:tc>
          <w:tcPr>
            <w:tcW w:w="780" w:type="dxa"/>
            <w:vAlign w:val="bottom"/>
            <w:gridSpan w:val="3"/>
            <w:vMerge w:val="restart"/>
          </w:tcPr>
          <w:p>
            <w:pPr>
              <w:jc w:val="center"/>
              <w:ind w:right="140"/>
              <w:spacing w:after="0"/>
              <w:rPr>
                <w:sz w:val="20"/>
                <w:szCs w:val="20"/>
                <w:color w:val="auto"/>
              </w:rPr>
            </w:pPr>
            <w:r>
              <w:rPr>
                <w:rFonts w:ascii="Arial" w:cs="Arial" w:eastAsia="Arial" w:hAnsi="Arial"/>
                <w:sz w:val="16"/>
                <w:szCs w:val="16"/>
                <w:color w:val="auto"/>
                <w:w w:val="86"/>
              </w:rPr>
              <w:t>Class B</w:t>
            </w: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86"/>
              </w:rPr>
              <w:t>Class B</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color w:val="auto"/>
                <w:w w:val="95"/>
              </w:rPr>
              <w:t>Total</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5"/>
              </w:rPr>
              <w:t>Redeemable</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6"/>
                <w:szCs w:val="16"/>
                <w:color w:val="auto"/>
                <w:w w:val="94"/>
              </w:rPr>
              <w:t>Other</w:t>
            </w:r>
          </w:p>
        </w:tc>
        <w:tc>
          <w:tcPr>
            <w:tcW w:w="780" w:type="dxa"/>
            <w:vAlign w:val="bottom"/>
            <w:gridSpan w:val="3"/>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color w:val="auto"/>
              </w:rPr>
              <w:t>Additional</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0" w:type="dxa"/>
            <w:vAlign w:val="bottom"/>
          </w:tcPr>
          <w:p>
            <w:pPr>
              <w:spacing w:after="0"/>
              <w:rPr>
                <w:sz w:val="15"/>
                <w:szCs w:val="15"/>
                <w:color w:val="auto"/>
              </w:rPr>
            </w:pPr>
          </w:p>
        </w:tc>
        <w:tc>
          <w:tcPr>
            <w:tcW w:w="780" w:type="dxa"/>
            <w:vAlign w:val="bottom"/>
            <w:gridSpan w:val="3"/>
          </w:tcPr>
          <w:p>
            <w:pPr>
              <w:ind w:left="40"/>
              <w:spacing w:after="0" w:line="181" w:lineRule="exact"/>
              <w:rPr>
                <w:sz w:val="20"/>
                <w:szCs w:val="20"/>
                <w:color w:val="auto"/>
              </w:rPr>
            </w:pPr>
            <w:r>
              <w:rPr>
                <w:rFonts w:ascii="Arial" w:cs="Arial" w:eastAsia="Arial" w:hAnsi="Arial"/>
                <w:sz w:val="16"/>
                <w:szCs w:val="16"/>
                <w:color w:val="auto"/>
              </w:rPr>
              <w:t>Retained</w:t>
            </w:r>
          </w:p>
        </w:tc>
        <w:tc>
          <w:tcPr>
            <w:tcW w:w="1160" w:type="dxa"/>
            <w:vAlign w:val="bottom"/>
            <w:gridSpan w:val="4"/>
          </w:tcPr>
          <w:p>
            <w:pPr>
              <w:jc w:val="center"/>
              <w:ind w:right="140"/>
              <w:spacing w:after="0" w:line="181" w:lineRule="exact"/>
              <w:rPr>
                <w:sz w:val="20"/>
                <w:szCs w:val="20"/>
                <w:color w:val="auto"/>
              </w:rPr>
            </w:pPr>
            <w:r>
              <w:rPr>
                <w:rFonts w:ascii="Arial" w:cs="Arial" w:eastAsia="Arial" w:hAnsi="Arial"/>
                <w:sz w:val="16"/>
                <w:szCs w:val="16"/>
                <w:color w:val="auto"/>
                <w:w w:val="91"/>
              </w:rPr>
              <w:t>Comprehensive</w:t>
            </w:r>
          </w:p>
        </w:tc>
        <w:tc>
          <w:tcPr>
            <w:tcW w:w="780" w:type="dxa"/>
            <w:vAlign w:val="bottom"/>
            <w:gridSpan w:val="3"/>
          </w:tcPr>
          <w:p>
            <w:pPr>
              <w:jc w:val="center"/>
              <w:ind w:right="140"/>
              <w:spacing w:after="0" w:line="181" w:lineRule="exact"/>
              <w:rPr>
                <w:sz w:val="20"/>
                <w:szCs w:val="20"/>
                <w:color w:val="auto"/>
              </w:rPr>
            </w:pPr>
            <w:r>
              <w:rPr>
                <w:rFonts w:ascii="Arial" w:cs="Arial" w:eastAsia="Arial" w:hAnsi="Arial"/>
                <w:sz w:val="16"/>
                <w:szCs w:val="16"/>
                <w:color w:val="auto"/>
                <w:w w:val="92"/>
              </w:rPr>
              <w:t>Common</w:t>
            </w:r>
          </w:p>
        </w:tc>
        <w:tc>
          <w:tcPr>
            <w:tcW w:w="720" w:type="dxa"/>
            <w:vAlign w:val="bottom"/>
            <w:gridSpan w:val="2"/>
          </w:tcPr>
          <w:p>
            <w:pPr>
              <w:jc w:val="center"/>
              <w:ind w:right="160"/>
              <w:spacing w:after="0" w:line="181" w:lineRule="exact"/>
              <w:rPr>
                <w:sz w:val="20"/>
                <w:szCs w:val="20"/>
                <w:color w:val="auto"/>
              </w:rPr>
            </w:pPr>
            <w:r>
              <w:rPr>
                <w:rFonts w:ascii="Arial" w:cs="Arial" w:eastAsia="Arial" w:hAnsi="Arial"/>
                <w:sz w:val="16"/>
                <w:szCs w:val="16"/>
                <w:color w:val="auto"/>
                <w:w w:val="89"/>
              </w:rPr>
              <w:t># of</w:t>
            </w:r>
          </w:p>
        </w:tc>
        <w:tc>
          <w:tcPr>
            <w:tcW w:w="780" w:type="dxa"/>
            <w:vAlign w:val="bottom"/>
            <w:gridSpan w:val="3"/>
          </w:tcPr>
          <w:p>
            <w:pPr>
              <w:jc w:val="center"/>
              <w:ind w:right="140"/>
              <w:spacing w:after="0" w:line="181" w:lineRule="exact"/>
              <w:rPr>
                <w:sz w:val="20"/>
                <w:szCs w:val="20"/>
                <w:color w:val="auto"/>
              </w:rPr>
            </w:pPr>
            <w:r>
              <w:rPr>
                <w:rFonts w:ascii="Arial" w:cs="Arial" w:eastAsia="Arial" w:hAnsi="Arial"/>
                <w:sz w:val="16"/>
                <w:szCs w:val="16"/>
                <w:color w:val="auto"/>
                <w:w w:val="92"/>
              </w:rPr>
              <w:t>Common</w:t>
            </w:r>
          </w:p>
        </w:tc>
        <w:tc>
          <w:tcPr>
            <w:tcW w:w="640" w:type="dxa"/>
            <w:vAlign w:val="bottom"/>
            <w:gridSpan w:val="2"/>
          </w:tcPr>
          <w:p>
            <w:pPr>
              <w:jc w:val="center"/>
              <w:ind w:right="80"/>
              <w:spacing w:after="0" w:line="181" w:lineRule="exact"/>
              <w:rPr>
                <w:sz w:val="20"/>
                <w:szCs w:val="20"/>
                <w:color w:val="auto"/>
              </w:rPr>
            </w:pPr>
            <w:r>
              <w:rPr>
                <w:rFonts w:ascii="Arial" w:cs="Arial" w:eastAsia="Arial" w:hAnsi="Arial"/>
                <w:sz w:val="16"/>
                <w:szCs w:val="16"/>
                <w:color w:val="auto"/>
                <w:w w:val="89"/>
              </w:rPr>
              <w:t># of</w:t>
            </w:r>
          </w:p>
        </w:tc>
        <w:tc>
          <w:tcPr>
            <w:tcW w:w="80" w:type="dxa"/>
            <w:vAlign w:val="bottom"/>
          </w:tcPr>
          <w:p>
            <w:pPr>
              <w:spacing w:after="0"/>
              <w:rPr>
                <w:sz w:val="15"/>
                <w:szCs w:val="15"/>
                <w:color w:val="auto"/>
              </w:rPr>
            </w:pPr>
          </w:p>
        </w:tc>
        <w:tc>
          <w:tcPr>
            <w:tcW w:w="780" w:type="dxa"/>
            <w:vAlign w:val="bottom"/>
            <w:gridSpan w:val="3"/>
          </w:tcPr>
          <w:p>
            <w:pPr>
              <w:ind w:left="40"/>
              <w:spacing w:after="0" w:line="181" w:lineRule="exact"/>
              <w:rPr>
                <w:sz w:val="20"/>
                <w:szCs w:val="20"/>
                <w:color w:val="auto"/>
              </w:rPr>
            </w:pPr>
            <w:r>
              <w:rPr>
                <w:rFonts w:ascii="Arial" w:cs="Arial" w:eastAsia="Arial" w:hAnsi="Arial"/>
                <w:sz w:val="16"/>
                <w:szCs w:val="16"/>
                <w:color w:val="auto"/>
              </w:rPr>
              <w:t>Treasury</w:t>
            </w:r>
          </w:p>
        </w:tc>
        <w:tc>
          <w:tcPr>
            <w:tcW w:w="860" w:type="dxa"/>
            <w:vAlign w:val="bottom"/>
            <w:gridSpan w:val="3"/>
          </w:tcPr>
          <w:p>
            <w:pPr>
              <w:jc w:val="right"/>
              <w:ind w:right="260"/>
              <w:spacing w:after="0" w:line="181" w:lineRule="exact"/>
              <w:rPr>
                <w:sz w:val="20"/>
                <w:szCs w:val="20"/>
                <w:color w:val="auto"/>
              </w:rPr>
            </w:pPr>
            <w:r>
              <w:rPr>
                <w:rFonts w:ascii="Arial" w:cs="Arial" w:eastAsia="Arial" w:hAnsi="Arial"/>
                <w:sz w:val="16"/>
                <w:szCs w:val="16"/>
                <w:color w:val="auto"/>
              </w:rPr>
              <w:t>Paid-In</w:t>
            </w:r>
          </w:p>
        </w:tc>
        <w:tc>
          <w:tcPr>
            <w:tcW w:w="1040" w:type="dxa"/>
            <w:vAlign w:val="bottom"/>
            <w:tcBorders>
              <w:right w:val="single" w:sz="8" w:color="auto"/>
            </w:tcBorders>
            <w:gridSpan w:val="3"/>
          </w:tcPr>
          <w:p>
            <w:pPr>
              <w:jc w:val="center"/>
              <w:ind w:right="200"/>
              <w:spacing w:after="0" w:line="181" w:lineRule="exact"/>
              <w:rPr>
                <w:sz w:val="20"/>
                <w:szCs w:val="20"/>
                <w:color w:val="auto"/>
              </w:rPr>
            </w:pPr>
            <w:r>
              <w:rPr>
                <w:rFonts w:ascii="Arial" w:cs="Arial" w:eastAsia="Arial" w:hAnsi="Arial"/>
                <w:sz w:val="16"/>
                <w:szCs w:val="16"/>
                <w:color w:val="auto"/>
                <w:w w:val="87"/>
              </w:rPr>
              <w:t>shareholders'</w:t>
            </w:r>
          </w:p>
        </w:tc>
        <w:tc>
          <w:tcPr>
            <w:tcW w:w="940" w:type="dxa"/>
            <w:vAlign w:val="bottom"/>
            <w:gridSpan w:val="2"/>
          </w:tcPr>
          <w:p>
            <w:pPr>
              <w:jc w:val="center"/>
              <w:spacing w:after="0" w:line="181" w:lineRule="exact"/>
              <w:rPr>
                <w:sz w:val="20"/>
                <w:szCs w:val="20"/>
                <w:color w:val="auto"/>
              </w:rPr>
            </w:pPr>
            <w:r>
              <w:rPr>
                <w:rFonts w:ascii="Arial" w:cs="Arial" w:eastAsia="Arial" w:hAnsi="Arial"/>
                <w:sz w:val="16"/>
                <w:szCs w:val="16"/>
                <w:color w:val="auto"/>
                <w:w w:val="91"/>
              </w:rPr>
              <w:t>Noncontrolling</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w w:val="94"/>
              </w:rPr>
              <w:t>Earnings</w:t>
            </w:r>
          </w:p>
        </w:tc>
        <w:tc>
          <w:tcPr>
            <w:tcW w:w="120" w:type="dxa"/>
            <w:vAlign w:val="bottom"/>
            <w:gridSpan w:val="2"/>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92"/>
              </w:rPr>
              <w:t>(Loss) Income</w:t>
            </w:r>
          </w:p>
        </w:tc>
        <w:tc>
          <w:tcPr>
            <w:tcW w:w="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center"/>
              <w:ind w:right="60"/>
              <w:spacing w:after="0"/>
              <w:rPr>
                <w:sz w:val="20"/>
                <w:szCs w:val="20"/>
                <w:color w:val="auto"/>
              </w:rPr>
            </w:pPr>
            <w:r>
              <w:rPr>
                <w:rFonts w:ascii="Arial" w:cs="Arial" w:eastAsia="Arial" w:hAnsi="Arial"/>
                <w:sz w:val="16"/>
                <w:szCs w:val="16"/>
                <w:color w:val="auto"/>
                <w:w w:val="89"/>
              </w:rPr>
              <w:t>Stock</w:t>
            </w:r>
          </w:p>
        </w:tc>
        <w:tc>
          <w:tcPr>
            <w:tcW w:w="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86"/>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center"/>
              <w:ind w:right="60"/>
              <w:spacing w:after="0"/>
              <w:rPr>
                <w:sz w:val="20"/>
                <w:szCs w:val="20"/>
                <w:color w:val="auto"/>
              </w:rPr>
            </w:pPr>
            <w:r>
              <w:rPr>
                <w:rFonts w:ascii="Arial" w:cs="Arial" w:eastAsia="Arial" w:hAnsi="Arial"/>
                <w:sz w:val="16"/>
                <w:szCs w:val="16"/>
                <w:color w:val="auto"/>
                <w:w w:val="89"/>
              </w:rPr>
              <w:t>Stock</w:t>
            </w:r>
          </w:p>
        </w:tc>
        <w:tc>
          <w:tcPr>
            <w:tcW w:w="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86"/>
              </w:rPr>
              <w:t>Shares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60"/>
              <w:spacing w:after="0"/>
              <w:rPr>
                <w:sz w:val="20"/>
                <w:szCs w:val="20"/>
                <w:color w:val="auto"/>
              </w:rPr>
            </w:pPr>
            <w:r>
              <w:rPr>
                <w:rFonts w:ascii="Arial" w:cs="Arial" w:eastAsia="Arial" w:hAnsi="Arial"/>
                <w:sz w:val="16"/>
                <w:szCs w:val="16"/>
                <w:color w:val="auto"/>
                <w:w w:val="84"/>
              </w:rPr>
              <w:t>Stock</w:t>
            </w:r>
          </w:p>
        </w:tc>
        <w:tc>
          <w:tcPr>
            <w:tcW w:w="14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6"/>
                <w:szCs w:val="16"/>
                <w:color w:val="auto"/>
              </w:rPr>
              <w:t>Capital</w:t>
            </w: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3"/>
              </w:rPr>
              <w:t>equity</w:t>
            </w:r>
          </w:p>
        </w:tc>
        <w:tc>
          <w:tcPr>
            <w:tcW w:w="140" w:type="dxa"/>
            <w:vAlign w:val="bottom"/>
          </w:tcPr>
          <w:p>
            <w:pPr>
              <w:spacing w:after="0"/>
              <w:rPr>
                <w:sz w:val="18"/>
                <w:szCs w:val="18"/>
                <w:color w:val="auto"/>
              </w:rPr>
            </w:pPr>
          </w:p>
        </w:tc>
        <w:tc>
          <w:tcPr>
            <w:tcW w:w="800" w:type="dxa"/>
            <w:vAlign w:val="bottom"/>
          </w:tcPr>
          <w:p>
            <w:pPr>
              <w:jc w:val="center"/>
              <w:ind w:right="120"/>
              <w:spacing w:after="0"/>
              <w:rPr>
                <w:sz w:val="20"/>
                <w:szCs w:val="20"/>
                <w:color w:val="auto"/>
              </w:rPr>
            </w:pPr>
            <w:r>
              <w:rPr>
                <w:rFonts w:ascii="Arial" w:cs="Arial" w:eastAsia="Arial" w:hAnsi="Arial"/>
                <w:sz w:val="16"/>
                <w:szCs w:val="16"/>
                <w:color w:val="auto"/>
                <w:w w:val="89"/>
              </w:rPr>
              <w:t>Interest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200" w:type="dxa"/>
            <w:vAlign w:val="bottom"/>
          </w:tcPr>
          <w:p>
            <w:pPr>
              <w:spacing w:after="0"/>
              <w:rPr>
                <w:sz w:val="20"/>
                <w:szCs w:val="20"/>
                <w:color w:val="auto"/>
              </w:rPr>
            </w:pPr>
            <w:r>
              <w:rPr>
                <w:rFonts w:ascii="Arial" w:cs="Arial" w:eastAsia="Arial" w:hAnsi="Arial"/>
                <w:sz w:val="16"/>
                <w:szCs w:val="16"/>
                <w:color w:val="auto"/>
                <w:w w:val="98"/>
              </w:rPr>
              <w:t>Balance at December 31, 2022</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$ 237,188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(16,546 )</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2,142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1,067</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10,643</w:t>
            </w:r>
          </w:p>
        </w:tc>
        <w:tc>
          <w:tcPr>
            <w:tcW w:w="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(349 )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40,772</w:t>
            </w:r>
          </w:p>
        </w:tc>
        <w:tc>
          <w:tcPr>
            <w:tcW w:w="14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262,346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0"/>
        </w:trPr>
        <w:tc>
          <w:tcPr>
            <w:tcW w:w="2200" w:type="dxa"/>
            <w:vAlign w:val="bottom"/>
          </w:tcPr>
          <w:p>
            <w:pPr>
              <w:spacing w:after="0" w:line="140" w:lineRule="exact"/>
              <w:rPr>
                <w:sz w:val="20"/>
                <w:szCs w:val="20"/>
                <w:color w:val="auto"/>
              </w:rPr>
            </w:pPr>
            <w:r>
              <w:rPr>
                <w:rFonts w:ascii="Arial" w:cs="Arial" w:eastAsia="Arial" w:hAnsi="Arial"/>
                <w:sz w:val="16"/>
                <w:szCs w:val="16"/>
                <w:color w:val="auto"/>
              </w:rPr>
              <w:t>Net earnings</w:t>
            </w:r>
          </w:p>
        </w:tc>
        <w:tc>
          <w:tcPr>
            <w:tcW w:w="720" w:type="dxa"/>
            <w:vAlign w:val="bottom"/>
            <w:gridSpan w:val="2"/>
          </w:tcPr>
          <w:p>
            <w:pPr>
              <w:jc w:val="right"/>
              <w:ind w:right="60"/>
              <w:spacing w:after="0" w:line="140" w:lineRule="exact"/>
              <w:rPr>
                <w:sz w:val="20"/>
                <w:szCs w:val="20"/>
                <w:color w:val="auto"/>
              </w:rPr>
            </w:pPr>
            <w:r>
              <w:rPr>
                <w:rFonts w:ascii="Arial" w:cs="Arial" w:eastAsia="Arial" w:hAnsi="Arial"/>
                <w:sz w:val="16"/>
                <w:szCs w:val="16"/>
                <w:color w:val="auto"/>
              </w:rPr>
              <w:t>73,831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ind w:left="740"/>
              <w:spacing w:after="0" w:line="140"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40"/>
              <w:spacing w:after="0" w:line="140"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4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40"/>
              <w:spacing w:after="0" w:line="140"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4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40"/>
              <w:spacing w:after="0" w:line="14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0"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180"/>
              <w:spacing w:after="0" w:line="140" w:lineRule="exact"/>
              <w:rPr>
                <w:sz w:val="20"/>
                <w:szCs w:val="20"/>
                <w:color w:val="auto"/>
              </w:rPr>
            </w:pPr>
            <w:r>
              <w:rPr>
                <w:rFonts w:ascii="Arial" w:cs="Arial" w:eastAsia="Arial" w:hAnsi="Arial"/>
                <w:sz w:val="16"/>
                <w:szCs w:val="16"/>
                <w:color w:val="auto"/>
              </w:rPr>
              <w:t>73,831</w:t>
            </w:r>
          </w:p>
        </w:tc>
        <w:tc>
          <w:tcPr>
            <w:tcW w:w="14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Dividends declared:</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Class A Common Stock,</w:t>
            </w: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(512)</w:t>
            </w:r>
          </w:p>
        </w:tc>
        <w:tc>
          <w:tcPr>
            <w:tcW w:w="220" w:type="dxa"/>
            <w:vAlign w:val="bottom"/>
          </w:tcPr>
          <w:p>
            <w:pPr>
              <w:spacing w:after="0"/>
              <w:rPr>
                <w:sz w:val="15"/>
                <w:szCs w:val="15"/>
                <w:color w:val="auto"/>
              </w:rPr>
            </w:pPr>
          </w:p>
        </w:tc>
        <w:tc>
          <w:tcPr>
            <w:tcW w:w="8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6"/>
                <w:szCs w:val="16"/>
                <w:color w:val="auto"/>
              </w:rPr>
              <w:t>(512)</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200" w:type="dxa"/>
            <w:vAlign w:val="bottom"/>
          </w:tcPr>
          <w:p>
            <w:pPr>
              <w:spacing w:after="0"/>
              <w:rPr>
                <w:sz w:val="20"/>
                <w:szCs w:val="20"/>
                <w:color w:val="auto"/>
              </w:rPr>
            </w:pPr>
            <w:r>
              <w:rPr>
                <w:rFonts w:ascii="Arial" w:cs="Arial" w:eastAsia="Arial" w:hAnsi="Arial"/>
                <w:sz w:val="16"/>
                <w:szCs w:val="16"/>
                <w:color w:val="auto"/>
              </w:rPr>
              <w:t>$0.24/share</w:t>
            </w:r>
          </w:p>
        </w:tc>
        <w:tc>
          <w:tcPr>
            <w:tcW w:w="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Class B Common Stock,</w:t>
            </w: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(2,997)</w:t>
            </w:r>
          </w:p>
        </w:tc>
        <w:tc>
          <w:tcPr>
            <w:tcW w:w="220" w:type="dxa"/>
            <w:vAlign w:val="bottom"/>
          </w:tcPr>
          <w:p>
            <w:pPr>
              <w:spacing w:after="0"/>
              <w:rPr>
                <w:sz w:val="15"/>
                <w:szCs w:val="15"/>
                <w:color w:val="auto"/>
              </w:rPr>
            </w:pPr>
          </w:p>
        </w:tc>
        <w:tc>
          <w:tcPr>
            <w:tcW w:w="8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6"/>
                <w:szCs w:val="16"/>
                <w:color w:val="auto"/>
              </w:rPr>
              <w:t>(2,997)</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$0.28/share</w:t>
            </w:r>
          </w:p>
        </w:tc>
        <w:tc>
          <w:tcPr>
            <w:tcW w:w="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Issuance of restricted common</w:t>
            </w:r>
          </w:p>
        </w:tc>
        <w:tc>
          <w:tcPr>
            <w:tcW w:w="7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(1 )</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200" w:type="dxa"/>
            <w:vAlign w:val="bottom"/>
          </w:tcPr>
          <w:p>
            <w:pPr>
              <w:spacing w:after="0"/>
              <w:rPr>
                <w:sz w:val="20"/>
                <w:szCs w:val="20"/>
                <w:color w:val="auto"/>
              </w:rPr>
            </w:pPr>
            <w:r>
              <w:rPr>
                <w:rFonts w:ascii="Arial" w:cs="Arial" w:eastAsia="Arial" w:hAnsi="Arial"/>
                <w:sz w:val="16"/>
                <w:szCs w:val="16"/>
                <w:color w:val="auto"/>
              </w:rPr>
              <w:t>stock</w:t>
            </w: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w w:val="98"/>
              </w:rPr>
              <w:t>Forfeiture of restricted common</w:t>
            </w:r>
          </w:p>
        </w:tc>
        <w:tc>
          <w:tcPr>
            <w:tcW w:w="7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(3)</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stock</w:t>
            </w: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Repurchase of treasury stock</w:t>
            </w:r>
          </w:p>
        </w:tc>
        <w:tc>
          <w:tcPr>
            <w:tcW w:w="7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200" w:type="dxa"/>
            <w:vAlign w:val="bottom"/>
          </w:tcPr>
          <w:p>
            <w:pPr>
              <w:spacing w:after="0" w:line="181" w:lineRule="exact"/>
              <w:rPr>
                <w:sz w:val="20"/>
                <w:szCs w:val="20"/>
                <w:color w:val="auto"/>
              </w:rPr>
            </w:pPr>
            <w:r>
              <w:rPr>
                <w:rFonts w:ascii="Arial" w:cs="Arial" w:eastAsia="Arial" w:hAnsi="Arial"/>
                <w:sz w:val="16"/>
                <w:szCs w:val="16"/>
                <w:color w:val="auto"/>
              </w:rPr>
              <w:t>Foreign currency translation</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w w:val="97"/>
              </w:rPr>
              <w:t>adjustment, including writeoff of</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$2,724 related to liquidation of</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0" w:type="dxa"/>
            <w:vAlign w:val="bottom"/>
          </w:tcPr>
          <w:p>
            <w:pPr>
              <w:spacing w:after="0" w:line="181" w:lineRule="exact"/>
              <w:rPr>
                <w:sz w:val="20"/>
                <w:szCs w:val="20"/>
                <w:color w:val="auto"/>
              </w:rPr>
            </w:pPr>
            <w:r>
              <w:rPr>
                <w:rFonts w:ascii="Arial" w:cs="Arial" w:eastAsia="Arial" w:hAnsi="Arial"/>
                <w:sz w:val="16"/>
                <w:szCs w:val="16"/>
                <w:color w:val="auto"/>
              </w:rPr>
              <w:t>foreign subsidiary, net of taxes</w:t>
            </w:r>
          </w:p>
        </w:tc>
        <w:tc>
          <w:tcPr>
            <w:tcW w:w="660" w:type="dxa"/>
            <w:vAlign w:val="bottom"/>
            <w:vMerge w:val="restart"/>
          </w:tcPr>
          <w:p>
            <w:pPr>
              <w:ind w:left="6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6,684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6,684</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of ($93)</w:t>
            </w: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w w:val="94"/>
              </w:rPr>
              <w:t>Unrealized gains on interest rate</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0" w:type="dxa"/>
            <w:vAlign w:val="bottom"/>
          </w:tcPr>
          <w:p>
            <w:pPr>
              <w:spacing w:after="0" w:line="181" w:lineRule="exact"/>
              <w:rPr>
                <w:sz w:val="20"/>
                <w:szCs w:val="20"/>
                <w:color w:val="auto"/>
              </w:rPr>
            </w:pPr>
            <w:r>
              <w:rPr>
                <w:rFonts w:ascii="Arial" w:cs="Arial" w:eastAsia="Arial" w:hAnsi="Arial"/>
                <w:sz w:val="16"/>
                <w:szCs w:val="16"/>
                <w:color w:val="auto"/>
              </w:rPr>
              <w:t>swap cashflow hedge, net of</w:t>
            </w:r>
          </w:p>
        </w:tc>
        <w:tc>
          <w:tcPr>
            <w:tcW w:w="660" w:type="dxa"/>
            <w:vAlign w:val="bottom"/>
            <w:vMerge w:val="restart"/>
          </w:tcPr>
          <w:p>
            <w:pPr>
              <w:ind w:left="6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(1,579 )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6"/>
                <w:szCs w:val="16"/>
                <w:color w:val="auto"/>
              </w:rPr>
              <w:t>(1,579)</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taxes of $0</w:t>
            </w: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Unrealized holding gains on</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marketable securities, net of</w:t>
            </w:r>
          </w:p>
        </w:tc>
        <w:tc>
          <w:tcPr>
            <w:tcW w:w="660" w:type="dxa"/>
            <w:vAlign w:val="bottom"/>
            <w:vMerge w:val="restart"/>
          </w:tcPr>
          <w:p>
            <w:pPr>
              <w:ind w:left="6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200" w:type="dxa"/>
            <w:vAlign w:val="bottom"/>
          </w:tcPr>
          <w:p>
            <w:pPr>
              <w:spacing w:after="0"/>
              <w:rPr>
                <w:sz w:val="20"/>
                <w:szCs w:val="20"/>
                <w:color w:val="auto"/>
              </w:rPr>
            </w:pPr>
            <w:r>
              <w:rPr>
                <w:rFonts w:ascii="Arial" w:cs="Arial" w:eastAsia="Arial" w:hAnsi="Arial"/>
                <w:sz w:val="16"/>
                <w:szCs w:val="16"/>
                <w:color w:val="auto"/>
              </w:rPr>
              <w:t>taxes of $0</w:t>
            </w: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ind w:left="7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3,486</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3,486</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expense</w:t>
            </w: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Change in unfunded SERP</w:t>
            </w:r>
          </w:p>
        </w:tc>
        <w:tc>
          <w:tcPr>
            <w:tcW w:w="660" w:type="dxa"/>
            <w:vAlign w:val="bottom"/>
            <w:vMerge w:val="restart"/>
          </w:tcPr>
          <w:p>
            <w:pPr>
              <w:ind w:left="6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(597)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6"/>
                <w:szCs w:val="16"/>
                <w:color w:val="auto"/>
              </w:rPr>
              <w:t>(597)</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liability, net of taxes of ($161)</w:t>
            </w: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20"/>
                <w:szCs w:val="20"/>
                <w:color w:val="auto"/>
              </w:rPr>
            </w:pPr>
            <w:r>
              <w:rPr>
                <w:rFonts w:ascii="Arial" w:cs="Arial" w:eastAsia="Arial" w:hAnsi="Arial"/>
                <w:sz w:val="16"/>
                <w:szCs w:val="16"/>
                <w:color w:val="auto"/>
                <w:w w:val="98"/>
              </w:rPr>
              <w:t>Balance at December 31, 2023</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307,510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(12,037)</w:t>
            </w: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214</w:t>
            </w:r>
          </w:p>
        </w:tc>
        <w:tc>
          <w:tcPr>
            <w:tcW w:w="600" w:type="dxa"/>
            <w:vAlign w:val="bottom"/>
          </w:tcPr>
          <w:p>
            <w:pPr>
              <w:jc w:val="right"/>
              <w:spacing w:after="0"/>
              <w:rPr>
                <w:sz w:val="20"/>
                <w:szCs w:val="20"/>
                <w:color w:val="auto"/>
              </w:rPr>
            </w:pPr>
            <w:r>
              <w:rPr>
                <w:rFonts w:ascii="Arial" w:cs="Arial" w:eastAsia="Arial" w:hAnsi="Arial"/>
                <w:sz w:val="16"/>
                <w:szCs w:val="16"/>
                <w:color w:val="auto"/>
              </w:rPr>
              <w:t>2,142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1,065</w:t>
            </w:r>
          </w:p>
        </w:tc>
        <w:tc>
          <w:tcPr>
            <w:tcW w:w="600" w:type="dxa"/>
            <w:vAlign w:val="bottom"/>
          </w:tcPr>
          <w:p>
            <w:pPr>
              <w:jc w:val="right"/>
              <w:spacing w:after="0"/>
              <w:rPr>
                <w:sz w:val="20"/>
                <w:szCs w:val="20"/>
                <w:color w:val="auto"/>
              </w:rPr>
            </w:pPr>
            <w:r>
              <w:rPr>
                <w:rFonts w:ascii="Arial" w:cs="Arial" w:eastAsia="Arial" w:hAnsi="Arial"/>
                <w:sz w:val="16"/>
                <w:szCs w:val="16"/>
                <w:color w:val="auto"/>
              </w:rPr>
              <w:t>10,620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(454)</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44,260</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340,558</w:t>
            </w:r>
          </w:p>
        </w:tc>
        <w:tc>
          <w:tcPr>
            <w:tcW w:w="140" w:type="dxa"/>
            <w:vAlign w:val="bottom"/>
            <w:tcBorders>
              <w:bottom w:val="single" w:sz="8" w:color="auto"/>
            </w:tcBorders>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200" w:type="dxa"/>
            <w:vAlign w:val="bottom"/>
            <w:vMerge w:val="restart"/>
          </w:tcPr>
          <w:p>
            <w:pPr>
              <w:spacing w:after="0"/>
              <w:rPr>
                <w:sz w:val="20"/>
                <w:szCs w:val="20"/>
                <w:color w:val="auto"/>
              </w:rPr>
            </w:pPr>
            <w:r>
              <w:rPr>
                <w:rFonts w:ascii="Arial" w:cs="Arial" w:eastAsia="Arial" w:hAnsi="Arial"/>
                <w:sz w:val="16"/>
                <w:szCs w:val="16"/>
                <w:color w:val="auto"/>
              </w:rPr>
              <w:t>Acquisition resulting in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0" w:type="dxa"/>
            <w:vAlign w:val="bottom"/>
          </w:tcPr>
          <w:p>
            <w:pPr>
              <w:spacing w:after="0" w:line="181" w:lineRule="exact"/>
              <w:rPr>
                <w:sz w:val="20"/>
                <w:szCs w:val="20"/>
                <w:color w:val="auto"/>
              </w:rPr>
            </w:pPr>
            <w:r>
              <w:rPr>
                <w:rFonts w:ascii="Arial" w:cs="Arial" w:eastAsia="Arial" w:hAnsi="Arial"/>
                <w:sz w:val="16"/>
                <w:szCs w:val="16"/>
                <w:color w:val="auto"/>
              </w:rPr>
              <w:t>redeemable noncontrolling</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interest ("NCI")</w:t>
            </w:r>
          </w:p>
        </w:tc>
        <w:tc>
          <w:tcPr>
            <w:tcW w:w="7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72,354</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w w:val="93"/>
              </w:rPr>
              <w:t>Redemption value adjustment on</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redeemable NCI</w:t>
            </w:r>
          </w:p>
        </w:tc>
        <w:tc>
          <w:tcPr>
            <w:tcW w:w="7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7,748</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Net earnings</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40,960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40,960</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191"/>
        </w:trPr>
        <w:tc>
          <w:tcPr>
            <w:tcW w:w="2200" w:type="dxa"/>
            <w:vAlign w:val="bottom"/>
          </w:tcPr>
          <w:p>
            <w:pPr>
              <w:spacing w:after="0"/>
              <w:rPr>
                <w:sz w:val="20"/>
                <w:szCs w:val="20"/>
                <w:color w:val="auto"/>
              </w:rPr>
            </w:pPr>
            <w:r>
              <w:rPr>
                <w:rFonts w:ascii="Arial" w:cs="Arial" w:eastAsia="Arial" w:hAnsi="Arial"/>
                <w:sz w:val="16"/>
                <w:szCs w:val="16"/>
                <w:color w:val="auto"/>
              </w:rPr>
              <w:t>Dividends declared:</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Class A Common Stock,</w:t>
            </w: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(508)</w:t>
            </w:r>
          </w:p>
        </w:tc>
        <w:tc>
          <w:tcPr>
            <w:tcW w:w="220" w:type="dxa"/>
            <w:vAlign w:val="bottom"/>
          </w:tcPr>
          <w:p>
            <w:pPr>
              <w:spacing w:after="0"/>
              <w:rPr>
                <w:sz w:val="15"/>
                <w:szCs w:val="15"/>
                <w:color w:val="auto"/>
              </w:rPr>
            </w:pPr>
          </w:p>
        </w:tc>
        <w:tc>
          <w:tcPr>
            <w:tcW w:w="8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6"/>
                <w:szCs w:val="16"/>
                <w:color w:val="auto"/>
              </w:rPr>
              <w:t>(508)</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$0.24/share</w:t>
            </w:r>
          </w:p>
        </w:tc>
        <w:tc>
          <w:tcPr>
            <w:tcW w:w="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Class B Common Stock,</w:t>
            </w: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(2,931)</w:t>
            </w:r>
          </w:p>
        </w:tc>
        <w:tc>
          <w:tcPr>
            <w:tcW w:w="220" w:type="dxa"/>
            <w:vAlign w:val="bottom"/>
          </w:tcPr>
          <w:p>
            <w:pPr>
              <w:spacing w:after="0"/>
              <w:rPr>
                <w:sz w:val="15"/>
                <w:szCs w:val="15"/>
                <w:color w:val="auto"/>
              </w:rPr>
            </w:pPr>
          </w:p>
        </w:tc>
        <w:tc>
          <w:tcPr>
            <w:tcW w:w="8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6"/>
                <w:szCs w:val="16"/>
                <w:color w:val="auto"/>
              </w:rPr>
              <w:t>(2,931)</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200" w:type="dxa"/>
            <w:vAlign w:val="bottom"/>
          </w:tcPr>
          <w:p>
            <w:pPr>
              <w:spacing w:after="0"/>
              <w:rPr>
                <w:sz w:val="20"/>
                <w:szCs w:val="20"/>
                <w:color w:val="auto"/>
              </w:rPr>
            </w:pPr>
            <w:r>
              <w:rPr>
                <w:rFonts w:ascii="Arial" w:cs="Arial" w:eastAsia="Arial" w:hAnsi="Arial"/>
                <w:sz w:val="16"/>
                <w:szCs w:val="16"/>
                <w:color w:val="auto"/>
              </w:rPr>
              <w:t>$0.28/share</w:t>
            </w:r>
          </w:p>
        </w:tc>
        <w:tc>
          <w:tcPr>
            <w:tcW w:w="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Issuance of restricted common</w:t>
            </w:r>
          </w:p>
        </w:tc>
        <w:tc>
          <w:tcPr>
            <w:tcW w:w="7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6</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stock</w:t>
            </w: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00" w:type="dxa"/>
            <w:vAlign w:val="bottom"/>
          </w:tcPr>
          <w:p>
            <w:pPr>
              <w:spacing w:after="0" w:line="181" w:lineRule="exact"/>
              <w:rPr>
                <w:sz w:val="20"/>
                <w:szCs w:val="20"/>
                <w:color w:val="auto"/>
              </w:rPr>
            </w:pPr>
            <w:r>
              <w:rPr>
                <w:rFonts w:ascii="Arial" w:cs="Arial" w:eastAsia="Arial" w:hAnsi="Arial"/>
                <w:sz w:val="16"/>
                <w:szCs w:val="16"/>
                <w:color w:val="auto"/>
                <w:w w:val="98"/>
              </w:rPr>
              <w:t>Forfeiture of restricted common</w:t>
            </w:r>
          </w:p>
        </w:tc>
        <w:tc>
          <w:tcPr>
            <w:tcW w:w="7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stock</w:t>
            </w: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Purchase of common stock</w:t>
            </w:r>
          </w:p>
        </w:tc>
        <w:tc>
          <w:tcPr>
            <w:tcW w:w="7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ind w:left="7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(24)</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(16,053)</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(16,053 )</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w w:val="98"/>
              </w:rPr>
              <w:t>Cancellation of treasury shares</w:t>
            </w:r>
          </w:p>
        </w:tc>
        <w:tc>
          <w:tcPr>
            <w:tcW w:w="7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ind w:left="7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16,507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(16,507)</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660" w:type="dxa"/>
            <w:vAlign w:val="bottom"/>
            <w:vMerge w:val="restart"/>
          </w:tcPr>
          <w:p>
            <w:pPr>
              <w:ind w:left="6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(5,543 )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6"/>
                <w:szCs w:val="16"/>
                <w:color w:val="auto"/>
              </w:rPr>
              <w:t>(5,543)</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200" w:type="dxa"/>
            <w:vAlign w:val="bottom"/>
          </w:tcPr>
          <w:p>
            <w:pPr>
              <w:spacing w:after="0"/>
              <w:rPr>
                <w:sz w:val="20"/>
                <w:szCs w:val="20"/>
                <w:color w:val="auto"/>
              </w:rPr>
            </w:pPr>
            <w:r>
              <w:rPr>
                <w:rFonts w:ascii="Arial" w:cs="Arial" w:eastAsia="Arial" w:hAnsi="Arial"/>
                <w:sz w:val="16"/>
                <w:szCs w:val="16"/>
                <w:color w:val="auto"/>
                <w:w w:val="99"/>
              </w:rPr>
              <w:t>adjustment, net of taxes of $36</w:t>
            </w: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w w:val="91"/>
              </w:rPr>
              <w:t>Unrealized losses on interest rate</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swap cash flow hedge, net of</w:t>
            </w:r>
          </w:p>
        </w:tc>
        <w:tc>
          <w:tcPr>
            <w:tcW w:w="660" w:type="dxa"/>
            <w:vAlign w:val="bottom"/>
            <w:vMerge w:val="restart"/>
          </w:tcPr>
          <w:p>
            <w:pPr>
              <w:ind w:left="6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(1,231 )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6"/>
                <w:szCs w:val="16"/>
                <w:color w:val="auto"/>
              </w:rPr>
              <w:t>(1,231)</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taxes of $0</w:t>
            </w: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00" w:type="dxa"/>
            <w:vAlign w:val="bottom"/>
          </w:tcPr>
          <w:p>
            <w:pPr>
              <w:spacing w:after="0" w:line="181" w:lineRule="exact"/>
              <w:rPr>
                <w:sz w:val="20"/>
                <w:szCs w:val="20"/>
                <w:color w:val="auto"/>
              </w:rPr>
            </w:pPr>
            <w:r>
              <w:rPr>
                <w:rFonts w:ascii="Arial" w:cs="Arial" w:eastAsia="Arial" w:hAnsi="Arial"/>
                <w:sz w:val="16"/>
                <w:szCs w:val="16"/>
                <w:color w:val="auto"/>
              </w:rPr>
              <w:t>Unrealized holding gains on</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marketable securities, net of</w:t>
            </w:r>
          </w:p>
        </w:tc>
        <w:tc>
          <w:tcPr>
            <w:tcW w:w="660" w:type="dxa"/>
            <w:vAlign w:val="bottom"/>
            <w:vMerge w:val="restart"/>
          </w:tcPr>
          <w:p>
            <w:pPr>
              <w:ind w:left="6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taxes of $0</w:t>
            </w: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00" w:type="dxa"/>
            <w:vAlign w:val="bottom"/>
          </w:tcPr>
          <w:p>
            <w:pPr>
              <w:spacing w:after="0" w:line="181" w:lineRule="exact"/>
              <w:rPr>
                <w:sz w:val="20"/>
                <w:szCs w:val="20"/>
                <w:color w:val="auto"/>
              </w:rPr>
            </w:pPr>
            <w:r>
              <w:rPr>
                <w:rFonts w:ascii="Arial" w:cs="Arial" w:eastAsia="Arial" w:hAnsi="Arial"/>
                <w:sz w:val="16"/>
                <w:szCs w:val="16"/>
                <w:color w:val="auto"/>
              </w:rPr>
              <w:t>Stock-based compensation</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expense</w:t>
            </w:r>
          </w:p>
        </w:tc>
        <w:tc>
          <w:tcPr>
            <w:tcW w:w="7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ind w:left="7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3,740</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3,740</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Change in unfunded SERP</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200" w:type="dxa"/>
            <w:vAlign w:val="bottom"/>
          </w:tcPr>
          <w:p>
            <w:pPr>
              <w:spacing w:after="0"/>
              <w:rPr>
                <w:sz w:val="20"/>
                <w:szCs w:val="20"/>
                <w:color w:val="auto"/>
              </w:rPr>
            </w:pPr>
            <w:r>
              <w:rPr>
                <w:rFonts w:ascii="Arial" w:cs="Arial" w:eastAsia="Arial" w:hAnsi="Arial"/>
                <w:sz w:val="16"/>
                <w:szCs w:val="16"/>
                <w:color w:val="auto"/>
              </w:rPr>
              <w:t>liability, net of taxes of ($465)</w:t>
            </w:r>
          </w:p>
        </w:tc>
        <w:tc>
          <w:tcPr>
            <w:tcW w:w="660" w:type="dxa"/>
            <w:vAlign w:val="bottom"/>
          </w:tcPr>
          <w:p>
            <w:pPr>
              <w:ind w:left="6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1,582</w:t>
            </w:r>
          </w:p>
        </w:tc>
        <w:tc>
          <w:tcPr>
            <w:tcW w:w="140" w:type="dxa"/>
            <w:vAlign w:val="bottom"/>
            <w:tcBorders>
              <w:bottom w:val="single" w:sz="8" w:color="auto"/>
            </w:tcBorders>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0" w:type="dxa"/>
            <w:vAlign w:val="bottom"/>
          </w:tcPr>
          <w:p>
            <w:pPr>
              <w:spacing w:after="0" w:line="182" w:lineRule="exact"/>
              <w:rPr>
                <w:sz w:val="20"/>
                <w:szCs w:val="20"/>
                <w:color w:val="auto"/>
              </w:rPr>
            </w:pPr>
            <w:r>
              <w:rPr>
                <w:rFonts w:ascii="Arial" w:cs="Arial" w:eastAsia="Arial" w:hAnsi="Arial"/>
                <w:sz w:val="16"/>
                <w:szCs w:val="16"/>
                <w:color w:val="auto"/>
                <w:w w:val="98"/>
              </w:rPr>
              <w:t>Balance at December 31, 2024</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$ 345,031</w:t>
            </w:r>
          </w:p>
        </w:tc>
        <w:tc>
          <w:tcPr>
            <w:tcW w:w="6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(17,227 )</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4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14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10,425</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31,514</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360,576</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80,586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-3904615</wp:posOffset>
            </wp:positionV>
            <wp:extent cx="5375910" cy="290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75910" cy="290830"/>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-163830</wp:posOffset>
            </wp:positionV>
            <wp:extent cx="1183640" cy="167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83640" cy="16764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-7166610</wp:posOffset>
            </wp:positionV>
            <wp:extent cx="183705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37055" cy="37465"/>
                    </a:xfrm>
                    <a:prstGeom prst="rect">
                      <a:avLst/>
                    </a:prstGeom>
                    <a:noFill/>
                  </pic:spPr>
                </pic:pic>
              </a:graphicData>
            </a:graphic>
          </wp:anchor>
        </w:drawing>
      </w:r>
    </w:p>
    <w:p>
      <w:pPr>
        <w:sectPr>
          <w:pgSz w:w="12240" w:h="15840" w:orient="portrait"/>
          <w:cols w:equalWidth="0" w:num="1">
            <w:col w:w="10760"/>
          </w:cols>
          <w:pgMar w:left="720" w:top="55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ectPr>
          <w:pgSz w:w="12240" w:h="15840" w:orient="portrait"/>
          <w:cols w:equalWidth="0" w:num="1">
            <w:col w:w="10760"/>
          </w:cols>
          <w:pgMar w:left="720" w:top="557" w:right="760" w:bottom="0" w:gutter="0" w:footer="0" w:header="0"/>
          <w:type w:val="continuous"/>
        </w:sectPr>
      </w:pPr>
    </w:p>
    <w:bookmarkStart w:id="59" w:name="page60"/>
    <w:bookmarkEnd w:id="59"/>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BEL FUSE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SHAREHOLDERS' EQUITY AND REDEEMABLE NONCONTROLLING</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INTEREST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140"/>
              <w:spacing w:after="0"/>
              <w:rPr>
                <w:sz w:val="20"/>
                <w:szCs w:val="20"/>
                <w:color w:val="auto"/>
              </w:rPr>
            </w:pPr>
            <w:r>
              <w:rPr>
                <w:rFonts w:ascii="Arial" w:cs="Arial" w:eastAsia="Arial" w:hAnsi="Arial"/>
                <w:sz w:val="16"/>
                <w:szCs w:val="16"/>
                <w:color w:val="auto"/>
                <w:w w:val="92"/>
              </w:rPr>
              <w:t>Accumulated</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6"/>
                <w:szCs w:val="16"/>
                <w:color w:val="auto"/>
                <w:w w:val="94"/>
              </w:rPr>
              <w:t>Other</w:t>
            </w:r>
          </w:p>
        </w:tc>
        <w:tc>
          <w:tcPr>
            <w:tcW w:w="640" w:type="dxa"/>
            <w:vAlign w:val="bottom"/>
            <w:gridSpan w:val="2"/>
          </w:tcPr>
          <w:p>
            <w:pPr>
              <w:jc w:val="center"/>
              <w:spacing w:after="0"/>
              <w:rPr>
                <w:sz w:val="20"/>
                <w:szCs w:val="20"/>
                <w:color w:val="auto"/>
              </w:rPr>
            </w:pPr>
            <w:r>
              <w:rPr>
                <w:rFonts w:ascii="Arial" w:cs="Arial" w:eastAsia="Arial" w:hAnsi="Arial"/>
                <w:sz w:val="16"/>
                <w:szCs w:val="16"/>
                <w:color w:val="auto"/>
                <w:w w:val="94"/>
              </w:rPr>
              <w:t>Class A</w:t>
            </w:r>
          </w:p>
        </w:tc>
        <w:tc>
          <w:tcPr>
            <w:tcW w:w="1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Class A</w:t>
            </w:r>
          </w:p>
        </w:tc>
        <w:tc>
          <w:tcPr>
            <w:tcW w:w="14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Class B</w:t>
            </w:r>
          </w:p>
        </w:tc>
        <w:tc>
          <w:tcPr>
            <w:tcW w:w="720" w:type="dxa"/>
            <w:vAlign w:val="bottom"/>
            <w:gridSpan w:val="2"/>
          </w:tcPr>
          <w:p>
            <w:pPr>
              <w:jc w:val="center"/>
              <w:ind w:right="160"/>
              <w:spacing w:after="0"/>
              <w:rPr>
                <w:sz w:val="20"/>
                <w:szCs w:val="20"/>
                <w:color w:val="auto"/>
              </w:rPr>
            </w:pPr>
            <w:r>
              <w:rPr>
                <w:rFonts w:ascii="Arial" w:cs="Arial" w:eastAsia="Arial" w:hAnsi="Arial"/>
                <w:sz w:val="16"/>
                <w:szCs w:val="16"/>
                <w:color w:val="auto"/>
                <w:w w:val="86"/>
              </w:rPr>
              <w:t>Class B</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w w:val="96"/>
              </w:rPr>
              <w:t>Additional</w:t>
            </w:r>
          </w:p>
        </w:tc>
        <w:tc>
          <w:tcPr>
            <w:tcW w:w="160" w:type="dxa"/>
            <w:vAlign w:val="bottom"/>
          </w:tcPr>
          <w:p>
            <w:pPr>
              <w:spacing w:after="0"/>
              <w:rPr>
                <w:sz w:val="15"/>
                <w:szCs w:val="15"/>
                <w:color w:val="auto"/>
              </w:rPr>
            </w:pPr>
          </w:p>
        </w:tc>
        <w:tc>
          <w:tcPr>
            <w:tcW w:w="860" w:type="dxa"/>
            <w:vAlign w:val="bottom"/>
            <w:tcBorders>
              <w:right w:val="single" w:sz="8" w:color="auto"/>
            </w:tcBorders>
          </w:tcPr>
          <w:p>
            <w:pPr>
              <w:jc w:val="center"/>
              <w:ind w:right="240"/>
              <w:spacing w:after="0"/>
              <w:rPr>
                <w:sz w:val="20"/>
                <w:szCs w:val="20"/>
                <w:color w:val="auto"/>
              </w:rPr>
            </w:pPr>
            <w:r>
              <w:rPr>
                <w:rFonts w:ascii="Arial" w:cs="Arial" w:eastAsia="Arial" w:hAnsi="Arial"/>
                <w:sz w:val="16"/>
                <w:szCs w:val="16"/>
                <w:color w:val="auto"/>
                <w:w w:val="95"/>
              </w:rPr>
              <w:t>Total</w:t>
            </w:r>
          </w:p>
        </w:tc>
        <w:tc>
          <w:tcPr>
            <w:tcW w:w="6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w w:val="85"/>
              </w:rPr>
              <w:t>Redeemable</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15"/>
                <w:szCs w:val="15"/>
                <w:color w:val="auto"/>
              </w:rPr>
            </w:pPr>
          </w:p>
        </w:tc>
        <w:tc>
          <w:tcPr>
            <w:tcW w:w="78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w w:val="93"/>
              </w:rPr>
              <w:t>Retained</w:t>
            </w:r>
          </w:p>
        </w:tc>
        <w:tc>
          <w:tcPr>
            <w:tcW w:w="1160" w:type="dxa"/>
            <w:vAlign w:val="bottom"/>
            <w:gridSpan w:val="4"/>
          </w:tcPr>
          <w:p>
            <w:pPr>
              <w:jc w:val="center"/>
              <w:ind w:right="140"/>
              <w:spacing w:after="0" w:line="181" w:lineRule="exact"/>
              <w:rPr>
                <w:sz w:val="20"/>
                <w:szCs w:val="20"/>
                <w:color w:val="auto"/>
              </w:rPr>
            </w:pPr>
            <w:r>
              <w:rPr>
                <w:rFonts w:ascii="Arial" w:cs="Arial" w:eastAsia="Arial" w:hAnsi="Arial"/>
                <w:sz w:val="16"/>
                <w:szCs w:val="16"/>
                <w:color w:val="auto"/>
                <w:w w:val="91"/>
              </w:rPr>
              <w:t>Comprehensive</w:t>
            </w:r>
          </w:p>
        </w:tc>
        <w:tc>
          <w:tcPr>
            <w:tcW w:w="640" w:type="dxa"/>
            <w:vAlign w:val="bottom"/>
            <w:gridSpan w:val="2"/>
          </w:tcPr>
          <w:p>
            <w:pPr>
              <w:jc w:val="center"/>
              <w:spacing w:after="0" w:line="181" w:lineRule="exact"/>
              <w:rPr>
                <w:sz w:val="20"/>
                <w:szCs w:val="20"/>
                <w:color w:val="auto"/>
              </w:rPr>
            </w:pPr>
            <w:r>
              <w:rPr>
                <w:rFonts w:ascii="Arial" w:cs="Arial" w:eastAsia="Arial" w:hAnsi="Arial"/>
                <w:sz w:val="16"/>
                <w:szCs w:val="16"/>
                <w:color w:val="auto"/>
                <w:w w:val="92"/>
              </w:rPr>
              <w:t>Common</w:t>
            </w:r>
          </w:p>
        </w:tc>
        <w:tc>
          <w:tcPr>
            <w:tcW w:w="140" w:type="dxa"/>
            <w:vAlign w:val="bottom"/>
          </w:tcPr>
          <w:p>
            <w:pPr>
              <w:spacing w:after="0"/>
              <w:rPr>
                <w:sz w:val="15"/>
                <w:szCs w:val="15"/>
                <w:color w:val="auto"/>
              </w:rPr>
            </w:pPr>
          </w:p>
        </w:tc>
        <w:tc>
          <w:tcPr>
            <w:tcW w:w="580" w:type="dxa"/>
            <w:vAlign w:val="bottom"/>
          </w:tcPr>
          <w:p>
            <w:pPr>
              <w:jc w:val="center"/>
              <w:spacing w:after="0" w:line="181" w:lineRule="exact"/>
              <w:rPr>
                <w:sz w:val="20"/>
                <w:szCs w:val="20"/>
                <w:color w:val="auto"/>
              </w:rPr>
            </w:pPr>
            <w:r>
              <w:rPr>
                <w:rFonts w:ascii="Arial" w:cs="Arial" w:eastAsia="Arial" w:hAnsi="Arial"/>
                <w:sz w:val="16"/>
                <w:szCs w:val="16"/>
                <w:color w:val="auto"/>
                <w:w w:val="89"/>
              </w:rPr>
              <w:t># of</w:t>
            </w:r>
          </w:p>
        </w:tc>
        <w:tc>
          <w:tcPr>
            <w:tcW w:w="140" w:type="dxa"/>
            <w:vAlign w:val="bottom"/>
          </w:tcPr>
          <w:p>
            <w:pPr>
              <w:spacing w:after="0"/>
              <w:rPr>
                <w:sz w:val="15"/>
                <w:szCs w:val="15"/>
                <w:color w:val="auto"/>
              </w:rPr>
            </w:pPr>
          </w:p>
        </w:tc>
        <w:tc>
          <w:tcPr>
            <w:tcW w:w="780" w:type="dxa"/>
            <w:vAlign w:val="bottom"/>
            <w:gridSpan w:val="2"/>
          </w:tcPr>
          <w:p>
            <w:pPr>
              <w:jc w:val="center"/>
              <w:ind w:right="140"/>
              <w:spacing w:after="0" w:line="181" w:lineRule="exact"/>
              <w:rPr>
                <w:sz w:val="20"/>
                <w:szCs w:val="20"/>
                <w:color w:val="auto"/>
              </w:rPr>
            </w:pPr>
            <w:r>
              <w:rPr>
                <w:rFonts w:ascii="Arial" w:cs="Arial" w:eastAsia="Arial" w:hAnsi="Arial"/>
                <w:sz w:val="16"/>
                <w:szCs w:val="16"/>
                <w:color w:val="auto"/>
                <w:w w:val="92"/>
              </w:rPr>
              <w:t>Common</w:t>
            </w:r>
          </w:p>
        </w:tc>
        <w:tc>
          <w:tcPr>
            <w:tcW w:w="720" w:type="dxa"/>
            <w:vAlign w:val="bottom"/>
            <w:gridSpan w:val="2"/>
          </w:tcPr>
          <w:p>
            <w:pPr>
              <w:jc w:val="center"/>
              <w:ind w:right="160"/>
              <w:spacing w:after="0" w:line="181" w:lineRule="exact"/>
              <w:rPr>
                <w:sz w:val="20"/>
                <w:szCs w:val="20"/>
                <w:color w:val="auto"/>
              </w:rPr>
            </w:pPr>
            <w:r>
              <w:rPr>
                <w:rFonts w:ascii="Arial" w:cs="Arial" w:eastAsia="Arial" w:hAnsi="Arial"/>
                <w:sz w:val="16"/>
                <w:szCs w:val="16"/>
                <w:color w:val="auto"/>
                <w:w w:val="89"/>
              </w:rPr>
              <w:t># of</w:t>
            </w:r>
          </w:p>
        </w:tc>
        <w:tc>
          <w:tcPr>
            <w:tcW w:w="640" w:type="dxa"/>
            <w:vAlign w:val="bottom"/>
            <w:gridSpan w:val="2"/>
          </w:tcPr>
          <w:p>
            <w:pPr>
              <w:jc w:val="right"/>
              <w:spacing w:after="0" w:line="181" w:lineRule="exact"/>
              <w:rPr>
                <w:sz w:val="20"/>
                <w:szCs w:val="20"/>
                <w:color w:val="auto"/>
              </w:rPr>
            </w:pPr>
            <w:r>
              <w:rPr>
                <w:rFonts w:ascii="Arial" w:cs="Arial" w:eastAsia="Arial" w:hAnsi="Arial"/>
                <w:sz w:val="16"/>
                <w:szCs w:val="16"/>
                <w:color w:val="auto"/>
                <w:w w:val="91"/>
              </w:rPr>
              <w:t>Treasury</w:t>
            </w:r>
          </w:p>
        </w:tc>
        <w:tc>
          <w:tcPr>
            <w:tcW w:w="140" w:type="dxa"/>
            <w:vAlign w:val="bottom"/>
          </w:tcPr>
          <w:p>
            <w:pPr>
              <w:spacing w:after="0"/>
              <w:rPr>
                <w:sz w:val="15"/>
                <w:szCs w:val="15"/>
                <w:color w:val="auto"/>
              </w:rPr>
            </w:pPr>
          </w:p>
        </w:tc>
        <w:tc>
          <w:tcPr>
            <w:tcW w:w="860" w:type="dxa"/>
            <w:vAlign w:val="bottom"/>
            <w:gridSpan w:val="3"/>
          </w:tcPr>
          <w:p>
            <w:pPr>
              <w:jc w:val="right"/>
              <w:ind w:right="260"/>
              <w:spacing w:after="0" w:line="181" w:lineRule="exact"/>
              <w:rPr>
                <w:sz w:val="20"/>
                <w:szCs w:val="20"/>
                <w:color w:val="auto"/>
              </w:rPr>
            </w:pPr>
            <w:r>
              <w:rPr>
                <w:rFonts w:ascii="Arial" w:cs="Arial" w:eastAsia="Arial" w:hAnsi="Arial"/>
                <w:sz w:val="16"/>
                <w:szCs w:val="16"/>
                <w:color w:val="auto"/>
              </w:rPr>
              <w:t>Paid-In</w:t>
            </w:r>
          </w:p>
        </w:tc>
        <w:tc>
          <w:tcPr>
            <w:tcW w:w="1020" w:type="dxa"/>
            <w:vAlign w:val="bottom"/>
            <w:tcBorders>
              <w:right w:val="single" w:sz="8" w:color="auto"/>
            </w:tcBorders>
            <w:gridSpan w:val="2"/>
          </w:tcPr>
          <w:p>
            <w:pPr>
              <w:jc w:val="center"/>
              <w:ind w:right="100"/>
              <w:spacing w:after="0" w:line="181" w:lineRule="exact"/>
              <w:rPr>
                <w:sz w:val="20"/>
                <w:szCs w:val="20"/>
                <w:color w:val="auto"/>
              </w:rPr>
            </w:pPr>
            <w:r>
              <w:rPr>
                <w:rFonts w:ascii="Arial" w:cs="Arial" w:eastAsia="Arial" w:hAnsi="Arial"/>
                <w:sz w:val="16"/>
                <w:szCs w:val="16"/>
                <w:color w:val="auto"/>
                <w:w w:val="87"/>
              </w:rPr>
              <w:t>shareholders'</w:t>
            </w:r>
          </w:p>
        </w:tc>
        <w:tc>
          <w:tcPr>
            <w:tcW w:w="960" w:type="dxa"/>
            <w:vAlign w:val="bottom"/>
            <w:gridSpan w:val="4"/>
          </w:tcPr>
          <w:p>
            <w:pPr>
              <w:jc w:val="center"/>
              <w:spacing w:after="0" w:line="181" w:lineRule="exact"/>
              <w:rPr>
                <w:sz w:val="20"/>
                <w:szCs w:val="20"/>
                <w:color w:val="auto"/>
              </w:rPr>
            </w:pPr>
            <w:r>
              <w:rPr>
                <w:rFonts w:ascii="Arial" w:cs="Arial" w:eastAsia="Arial" w:hAnsi="Arial"/>
                <w:sz w:val="16"/>
                <w:szCs w:val="16"/>
                <w:color w:val="auto"/>
                <w:w w:val="93"/>
              </w:rPr>
              <w:t>Noncontrolling</w:t>
            </w:r>
          </w:p>
        </w:tc>
        <w:tc>
          <w:tcPr>
            <w:tcW w:w="0" w:type="dxa"/>
            <w:vAlign w:val="bottom"/>
          </w:tcPr>
          <w:p>
            <w:pPr>
              <w:spacing w:after="0"/>
              <w:rPr>
                <w:sz w:val="1"/>
                <w:szCs w:val="1"/>
                <w:color w:val="auto"/>
              </w:rPr>
            </w:pPr>
          </w:p>
        </w:tc>
      </w:tr>
      <w:tr>
        <w:trPr>
          <w:trHeight w:val="205"/>
        </w:trPr>
        <w:tc>
          <w:tcPr>
            <w:tcW w:w="2200" w:type="dxa"/>
            <w:vAlign w:val="bottom"/>
            <w:vMerge w:val="restart"/>
          </w:tcPr>
          <w:p>
            <w:pPr>
              <w:spacing w:after="0"/>
              <w:rPr>
                <w:sz w:val="20"/>
                <w:szCs w:val="20"/>
                <w:color w:val="auto"/>
              </w:rPr>
            </w:pPr>
            <w:r>
              <w:rPr>
                <w:rFonts w:ascii="Arial" w:cs="Arial" w:eastAsia="Arial" w:hAnsi="Arial"/>
                <w:sz w:val="16"/>
                <w:szCs w:val="16"/>
                <w:color w:val="auto"/>
                <w:w w:val="93"/>
              </w:rPr>
              <w:t>Redemption value adjustment on</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Earnings</w:t>
            </w:r>
          </w:p>
        </w:tc>
        <w:tc>
          <w:tcPr>
            <w:tcW w:w="1160" w:type="dxa"/>
            <w:vAlign w:val="bottom"/>
            <w:gridSpan w:val="4"/>
          </w:tcPr>
          <w:p>
            <w:pPr>
              <w:jc w:val="center"/>
              <w:ind w:right="140"/>
              <w:spacing w:after="0"/>
              <w:rPr>
                <w:sz w:val="20"/>
                <w:szCs w:val="20"/>
                <w:color w:val="auto"/>
              </w:rPr>
            </w:pPr>
            <w:r>
              <w:rPr>
                <w:rFonts w:ascii="Arial" w:cs="Arial" w:eastAsia="Arial" w:hAnsi="Arial"/>
                <w:sz w:val="16"/>
                <w:szCs w:val="16"/>
                <w:color w:val="auto"/>
                <w:w w:val="92"/>
              </w:rPr>
              <w:t>(Loss) Income</w:t>
            </w:r>
          </w:p>
        </w:tc>
        <w:tc>
          <w:tcPr>
            <w:tcW w:w="120" w:type="dxa"/>
            <w:vAlign w:val="bottom"/>
          </w:tcPr>
          <w:p>
            <w:pPr>
              <w:spacing w:after="0"/>
              <w:rPr>
                <w:sz w:val="17"/>
                <w:szCs w:val="17"/>
                <w:color w:val="auto"/>
              </w:rPr>
            </w:pPr>
          </w:p>
        </w:tc>
        <w:tc>
          <w:tcPr>
            <w:tcW w:w="520" w:type="dxa"/>
            <w:vAlign w:val="bottom"/>
          </w:tcPr>
          <w:p>
            <w:pPr>
              <w:jc w:val="center"/>
              <w:ind w:right="40"/>
              <w:spacing w:after="0"/>
              <w:rPr>
                <w:sz w:val="20"/>
                <w:szCs w:val="20"/>
                <w:color w:val="auto"/>
              </w:rPr>
            </w:pPr>
            <w:r>
              <w:rPr>
                <w:rFonts w:ascii="Arial" w:cs="Arial" w:eastAsia="Arial" w:hAnsi="Arial"/>
                <w:sz w:val="16"/>
                <w:szCs w:val="16"/>
                <w:color w:val="auto"/>
                <w:w w:val="89"/>
              </w:rPr>
              <w:t>Stock</w:t>
            </w:r>
          </w:p>
        </w:tc>
        <w:tc>
          <w:tcPr>
            <w:tcW w:w="1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6"/>
              </w:rPr>
              <w:t>Shares</w:t>
            </w:r>
          </w:p>
        </w:tc>
        <w:tc>
          <w:tcPr>
            <w:tcW w:w="14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720" w:type="dxa"/>
            <w:vAlign w:val="bottom"/>
            <w:gridSpan w:val="2"/>
          </w:tcPr>
          <w:p>
            <w:pPr>
              <w:jc w:val="center"/>
              <w:ind w:right="160"/>
              <w:spacing w:after="0"/>
              <w:rPr>
                <w:sz w:val="20"/>
                <w:szCs w:val="20"/>
                <w:color w:val="auto"/>
              </w:rPr>
            </w:pPr>
            <w:r>
              <w:rPr>
                <w:rFonts w:ascii="Arial" w:cs="Arial" w:eastAsia="Arial" w:hAnsi="Arial"/>
                <w:sz w:val="16"/>
                <w:szCs w:val="16"/>
                <w:color w:val="auto"/>
                <w:w w:val="86"/>
              </w:rPr>
              <w:t>Shares</w:t>
            </w:r>
          </w:p>
        </w:tc>
        <w:tc>
          <w:tcPr>
            <w:tcW w:w="120" w:type="dxa"/>
            <w:vAlign w:val="bottom"/>
          </w:tcPr>
          <w:p>
            <w:pPr>
              <w:spacing w:after="0"/>
              <w:rPr>
                <w:sz w:val="17"/>
                <w:szCs w:val="17"/>
                <w:color w:val="auto"/>
              </w:rPr>
            </w:pPr>
          </w:p>
        </w:tc>
        <w:tc>
          <w:tcPr>
            <w:tcW w:w="520" w:type="dxa"/>
            <w:vAlign w:val="bottom"/>
          </w:tcPr>
          <w:p>
            <w:pPr>
              <w:jc w:val="right"/>
              <w:ind w:right="60"/>
              <w:spacing w:after="0"/>
              <w:rPr>
                <w:sz w:val="20"/>
                <w:szCs w:val="20"/>
                <w:color w:val="auto"/>
              </w:rPr>
            </w:pPr>
            <w:r>
              <w:rPr>
                <w:rFonts w:ascii="Arial" w:cs="Arial" w:eastAsia="Arial" w:hAnsi="Arial"/>
                <w:sz w:val="16"/>
                <w:szCs w:val="16"/>
                <w:color w:val="auto"/>
                <w:w w:val="89"/>
              </w:rPr>
              <w:t>Stock</w:t>
            </w:r>
          </w:p>
        </w:tc>
        <w:tc>
          <w:tcPr>
            <w:tcW w:w="14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6"/>
                <w:szCs w:val="16"/>
                <w:color w:val="auto"/>
              </w:rPr>
              <w:t>Capital</w:t>
            </w:r>
          </w:p>
        </w:tc>
        <w:tc>
          <w:tcPr>
            <w:tcW w:w="160" w:type="dxa"/>
            <w:vAlign w:val="bottom"/>
          </w:tcPr>
          <w:p>
            <w:pPr>
              <w:spacing w:after="0"/>
              <w:rPr>
                <w:sz w:val="17"/>
                <w:szCs w:val="17"/>
                <w:color w:val="auto"/>
              </w:rPr>
            </w:pPr>
          </w:p>
        </w:tc>
        <w:tc>
          <w:tcPr>
            <w:tcW w:w="860" w:type="dxa"/>
            <w:vAlign w:val="bottom"/>
            <w:tcBorders>
              <w:right w:val="single" w:sz="8" w:color="auto"/>
            </w:tcBorders>
          </w:tcPr>
          <w:p>
            <w:pPr>
              <w:jc w:val="center"/>
              <w:ind w:right="260"/>
              <w:spacing w:after="0"/>
              <w:rPr>
                <w:sz w:val="20"/>
                <w:szCs w:val="20"/>
                <w:color w:val="auto"/>
              </w:rPr>
            </w:pPr>
            <w:r>
              <w:rPr>
                <w:rFonts w:ascii="Arial" w:cs="Arial" w:eastAsia="Arial" w:hAnsi="Arial"/>
                <w:sz w:val="16"/>
                <w:szCs w:val="16"/>
                <w:color w:val="auto"/>
                <w:w w:val="93"/>
              </w:rPr>
              <w:t>equity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center"/>
              <w:ind w:right="140"/>
              <w:spacing w:after="0"/>
              <w:rPr>
                <w:sz w:val="20"/>
                <w:szCs w:val="20"/>
                <w:color w:val="auto"/>
              </w:rPr>
            </w:pPr>
            <w:r>
              <w:rPr>
                <w:rFonts w:ascii="Arial" w:cs="Arial" w:eastAsia="Arial" w:hAnsi="Arial"/>
                <w:sz w:val="16"/>
                <w:szCs w:val="16"/>
                <w:color w:val="auto"/>
                <w:w w:val="89"/>
              </w:rPr>
              <w:t>Interest</w:t>
            </w:r>
          </w:p>
        </w:tc>
        <w:tc>
          <w:tcPr>
            <w:tcW w:w="0" w:type="dxa"/>
            <w:vAlign w:val="bottom"/>
          </w:tcPr>
          <w:p>
            <w:pPr>
              <w:spacing w:after="0"/>
              <w:rPr>
                <w:sz w:val="1"/>
                <w:szCs w:val="1"/>
                <w:color w:val="auto"/>
              </w:rPr>
            </w:pPr>
          </w:p>
        </w:tc>
      </w:tr>
      <w:tr>
        <w:trPr>
          <w:trHeight w:val="167"/>
        </w:trPr>
        <w:tc>
          <w:tcPr>
            <w:tcW w:w="2200" w:type="dxa"/>
            <w:vAlign w:val="bottom"/>
            <w:vMerge w:val="continue"/>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redeemable NCI</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9,123</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Net earnings</w:t>
            </w:r>
          </w:p>
        </w:tc>
        <w:tc>
          <w:tcPr>
            <w:tcW w:w="660" w:type="dxa"/>
            <w:vAlign w:val="bottom"/>
          </w:tcPr>
          <w:p>
            <w:pPr>
              <w:jc w:val="right"/>
              <w:spacing w:after="0"/>
              <w:rPr>
                <w:sz w:val="20"/>
                <w:szCs w:val="20"/>
                <w:color w:val="auto"/>
              </w:rPr>
            </w:pPr>
            <w:r>
              <w:rPr>
                <w:rFonts w:ascii="Arial" w:cs="Arial" w:eastAsia="Arial" w:hAnsi="Arial"/>
                <w:sz w:val="16"/>
                <w:szCs w:val="16"/>
                <w:color w:val="auto"/>
              </w:rPr>
              <w:t>61,536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61,536</w:t>
            </w:r>
          </w:p>
        </w:tc>
        <w:tc>
          <w:tcPr>
            <w:tcW w:w="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3,452</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Dividends declared: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00" w:type="dxa"/>
            <w:vAlign w:val="bottom"/>
          </w:tcPr>
          <w:p>
            <w:pPr>
              <w:spacing w:after="0" w:line="181" w:lineRule="exact"/>
              <w:rPr>
                <w:sz w:val="20"/>
                <w:szCs w:val="20"/>
                <w:color w:val="auto"/>
              </w:rPr>
            </w:pPr>
            <w:r>
              <w:rPr>
                <w:rFonts w:ascii="Arial" w:cs="Arial" w:eastAsia="Arial" w:hAnsi="Arial"/>
                <w:sz w:val="16"/>
                <w:szCs w:val="16"/>
                <w:color w:val="auto"/>
              </w:rPr>
              <w:t>Class A Common Stock,</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$0.24/share</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(508)</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(508)</w:t>
            </w:r>
          </w:p>
        </w:tc>
        <w:tc>
          <w:tcPr>
            <w:tcW w:w="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Class B Common Stock,</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$0.28/share</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(2,957)</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(2,957)</w:t>
            </w:r>
          </w:p>
        </w:tc>
        <w:tc>
          <w:tcPr>
            <w:tcW w:w="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200" w:type="dxa"/>
            <w:vAlign w:val="bottom"/>
          </w:tcPr>
          <w:p>
            <w:pPr>
              <w:spacing w:after="0" w:line="181" w:lineRule="exact"/>
              <w:rPr>
                <w:sz w:val="20"/>
                <w:szCs w:val="20"/>
                <w:color w:val="auto"/>
              </w:rPr>
            </w:pPr>
            <w:r>
              <w:rPr>
                <w:rFonts w:ascii="Arial" w:cs="Arial" w:eastAsia="Arial" w:hAnsi="Arial"/>
                <w:sz w:val="16"/>
                <w:szCs w:val="16"/>
                <w:color w:val="auto"/>
              </w:rPr>
              <w:t>Issuance of restricted common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stock</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10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w w:val="98"/>
              </w:rPr>
              <w:t>Forfeiture of restricted common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stock</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200" w:type="dxa"/>
            <w:vAlign w:val="bottom"/>
          </w:tcPr>
          <w:p>
            <w:pPr>
              <w:spacing w:after="0" w:line="181" w:lineRule="exact"/>
              <w:rPr>
                <w:sz w:val="20"/>
                <w:szCs w:val="20"/>
                <w:color w:val="auto"/>
              </w:rPr>
            </w:pPr>
            <w:r>
              <w:rPr>
                <w:rFonts w:ascii="Arial" w:cs="Arial" w:eastAsia="Arial" w:hAnsi="Arial"/>
                <w:sz w:val="16"/>
                <w:szCs w:val="16"/>
                <w:color w:val="auto"/>
              </w:rPr>
              <w:t>Foreign currency translation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adjustment, net of taxes of $0</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2,476</w:t>
            </w:r>
          </w:p>
        </w:tc>
        <w:tc>
          <w:tcPr>
            <w:tcW w:w="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w w:val="91"/>
              </w:rPr>
              <w:t>Unrealized losses on interest rate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0" w:type="dxa"/>
            <w:vAlign w:val="bottom"/>
          </w:tcPr>
          <w:p>
            <w:pPr>
              <w:spacing w:after="0" w:line="181" w:lineRule="exact"/>
              <w:rPr>
                <w:sz w:val="20"/>
                <w:szCs w:val="20"/>
                <w:color w:val="auto"/>
              </w:rPr>
            </w:pPr>
            <w:r>
              <w:rPr>
                <w:rFonts w:ascii="Arial" w:cs="Arial" w:eastAsia="Arial" w:hAnsi="Arial"/>
                <w:sz w:val="16"/>
                <w:szCs w:val="16"/>
                <w:color w:val="auto"/>
              </w:rPr>
              <w:t>swap cash flow hedge, net of</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taxes of $0</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(1,823)</w:t>
            </w:r>
          </w:p>
        </w:tc>
        <w:tc>
          <w:tcPr>
            <w:tcW w:w="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6"/>
                <w:szCs w:val="16"/>
                <w:color w:val="auto"/>
              </w:rPr>
              <w:t>expense</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6,813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6,813</w:t>
            </w:r>
          </w:p>
        </w:tc>
        <w:tc>
          <w:tcPr>
            <w:tcW w:w="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200" w:type="dxa"/>
            <w:vAlign w:val="bottom"/>
          </w:tcPr>
          <w:p>
            <w:pPr>
              <w:spacing w:after="0" w:line="181" w:lineRule="exact"/>
              <w:rPr>
                <w:sz w:val="20"/>
                <w:szCs w:val="20"/>
                <w:color w:val="auto"/>
              </w:rPr>
            </w:pPr>
            <w:r>
              <w:rPr>
                <w:rFonts w:ascii="Arial" w:cs="Arial" w:eastAsia="Arial" w:hAnsi="Arial"/>
                <w:sz w:val="16"/>
                <w:szCs w:val="16"/>
                <w:color w:val="auto"/>
              </w:rPr>
              <w:t>Change in unfunded SERP</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200" w:type="dxa"/>
            <w:vAlign w:val="bottom"/>
          </w:tcPr>
          <w:p>
            <w:pPr>
              <w:spacing w:after="0"/>
              <w:rPr>
                <w:sz w:val="20"/>
                <w:szCs w:val="20"/>
                <w:color w:val="auto"/>
              </w:rPr>
            </w:pPr>
            <w:r>
              <w:rPr>
                <w:rFonts w:ascii="Arial" w:cs="Arial" w:eastAsia="Arial" w:hAnsi="Arial"/>
                <w:sz w:val="16"/>
                <w:szCs w:val="16"/>
                <w:color w:val="auto"/>
              </w:rPr>
              <w:t>liability, net of taxes of ($179)</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(600)</w:t>
            </w:r>
          </w:p>
        </w:tc>
        <w:tc>
          <w:tcPr>
            <w:tcW w:w="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200" w:type="dxa"/>
            <w:vAlign w:val="bottom"/>
          </w:tcPr>
          <w:p>
            <w:pPr>
              <w:spacing w:after="0" w:line="180" w:lineRule="exact"/>
              <w:rPr>
                <w:sz w:val="20"/>
                <w:szCs w:val="20"/>
                <w:color w:val="auto"/>
              </w:rPr>
            </w:pPr>
            <w:r>
              <w:rPr>
                <w:rFonts w:ascii="Arial" w:cs="Arial" w:eastAsia="Arial" w:hAnsi="Arial"/>
                <w:sz w:val="16"/>
                <w:szCs w:val="16"/>
                <w:color w:val="auto"/>
                <w:w w:val="98"/>
              </w:rPr>
              <w:t>Balance at December 31, 2025</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$ 403,102</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(17,174)</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4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2,115</w:t>
            </w:r>
          </w:p>
        </w:tc>
        <w:tc>
          <w:tcPr>
            <w:tcW w:w="14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   1,058</w:t>
            </w:r>
          </w:p>
        </w:tc>
        <w:tc>
          <w:tcPr>
            <w:tcW w:w="14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10,543</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  38,315</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00"/>
              <w:spacing w:after="0" w:line="180" w:lineRule="exact"/>
              <w:rPr>
                <w:sz w:val="20"/>
                <w:szCs w:val="20"/>
                <w:color w:val="auto"/>
              </w:rPr>
            </w:pPr>
            <w:r>
              <w:rPr>
                <w:rFonts w:ascii="Arial" w:cs="Arial" w:eastAsia="Arial" w:hAnsi="Arial"/>
                <w:sz w:val="16"/>
                <w:szCs w:val="16"/>
                <w:color w:val="auto"/>
              </w:rPr>
              <w:t>425,513</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93,161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-160655</wp:posOffset>
            </wp:positionV>
            <wp:extent cx="5467350" cy="186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67350" cy="186055"/>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-2686685</wp:posOffset>
            </wp:positionV>
            <wp:extent cx="183705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37055" cy="37465"/>
                    </a:xfrm>
                    <a:prstGeom prst="rect">
                      <a:avLst/>
                    </a:prstGeom>
                    <a:noFill/>
                  </pic:spPr>
                </pic:pic>
              </a:graphicData>
            </a:graphic>
          </wp:anchor>
        </w:drawing>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See accompanying notes to consolidated financial statements.</w:t>
      </w:r>
    </w:p>
    <w:p>
      <w:pPr>
        <w:sectPr>
          <w:pgSz w:w="12240" w:h="15840" w:orient="portrait"/>
          <w:cols w:equalWidth="0" w:num="1">
            <w:col w:w="10760"/>
          </w:cols>
          <w:pgMar w:left="720" w:top="1440"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ectPr>
          <w:pgSz w:w="12240" w:h="15840" w:orient="portrait"/>
          <w:cols w:equalWidth="0" w:num="1">
            <w:col w:w="10760"/>
          </w:cols>
          <w:pgMar w:left="720" w:top="1440" w:right="760" w:bottom="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20"/>
          <w:szCs w:val="20"/>
          <w:b w:val="1"/>
          <w:bCs w:val="1"/>
          <w:color w:val="auto"/>
        </w:rPr>
        <w:t>BEL FUSE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8"/>
          </w:tcPr>
          <w:p>
            <w:pPr>
              <w:jc w:val="right"/>
              <w:ind w:right="61"/>
              <w:spacing w:after="0"/>
              <w:rPr>
                <w:sz w:val="20"/>
                <w:szCs w:val="20"/>
                <w:color w:val="auto"/>
              </w:rPr>
            </w:pPr>
            <w:r>
              <w:rPr>
                <w:rFonts w:ascii="Arial" w:cs="Arial" w:eastAsia="Arial" w:hAnsi="Arial"/>
                <w:sz w:val="20"/>
                <w:szCs w:val="20"/>
                <w:color w:val="auto"/>
              </w:rPr>
              <w:t>Years Ended December 31,</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060" w:type="dxa"/>
            <w:vAlign w:val="bottom"/>
            <w:gridSpan w:val="2"/>
            <w:vMerge w:val="restart"/>
          </w:tcPr>
          <w:p>
            <w:pPr>
              <w:spacing w:after="0"/>
              <w:rPr>
                <w:sz w:val="20"/>
                <w:szCs w:val="20"/>
                <w:color w:val="auto"/>
              </w:rPr>
            </w:pPr>
            <w:r>
              <w:rPr>
                <w:rFonts w:ascii="Arial" w:cs="Arial" w:eastAsia="Arial" w:hAnsi="Arial"/>
                <w:sz w:val="20"/>
                <w:szCs w:val="20"/>
                <w:color w:val="auto"/>
              </w:rPr>
              <w:t>Cash flows from operating activities: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0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Net earnings</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74,111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49,192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73,831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60" w:type="dxa"/>
            <w:vAlign w:val="bottom"/>
            <w:gridSpan w:val="2"/>
          </w:tcPr>
          <w:p>
            <w:pPr>
              <w:spacing w:after="0" w:line="227" w:lineRule="exact"/>
              <w:rPr>
                <w:sz w:val="20"/>
                <w:szCs w:val="20"/>
                <w:color w:val="auto"/>
              </w:rPr>
            </w:pPr>
            <w:r>
              <w:rPr>
                <w:rFonts w:ascii="Arial" w:cs="Arial" w:eastAsia="Arial" w:hAnsi="Arial"/>
                <w:sz w:val="20"/>
                <w:szCs w:val="20"/>
                <w:color w:val="auto"/>
                <w:w w:val="95"/>
              </w:rPr>
              <w:t>Adjustments to reconcile net earnings to net cash provided by operating</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spacing w:after="0"/>
              <w:rPr>
                <w:sz w:val="20"/>
                <w:szCs w:val="20"/>
                <w:color w:val="auto"/>
              </w:rPr>
            </w:pPr>
            <w:r>
              <w:rPr>
                <w:rFonts w:ascii="Arial" w:cs="Arial" w:eastAsia="Arial" w:hAnsi="Arial"/>
                <w:sz w:val="20"/>
                <w:szCs w:val="20"/>
                <w:color w:val="auto"/>
              </w:rPr>
              <w:t>activities: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Impairment of equity method investment and related party notes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13,087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Depreciation and amortization</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26,592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16,457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13,312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Stock-based compensation</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6,813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3,740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3,486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Amortization of deferred financing costs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1,547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Deferred income taxes benefit/(expense)</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1,379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(6,267)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(3,872)</w:t>
            </w: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Net unrealized (gains)/losses on foreign currency revaluation</w:t>
            </w: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(12,703)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1,456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Gains on sale/disposal of property, plant and equipment</w:t>
            </w: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(5,701)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(2,117)</w:t>
            </w: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Gain on sale of Czech Republic business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(980)</w:t>
            </w: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Other, net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2,219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2,345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(1,037)</w:t>
            </w: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Changes in operating assets and liabilities: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360"/>
              <w:spacing w:after="0"/>
              <w:rPr>
                <w:sz w:val="20"/>
                <w:szCs w:val="20"/>
                <w:color w:val="auto"/>
              </w:rPr>
            </w:pPr>
            <w:r>
              <w:rPr>
                <w:rFonts w:ascii="Arial" w:cs="Arial" w:eastAsia="Arial" w:hAnsi="Arial"/>
                <w:sz w:val="20"/>
                <w:szCs w:val="20"/>
                <w:color w:val="auto"/>
              </w:rPr>
              <w:t>Accounts receivable</w:t>
            </w: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(8,609)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(6,817)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22,500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360"/>
              <w:spacing w:after="0"/>
              <w:rPr>
                <w:sz w:val="20"/>
                <w:szCs w:val="20"/>
                <w:color w:val="auto"/>
              </w:rPr>
            </w:pPr>
            <w:r>
              <w:rPr>
                <w:rFonts w:ascii="Arial" w:cs="Arial" w:eastAsia="Arial" w:hAnsi="Arial"/>
                <w:sz w:val="20"/>
                <w:szCs w:val="20"/>
                <w:color w:val="auto"/>
              </w:rPr>
              <w:t>Unbilled receivables</w:t>
            </w: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(4,753)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7,800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5,451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360"/>
              <w:spacing w:after="0"/>
              <w:rPr>
                <w:sz w:val="20"/>
                <w:szCs w:val="20"/>
                <w:color w:val="auto"/>
              </w:rPr>
            </w:pPr>
            <w:r>
              <w:rPr>
                <w:rFonts w:ascii="Arial" w:cs="Arial" w:eastAsia="Arial" w:hAnsi="Arial"/>
                <w:sz w:val="20"/>
                <w:szCs w:val="20"/>
                <w:color w:val="auto"/>
              </w:rPr>
              <w:t>Inventories</w:t>
            </w: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(2,415)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15,121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33,613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360"/>
              <w:spacing w:after="0"/>
              <w:rPr>
                <w:sz w:val="20"/>
                <w:szCs w:val="20"/>
                <w:color w:val="auto"/>
              </w:rPr>
            </w:pPr>
            <w:r>
              <w:rPr>
                <w:rFonts w:ascii="Arial" w:cs="Arial" w:eastAsia="Arial" w:hAnsi="Arial"/>
                <w:sz w:val="20"/>
                <w:szCs w:val="20"/>
                <w:color w:val="auto"/>
              </w:rPr>
              <w:t>Other current assets</w:t>
            </w: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(1,636)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(2,357)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(217)</w:t>
            </w:r>
          </w:p>
        </w:tc>
        <w:tc>
          <w:tcPr>
            <w:tcW w:w="0" w:type="dxa"/>
            <w:vAlign w:val="bottom"/>
          </w:tcPr>
          <w:p>
            <w:pPr>
              <w:spacing w:after="0"/>
              <w:rPr>
                <w:sz w:val="1"/>
                <w:szCs w:val="1"/>
                <w:color w:val="auto"/>
              </w:rPr>
            </w:pPr>
          </w:p>
        </w:tc>
      </w:tr>
      <w:tr>
        <w:trPr>
          <w:trHeight w:val="239"/>
        </w:trPr>
        <w:tc>
          <w:tcPr>
            <w:tcW w:w="6060" w:type="dxa"/>
            <w:vAlign w:val="bottom"/>
            <w:gridSpan w:val="2"/>
          </w:tcPr>
          <w:p>
            <w:pPr>
              <w:ind w:left="360"/>
              <w:spacing w:after="0"/>
              <w:rPr>
                <w:sz w:val="20"/>
                <w:szCs w:val="20"/>
                <w:color w:val="auto"/>
              </w:rPr>
            </w:pPr>
            <w:r>
              <w:rPr>
                <w:rFonts w:ascii="Arial" w:cs="Arial" w:eastAsia="Arial" w:hAnsi="Arial"/>
                <w:sz w:val="20"/>
                <w:szCs w:val="20"/>
                <w:color w:val="auto"/>
              </w:rPr>
              <w:t>Other assets</w:t>
            </w: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(1,604)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5,972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2,971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360"/>
              <w:spacing w:after="0"/>
              <w:rPr>
                <w:sz w:val="20"/>
                <w:szCs w:val="20"/>
                <w:color w:val="auto"/>
              </w:rPr>
            </w:pPr>
            <w:r>
              <w:rPr>
                <w:rFonts w:ascii="Arial" w:cs="Arial" w:eastAsia="Arial" w:hAnsi="Arial"/>
                <w:sz w:val="20"/>
                <w:szCs w:val="20"/>
                <w:color w:val="auto"/>
              </w:rPr>
              <w:t>Accounts payable</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2,441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(22,745)</w:t>
            </w:r>
          </w:p>
        </w:tc>
        <w:tc>
          <w:tcPr>
            <w:tcW w:w="0" w:type="dxa"/>
            <w:vAlign w:val="bottom"/>
          </w:tcPr>
          <w:p>
            <w:pPr>
              <w:spacing w:after="0"/>
              <w:rPr>
                <w:sz w:val="1"/>
                <w:szCs w:val="1"/>
                <w:color w:val="auto"/>
              </w:rPr>
            </w:pPr>
          </w:p>
        </w:tc>
      </w:tr>
      <w:tr>
        <w:trPr>
          <w:trHeight w:val="239"/>
        </w:trPr>
        <w:tc>
          <w:tcPr>
            <w:tcW w:w="6060" w:type="dxa"/>
            <w:vAlign w:val="bottom"/>
            <w:gridSpan w:val="2"/>
          </w:tcPr>
          <w:p>
            <w:pPr>
              <w:ind w:left="360"/>
              <w:spacing w:after="0"/>
              <w:rPr>
                <w:sz w:val="20"/>
                <w:szCs w:val="20"/>
                <w:color w:val="auto"/>
              </w:rPr>
            </w:pPr>
            <w:r>
              <w:rPr>
                <w:rFonts w:ascii="Arial" w:cs="Arial" w:eastAsia="Arial" w:hAnsi="Arial"/>
                <w:sz w:val="20"/>
                <w:szCs w:val="20"/>
                <w:color w:val="auto"/>
              </w:rPr>
              <w:t>Accrued expenses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(7,068)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5,356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360"/>
              <w:spacing w:after="0"/>
              <w:rPr>
                <w:sz w:val="20"/>
                <w:szCs w:val="20"/>
                <w:color w:val="auto"/>
              </w:rPr>
            </w:pPr>
            <w:r>
              <w:rPr>
                <w:rFonts w:ascii="Arial" w:cs="Arial" w:eastAsia="Arial" w:hAnsi="Arial"/>
                <w:sz w:val="20"/>
                <w:szCs w:val="20"/>
                <w:color w:val="auto"/>
              </w:rPr>
              <w:t>Accrued restructuring costs</w:t>
            </w: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(5,078)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(1,228)</w:t>
            </w:r>
          </w:p>
        </w:tc>
        <w:tc>
          <w:tcPr>
            <w:tcW w:w="0" w:type="dxa"/>
            <w:vAlign w:val="bottom"/>
          </w:tcPr>
          <w:p>
            <w:pPr>
              <w:spacing w:after="0"/>
              <w:rPr>
                <w:sz w:val="1"/>
                <w:szCs w:val="1"/>
                <w:color w:val="auto"/>
              </w:rPr>
            </w:pPr>
          </w:p>
        </w:tc>
      </w:tr>
      <w:tr>
        <w:trPr>
          <w:trHeight w:val="239"/>
        </w:trPr>
        <w:tc>
          <w:tcPr>
            <w:tcW w:w="6060" w:type="dxa"/>
            <w:vAlign w:val="bottom"/>
            <w:gridSpan w:val="2"/>
          </w:tcPr>
          <w:p>
            <w:pPr>
              <w:ind w:left="360"/>
              <w:spacing w:after="0"/>
              <w:rPr>
                <w:sz w:val="20"/>
                <w:szCs w:val="20"/>
                <w:color w:val="auto"/>
              </w:rPr>
            </w:pPr>
            <w:r>
              <w:rPr>
                <w:rFonts w:ascii="Arial" w:cs="Arial" w:eastAsia="Arial" w:hAnsi="Arial"/>
                <w:sz w:val="20"/>
                <w:szCs w:val="20"/>
                <w:color w:val="auto"/>
              </w:rPr>
              <w:t>Other liabilities</w:t>
            </w: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(1,617)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(5,006)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(16,388)</w:t>
            </w:r>
          </w:p>
        </w:tc>
        <w:tc>
          <w:tcPr>
            <w:tcW w:w="0" w:type="dxa"/>
            <w:vAlign w:val="bottom"/>
          </w:tcPr>
          <w:p>
            <w:pPr>
              <w:spacing w:after="0"/>
              <w:rPr>
                <w:sz w:val="1"/>
                <w:szCs w:val="1"/>
                <w:color w:val="auto"/>
              </w:rPr>
            </w:pPr>
          </w:p>
        </w:tc>
      </w:tr>
      <w:tr>
        <w:trPr>
          <w:trHeight w:val="257"/>
        </w:trPr>
        <w:tc>
          <w:tcPr>
            <w:tcW w:w="6060" w:type="dxa"/>
            <w:vAlign w:val="bottom"/>
            <w:gridSpan w:val="2"/>
          </w:tcPr>
          <w:p>
            <w:pPr>
              <w:ind w:left="360"/>
              <w:spacing w:after="0"/>
              <w:rPr>
                <w:sz w:val="20"/>
                <w:szCs w:val="20"/>
                <w:color w:val="auto"/>
              </w:rPr>
            </w:pPr>
            <w:r>
              <w:rPr>
                <w:rFonts w:ascii="Arial" w:cs="Arial" w:eastAsia="Arial" w:hAnsi="Arial"/>
                <w:sz w:val="20"/>
                <w:szCs w:val="20"/>
                <w:color w:val="auto"/>
              </w:rPr>
              <w:t>Income taxes payable</w:t>
            </w:r>
          </w:p>
        </w:tc>
        <w:tc>
          <w:tcPr>
            <w:tcW w:w="30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(3,656)</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(1,009)</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(4,976)</w:t>
            </w:r>
          </w:p>
        </w:tc>
        <w:tc>
          <w:tcPr>
            <w:tcW w:w="0" w:type="dxa"/>
            <w:vAlign w:val="bottom"/>
          </w:tcPr>
          <w:p>
            <w:pPr>
              <w:spacing w:after="0"/>
              <w:rPr>
                <w:sz w:val="1"/>
                <w:szCs w:val="1"/>
                <w:color w:val="auto"/>
              </w:rPr>
            </w:pPr>
          </w:p>
        </w:tc>
      </w:tr>
      <w:tr>
        <w:trPr>
          <w:trHeight w:val="231"/>
        </w:trPr>
        <w:tc>
          <w:tcPr>
            <w:tcW w:w="6060" w:type="dxa"/>
            <w:vAlign w:val="bottom"/>
            <w:gridSpan w:val="2"/>
          </w:tcPr>
          <w:p>
            <w:pPr>
              <w:ind w:left="540"/>
              <w:spacing w:after="0"/>
              <w:rPr>
                <w:sz w:val="20"/>
                <w:szCs w:val="20"/>
                <w:color w:val="auto"/>
              </w:rPr>
            </w:pPr>
            <w:r>
              <w:rPr>
                <w:rFonts w:ascii="Arial" w:cs="Arial" w:eastAsia="Arial" w:hAnsi="Arial"/>
                <w:sz w:val="20"/>
                <w:szCs w:val="20"/>
                <w:color w:val="auto"/>
              </w:rPr>
              <w:t>Net cash provided by operating activities</w:t>
            </w: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80,612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74,064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108,349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6060" w:type="dxa"/>
            <w:vAlign w:val="bottom"/>
            <w:gridSpan w:val="2"/>
          </w:tcPr>
          <w:p>
            <w:pPr>
              <w:spacing w:after="0"/>
              <w:rPr>
                <w:sz w:val="20"/>
                <w:szCs w:val="20"/>
                <w:color w:val="auto"/>
              </w:rPr>
            </w:pPr>
            <w:r>
              <w:rPr>
                <w:rFonts w:ascii="Arial" w:cs="Arial" w:eastAsia="Arial" w:hAnsi="Arial"/>
                <w:sz w:val="20"/>
                <w:szCs w:val="20"/>
                <w:color w:val="auto"/>
              </w:rPr>
              <w:t>Cash flows from investing activities: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Purchase of property, plant and equipment</w:t>
            </w: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(12,002)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(14,108)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(12,126)</w:t>
            </w: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Purchases of held to maturity U.S. Treasury securities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(131,309)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(59,992)</w:t>
            </w: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Proceeds from held to maturity securities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167,907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19,918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Payment for equity method investment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(10,282)</w:t>
            </w: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Investment in related party notes receivable</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(785)</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(2,152)</w:t>
            </w: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Proceeds from disposal/sale of property, plant and equipment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7,804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883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6,036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Acquisition of business, net of cash acquired</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(320,481)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60" w:type="dxa"/>
            <w:vAlign w:val="bottom"/>
            <w:gridSpan w:val="2"/>
          </w:tcPr>
          <w:p>
            <w:pPr>
              <w:ind w:left="180"/>
              <w:spacing w:after="0"/>
              <w:rPr>
                <w:sz w:val="20"/>
                <w:szCs w:val="20"/>
                <w:color w:val="auto"/>
              </w:rPr>
            </w:pPr>
            <w:r>
              <w:rPr>
                <w:rFonts w:ascii="Arial" w:cs="Arial" w:eastAsia="Arial" w:hAnsi="Arial"/>
                <w:sz w:val="20"/>
                <w:szCs w:val="20"/>
                <w:color w:val="auto"/>
              </w:rPr>
              <w:t>Proceeds from sale of business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5,063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6040" w:type="dxa"/>
            <w:vAlign w:val="bottom"/>
          </w:tcPr>
          <w:p>
            <w:pPr>
              <w:ind w:left="540"/>
              <w:spacing w:after="0"/>
              <w:rPr>
                <w:sz w:val="20"/>
                <w:szCs w:val="20"/>
                <w:color w:val="auto"/>
              </w:rPr>
            </w:pPr>
            <w:r>
              <w:rPr>
                <w:rFonts w:ascii="Arial" w:cs="Arial" w:eastAsia="Arial" w:hAnsi="Arial"/>
                <w:sz w:val="20"/>
                <w:szCs w:val="20"/>
                <w:color w:val="auto"/>
              </w:rPr>
              <w:t>Net cash used in investing activities</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(3,248)</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(297,893)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(53,535)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ectPr>
          <w:pgSz w:w="12240" w:h="15840" w:orient="portrait"/>
          <w:cols w:equalWidth="0" w:num="1">
            <w:col w:w="10780"/>
          </w:cols>
          <w:pgMar w:left="720" w:top="556" w:right="740" w:bottom="0" w:gutter="0" w:footer="0" w:header="0"/>
        </w:sectPr>
      </w:pPr>
    </w:p>
    <w:bookmarkStart w:id="61" w:name="page62"/>
    <w:bookmarkEnd w:id="61"/>
    <w:p>
      <w:pPr>
        <w:jc w:val="center"/>
        <w:ind w:left="760" w:right="2460"/>
        <w:spacing w:after="0" w:line="271" w:lineRule="auto"/>
        <w:rPr>
          <w:sz w:val="20"/>
          <w:szCs w:val="20"/>
          <w:color w:val="auto"/>
        </w:rPr>
      </w:pPr>
      <w:r>
        <w:rPr>
          <w:rFonts w:ascii="Arial" w:cs="Arial" w:eastAsia="Arial" w:hAnsi="Arial"/>
          <w:sz w:val="20"/>
          <w:szCs w:val="20"/>
          <w:b w:val="1"/>
          <w:bCs w:val="1"/>
          <w:color w:val="auto"/>
        </w:rPr>
        <w:t>BEL FUSE INC. AND SUBSIDIARIES CONSOLIDATED STATEMENTS OF CASH FLOWS (Continued)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20"/>
                <w:szCs w:val="20"/>
                <w:color w:val="auto"/>
              </w:rPr>
              <w:t>Year Ended December 31,</w:t>
            </w:r>
          </w:p>
        </w:tc>
        <w:tc>
          <w:tcPr>
            <w:tcW w:w="10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060" w:type="dxa"/>
            <w:vAlign w:val="bottom"/>
            <w:vMerge w:val="restart"/>
          </w:tcPr>
          <w:p>
            <w:pPr>
              <w:spacing w:after="0"/>
              <w:rPr>
                <w:sz w:val="20"/>
                <w:szCs w:val="20"/>
                <w:color w:val="auto"/>
              </w:rPr>
            </w:pPr>
            <w:r>
              <w:rPr>
                <w:rFonts w:ascii="Arial" w:cs="Arial" w:eastAsia="Arial" w:hAnsi="Arial"/>
                <w:sz w:val="20"/>
                <w:szCs w:val="20"/>
                <w:color w:val="auto"/>
              </w:rPr>
              <w:t>Cash flows from financing activities: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20"/>
                <w:szCs w:val="20"/>
                <w:color w:val="auto"/>
              </w:rPr>
              <w:t>Dividends paid to common shareholders</w:t>
            </w: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(3,465)</w:t>
            </w: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(3,453)</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(3,492)</w:t>
            </w: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20"/>
                <w:szCs w:val="20"/>
                <w:color w:val="auto"/>
              </w:rPr>
              <w:t>Purchase of treasury stock</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(16,053)</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20"/>
                <w:szCs w:val="20"/>
                <w:color w:val="auto"/>
              </w:rPr>
              <w:t>Deferred financing costs</w:t>
            </w: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(681)</w:t>
            </w: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(1,736)</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20"/>
                <w:szCs w:val="20"/>
                <w:color w:val="auto"/>
              </w:rPr>
              <w:t>Borrowings under revolving line of credit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242,500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20"/>
                <w:szCs w:val="20"/>
                <w:color w:val="auto"/>
              </w:rPr>
              <w:t>Proceeds of long-term debt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8,000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Arial" w:cs="Arial" w:eastAsia="Arial" w:hAnsi="Arial"/>
                <w:sz w:val="20"/>
                <w:szCs w:val="20"/>
                <w:color w:val="auto"/>
              </w:rPr>
              <w:t>Repayments under revolving line of credit</w:t>
            </w:r>
          </w:p>
        </w:tc>
        <w:tc>
          <w:tcPr>
            <w:tcW w:w="30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(98,000)</w:t>
            </w:r>
          </w:p>
        </w:tc>
        <w:tc>
          <w:tcPr>
            <w:tcW w:w="30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(15,000)</w:t>
            </w:r>
          </w:p>
        </w:tc>
        <w:tc>
          <w:tcPr>
            <w:tcW w:w="3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(40,000)</w:t>
            </w:r>
          </w:p>
        </w:tc>
        <w:tc>
          <w:tcPr>
            <w:tcW w:w="0" w:type="dxa"/>
            <w:vAlign w:val="bottom"/>
          </w:tcPr>
          <w:p>
            <w:pPr>
              <w:spacing w:after="0"/>
              <w:rPr>
                <w:sz w:val="1"/>
                <w:szCs w:val="1"/>
                <w:color w:val="auto"/>
              </w:rPr>
            </w:pPr>
          </w:p>
        </w:tc>
      </w:tr>
      <w:tr>
        <w:trPr>
          <w:trHeight w:val="231"/>
        </w:trPr>
        <w:tc>
          <w:tcPr>
            <w:tcW w:w="6060" w:type="dxa"/>
            <w:vAlign w:val="bottom"/>
          </w:tcPr>
          <w:p>
            <w:pPr>
              <w:ind w:left="540"/>
              <w:spacing w:after="0"/>
              <w:rPr>
                <w:sz w:val="20"/>
                <w:szCs w:val="20"/>
                <w:color w:val="auto"/>
              </w:rPr>
            </w:pPr>
            <w:r>
              <w:rPr>
                <w:rFonts w:ascii="Arial" w:cs="Arial" w:eastAsia="Arial" w:hAnsi="Arial"/>
                <w:sz w:val="20"/>
                <w:szCs w:val="20"/>
                <w:color w:val="auto"/>
              </w:rPr>
              <w:t>Net cash (used in) provided by financing activities</w:t>
            </w: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(94,146)</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206,258</w:t>
            </w:r>
          </w:p>
        </w:tc>
        <w:tc>
          <w:tcPr>
            <w:tcW w:w="2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(38,597)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r>
              <w:rPr>
                <w:rFonts w:ascii="Arial" w:cs="Arial" w:eastAsia="Arial" w:hAnsi="Arial"/>
                <w:sz w:val="20"/>
                <w:szCs w:val="20"/>
                <w:color w:val="auto"/>
              </w:rPr>
              <w:t>Effect of exchange rate changes on cash</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6,329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(3,547)</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6060" w:type="dxa"/>
            <w:vAlign w:val="bottom"/>
          </w:tcPr>
          <w:p>
            <w:pPr>
              <w:spacing w:after="0"/>
              <w:rPr>
                <w:sz w:val="20"/>
                <w:szCs w:val="20"/>
                <w:color w:val="auto"/>
              </w:rPr>
            </w:pPr>
            <w:r>
              <w:rPr>
                <w:rFonts w:ascii="Arial" w:cs="Arial" w:eastAsia="Arial" w:hAnsi="Arial"/>
                <w:sz w:val="20"/>
                <w:szCs w:val="20"/>
                <w:color w:val="auto"/>
              </w:rPr>
              <w:t>Net (decrease) increase in cash and cash equivalents</w:t>
            </w:r>
          </w:p>
        </w:tc>
        <w:tc>
          <w:tcPr>
            <w:tcW w:w="30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(10,453)</w:t>
            </w:r>
          </w:p>
        </w:tc>
        <w:tc>
          <w:tcPr>
            <w:tcW w:w="30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(21,118)</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19,105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060" w:type="dxa"/>
            <w:vAlign w:val="bottom"/>
          </w:tcPr>
          <w:p>
            <w:pPr>
              <w:spacing w:after="0"/>
              <w:rPr>
                <w:sz w:val="20"/>
                <w:szCs w:val="20"/>
                <w:color w:val="auto"/>
              </w:rPr>
            </w:pPr>
            <w:r>
              <w:rPr>
                <w:rFonts w:ascii="Arial" w:cs="Arial" w:eastAsia="Arial" w:hAnsi="Arial"/>
                <w:sz w:val="20"/>
                <w:szCs w:val="20"/>
                <w:color w:val="auto"/>
              </w:rPr>
              <w:t>Cash and cash equivalents - beginning of year</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68,253</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89,371</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70,266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060" w:type="dxa"/>
            <w:vAlign w:val="bottom"/>
          </w:tcPr>
          <w:p>
            <w:pPr>
              <w:spacing w:after="0"/>
              <w:rPr>
                <w:sz w:val="20"/>
                <w:szCs w:val="20"/>
                <w:color w:val="auto"/>
              </w:rPr>
            </w:pPr>
            <w:r>
              <w:rPr>
                <w:rFonts w:ascii="Arial" w:cs="Arial" w:eastAsia="Arial" w:hAnsi="Arial"/>
                <w:sz w:val="20"/>
                <w:szCs w:val="20"/>
                <w:color w:val="auto"/>
              </w:rPr>
              <w:t>Cash and cash equivalents - end of year</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57,800</w:t>
            </w:r>
          </w:p>
        </w:tc>
        <w:tc>
          <w:tcPr>
            <w:tcW w:w="22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68,253</w:t>
            </w:r>
          </w:p>
        </w:tc>
        <w:tc>
          <w:tcPr>
            <w:tcW w:w="220" w:type="dxa"/>
            <w:vAlign w:val="bottom"/>
          </w:tcPr>
          <w:p>
            <w:pPr>
              <w:spacing w:after="0"/>
              <w:rPr>
                <w:sz w:val="22"/>
                <w:szCs w:val="22"/>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89,371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0"/>
        </w:trPr>
        <w:tc>
          <w:tcPr>
            <w:tcW w:w="6060" w:type="dxa"/>
            <w:vAlign w:val="bottom"/>
          </w:tcPr>
          <w:p>
            <w:pPr>
              <w:spacing w:after="0"/>
              <w:rPr>
                <w:sz w:val="20"/>
                <w:szCs w:val="20"/>
                <w:color w:val="auto"/>
              </w:rPr>
            </w:pPr>
            <w:r>
              <w:rPr>
                <w:rFonts w:ascii="Arial" w:cs="Arial" w:eastAsia="Arial" w:hAnsi="Arial"/>
                <w:sz w:val="20"/>
                <w:szCs w:val="20"/>
                <w:color w:val="auto"/>
              </w:rPr>
              <w:t>Supplemental cash flow information:</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20"/>
                <w:szCs w:val="20"/>
                <w:color w:val="auto"/>
              </w:rPr>
              <w:t>Cash paid during the year for:</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180"/>
              <w:spacing w:after="0"/>
              <w:rPr>
                <w:sz w:val="20"/>
                <w:szCs w:val="20"/>
                <w:color w:val="auto"/>
              </w:rPr>
            </w:pPr>
            <w:r>
              <w:rPr>
                <w:rFonts w:ascii="Arial" w:cs="Arial" w:eastAsia="Arial" w:hAnsi="Arial"/>
                <w:sz w:val="20"/>
                <w:szCs w:val="20"/>
                <w:color w:val="auto"/>
              </w:rPr>
              <w:t>Income taxes, net of refunds received</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23,731</w:t>
            </w:r>
          </w:p>
        </w:tc>
        <w:tc>
          <w:tcPr>
            <w:tcW w:w="220" w:type="dxa"/>
            <w:vAlign w:val="bottom"/>
          </w:tcPr>
          <w:p>
            <w:pPr>
              <w:spacing w:after="0"/>
              <w:rPr>
                <w:sz w:val="22"/>
                <w:szCs w:val="22"/>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22,952</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060" w:type="dxa"/>
            <w:vAlign w:val="bottom"/>
          </w:tcPr>
          <w:p>
            <w:pPr>
              <w:ind w:left="180"/>
              <w:spacing w:after="0"/>
              <w:rPr>
                <w:sz w:val="20"/>
                <w:szCs w:val="20"/>
                <w:color w:val="auto"/>
              </w:rPr>
            </w:pPr>
            <w:r>
              <w:rPr>
                <w:rFonts w:ascii="Arial" w:cs="Arial" w:eastAsia="Arial" w:hAnsi="Arial"/>
                <w:sz w:val="20"/>
                <w:szCs w:val="20"/>
                <w:color w:val="auto"/>
              </w:rPr>
              <w:t>Interest payments</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14,792</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5,795</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60" w:type="dxa"/>
            <w:vAlign w:val="bottom"/>
          </w:tcPr>
          <w:p>
            <w:pPr>
              <w:spacing w:after="0" w:line="206" w:lineRule="exact"/>
              <w:rPr>
                <w:sz w:val="20"/>
                <w:szCs w:val="20"/>
                <w:color w:val="auto"/>
              </w:rPr>
            </w:pPr>
            <w:r>
              <w:rPr>
                <w:rFonts w:ascii="Arial" w:cs="Arial" w:eastAsia="Arial" w:hAnsi="Arial"/>
                <w:sz w:val="20"/>
                <w:szCs w:val="20"/>
                <w:color w:val="auto"/>
                <w:w w:val="91"/>
              </w:rPr>
              <w:t>Redeemable noncontrolling interest assumed in exchange for acquired net</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060" w:type="dxa"/>
            <w:vAlign w:val="bottom"/>
          </w:tcPr>
          <w:p>
            <w:pPr>
              <w:spacing w:after="0"/>
              <w:rPr>
                <w:sz w:val="20"/>
                <w:szCs w:val="20"/>
                <w:color w:val="auto"/>
              </w:rPr>
            </w:pPr>
            <w:r>
              <w:rPr>
                <w:rFonts w:ascii="Arial" w:cs="Arial" w:eastAsia="Arial" w:hAnsi="Arial"/>
                <w:sz w:val="20"/>
                <w:szCs w:val="20"/>
                <w:color w:val="auto"/>
              </w:rPr>
              <w:t>assets</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72,354</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r>
              <w:rPr>
                <w:rFonts w:ascii="Arial" w:cs="Arial" w:eastAsia="Arial" w:hAnsi="Arial"/>
                <w:sz w:val="20"/>
                <w:szCs w:val="20"/>
                <w:color w:val="auto"/>
              </w:rPr>
              <w:t>ROU assets obtained in exchange for lease obligations</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4,763</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6,870</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-1431290</wp:posOffset>
            </wp:positionV>
            <wp:extent cx="2977515" cy="52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77515" cy="527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ectPr>
          <w:pgSz w:w="12240" w:h="15840" w:orient="portrait"/>
          <w:cols w:equalWidth="0" w:num="1">
            <w:col w:w="10780"/>
          </w:cols>
          <w:pgMar w:left="720" w:top="785" w:right="740" w:bottom="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color w:val="auto"/>
        </w:rPr>
        <w:t>BEL FUSE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OF AND FOR THE YEARS ENDED DECEMBER 31, 2025, 2024 AND 2023</w:t>
      </w:r>
    </w:p>
    <w:p>
      <w:pPr>
        <w:spacing w:after="0" w:line="200" w:lineRule="exact"/>
        <w:rPr>
          <w:sz w:val="20"/>
          <w:szCs w:val="20"/>
          <w:color w:val="auto"/>
        </w:rPr>
      </w:pPr>
    </w:p>
    <w:p>
      <w:pPr>
        <w:spacing w:after="0" w:line="308"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9"/>
          <w:szCs w:val="19"/>
          <w:color w:val="auto"/>
        </w:rPr>
        <w:t>DESCRIPTION OF BUSINESS AND SUMMARY OF SIGNIFICANT ACCOUNTING POLICIES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Bel Fuse Inc. and subsidiaries ("Bel," the "Company," "we," "us," and "our") design, manufacture and market a broad array of products that power, protect and connect electronic circuits. These products are used around the world, primarily in the defense, commercial aerospace, networking, telecommunications, computing, general industrial, high-speed data transmission, transportation and eMobility industries. Bel's portfolio of products also finds application in the automotive, medical, broadcasting and consumer electronics markets. We manage our operations by product group through our reportable operating segments, Power Solutions and Protection, Connectivity Solutions and Magnetic Solutions.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All amounts included in the tables to these notes to consolidated financial statements, except per share amounts, are in thousands.</w:t>
      </w:r>
    </w:p>
    <w:p>
      <w:pPr>
        <w:spacing w:after="0" w:line="24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u w:val="single" w:color="auto"/>
          <w:color w:val="auto"/>
        </w:rPr>
        <w:t>Principles of Consolidation</w:t>
      </w:r>
      <w:r>
        <w:rPr>
          <w:rFonts w:ascii="Arial" w:cs="Arial" w:eastAsia="Arial" w:hAnsi="Arial"/>
          <w:sz w:val="20"/>
          <w:szCs w:val="20"/>
          <w:color w:val="auto"/>
        </w:rPr>
        <w:t xml:space="preserve"> - The consolidated financial statements include all of the accounts of the Company and its wholly owned subsidiaries. In accordance with the guidance under ASC Topic 810 </w:t>
      </w:r>
      <w:r>
        <w:rPr>
          <w:rFonts w:ascii="Arial" w:cs="Arial" w:eastAsia="Arial" w:hAnsi="Arial"/>
          <w:sz w:val="20"/>
          <w:szCs w:val="20"/>
          <w:i w:val="1"/>
          <w:iCs w:val="1"/>
          <w:color w:val="auto"/>
        </w:rPr>
        <w:t>"Consolidations"</w:t>
      </w:r>
      <w:r>
        <w:rPr>
          <w:rFonts w:ascii="Arial" w:cs="Arial" w:eastAsia="Arial" w:hAnsi="Arial"/>
          <w:sz w:val="20"/>
          <w:szCs w:val="20"/>
          <w:color w:val="auto"/>
        </w:rPr>
        <w:t>, while the Company only owns an 80% interest in Enercon, the accompanying consolidated financial statements include 100% of Enercon's financial activity since the effective date of the acquisition. The redeemable noncontrolling interest is reported in the mezzanine (temporary equity) section of the accompanying consolidated balance sheet at December 31, 2025 and December 31, 2024. All intercompany transactions and balances have been eliminated in consolidation.</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Estimates and Uncertainties</w:t>
      </w:r>
      <w:r>
        <w:rPr>
          <w:rFonts w:ascii="Arial" w:cs="Arial" w:eastAsia="Arial" w:hAnsi="Arial"/>
          <w:sz w:val="20"/>
          <w:szCs w:val="20"/>
          <w:color w:val="auto"/>
        </w:rPr>
        <w:t xml:space="preserve"> - The preparation of the consolidated financial statements in conformity with accounting principles generally accepted in the United States of America ("U.S. GAAP") requires us to make estimates and judgments that affect the reported amounts of assets, liabilities, revenues and expenses, and related disclosure of contingent assets and liabilities. On an ongoing basis, we evaluate our estimates, including but not limited to those related to product returns, provisions for bad debt, inventories, goodwill, intangible assets, investments, Supplemental Executive Retirement Plan ("SERP") expense, income taxes, contingencies and litigation.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u w:val="single" w:color="auto"/>
          <w:color w:val="auto"/>
        </w:rPr>
        <w:t>Cash, Cash Equivalents and Investments</w:t>
      </w:r>
      <w:r>
        <w:rPr>
          <w:rFonts w:ascii="Arial" w:cs="Arial" w:eastAsia="Arial" w:hAnsi="Arial"/>
          <w:sz w:val="19"/>
          <w:szCs w:val="19"/>
          <w:color w:val="auto"/>
        </w:rPr>
        <w:t xml:space="preserve"> - Cash equivalents include short- term investments in money market funds and certificates of deposit with an original maturity of three months or less when purchased. Accounts at each U.S. institution are insured by the Federal Deposit Insurance Corporation ("FDIC") up to $250,000. Substantially all of our U.S. cash and cash equivalents balances are in excess of the FDIC insured limit. The Company periodically invests its excess cash in money market funds and U.S. Treasury Bills. The Company's cash and cash equivalents are placed with high credit quality financial institutions.</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Company has held to maturity securities comprised of U.S. Treasury Bills. These investments were classified as held to maturity as the Company had the intent and ability to hold these investments until they matured. The table below shows the amortized costs, associated gross unrealized gains and associated fair value of the held to maturity securities at December 31, 2025 and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December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20"/>
                <w:szCs w:val="20"/>
                <w:color w:val="auto"/>
                <w:w w:val="89"/>
              </w:rPr>
              <w:t>December 31,</w:t>
            </w:r>
          </w:p>
        </w:tc>
      </w:tr>
      <w:tr>
        <w:trPr>
          <w:trHeight w:val="257"/>
        </w:trPr>
        <w:tc>
          <w:tcPr>
            <w:tcW w:w="7080" w:type="dxa"/>
            <w:vAlign w:val="bottom"/>
          </w:tcPr>
          <w:p>
            <w:pPr>
              <w:spacing w:after="0"/>
              <w:rPr>
                <w:sz w:val="22"/>
                <w:szCs w:val="22"/>
                <w:color w:val="auto"/>
              </w:rPr>
            </w:pPr>
          </w:p>
        </w:tc>
        <w:tc>
          <w:tcPr>
            <w:tcW w:w="13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2025</w:t>
            </w:r>
          </w:p>
        </w:tc>
        <w:tc>
          <w:tcPr>
            <w:tcW w:w="1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2024</w:t>
            </w:r>
          </w:p>
        </w:tc>
      </w:tr>
      <w:tr>
        <w:trPr>
          <w:trHeight w:val="454"/>
        </w:trPr>
        <w:tc>
          <w:tcPr>
            <w:tcW w:w="7080" w:type="dxa"/>
            <w:vAlign w:val="bottom"/>
          </w:tcPr>
          <w:p>
            <w:pPr>
              <w:spacing w:after="0"/>
              <w:rPr>
                <w:sz w:val="20"/>
                <w:szCs w:val="20"/>
                <w:color w:val="auto"/>
              </w:rPr>
            </w:pPr>
            <w:r>
              <w:rPr>
                <w:rFonts w:ascii="Arial" w:cs="Arial" w:eastAsia="Arial" w:hAnsi="Arial"/>
                <w:sz w:val="20"/>
                <w:szCs w:val="20"/>
                <w:color w:val="auto"/>
              </w:rPr>
              <w:t>Held to maturity U.S. Treasury securities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9"/>
        </w:trPr>
        <w:tc>
          <w:tcPr>
            <w:tcW w:w="7080" w:type="dxa"/>
            <w:vAlign w:val="bottom"/>
          </w:tcPr>
          <w:p>
            <w:pPr>
              <w:ind w:left="180"/>
              <w:spacing w:after="0"/>
              <w:rPr>
                <w:sz w:val="20"/>
                <w:szCs w:val="20"/>
                <w:color w:val="auto"/>
              </w:rPr>
            </w:pPr>
            <w:r>
              <w:rPr>
                <w:rFonts w:ascii="Arial" w:cs="Arial" w:eastAsia="Arial" w:hAnsi="Arial"/>
                <w:sz w:val="20"/>
                <w:szCs w:val="20"/>
                <w:color w:val="auto"/>
              </w:rPr>
              <w:t>Amortized Cost</w:t>
            </w:r>
          </w:p>
        </w:tc>
        <w:tc>
          <w:tcPr>
            <w:tcW w:w="1320" w:type="dxa"/>
            <w:vAlign w:val="bottom"/>
          </w:tcPr>
          <w:p>
            <w:pPr>
              <w:jc w:val="right"/>
              <w:ind w:right="1121"/>
              <w:spacing w:after="0"/>
              <w:rPr>
                <w:sz w:val="20"/>
                <w:szCs w:val="20"/>
                <w:color w:val="auto"/>
              </w:rPr>
            </w:pPr>
            <w:r>
              <w:rPr>
                <w:rFonts w:ascii="Arial" w:cs="Arial" w:eastAsia="Arial" w:hAnsi="Arial"/>
                <w:sz w:val="20"/>
                <w:szCs w:val="20"/>
                <w:color w:val="auto"/>
                <w:w w:val="71"/>
              </w:rPr>
              <w:t>$</w:t>
            </w:r>
          </w:p>
        </w:tc>
        <w:tc>
          <w:tcPr>
            <w:tcW w:w="12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950</w:t>
            </w:r>
          </w:p>
        </w:tc>
      </w:tr>
      <w:tr>
        <w:trPr>
          <w:trHeight w:val="239"/>
        </w:trPr>
        <w:tc>
          <w:tcPr>
            <w:tcW w:w="7080" w:type="dxa"/>
            <w:vAlign w:val="bottom"/>
          </w:tcPr>
          <w:p>
            <w:pPr>
              <w:ind w:left="180"/>
              <w:spacing w:after="0"/>
              <w:rPr>
                <w:sz w:val="20"/>
                <w:szCs w:val="20"/>
                <w:color w:val="auto"/>
              </w:rPr>
            </w:pPr>
            <w:r>
              <w:rPr>
                <w:rFonts w:ascii="Arial" w:cs="Arial" w:eastAsia="Arial" w:hAnsi="Arial"/>
                <w:sz w:val="20"/>
                <w:szCs w:val="20"/>
                <w:color w:val="auto"/>
              </w:rPr>
              <w:t>Gross Unrealized Gain</w:t>
            </w:r>
          </w:p>
        </w:tc>
        <w:tc>
          <w:tcPr>
            <w:tcW w:w="1320" w:type="dxa"/>
            <w:vAlign w:val="bottom"/>
          </w:tcPr>
          <w:p>
            <w:pPr>
              <w:jc w:val="right"/>
              <w:ind w:right="1121"/>
              <w:spacing w:after="0"/>
              <w:rPr>
                <w:sz w:val="20"/>
                <w:szCs w:val="20"/>
                <w:color w:val="auto"/>
              </w:rPr>
            </w:pPr>
            <w:r>
              <w:rPr>
                <w:rFonts w:ascii="Arial" w:cs="Arial" w:eastAsia="Arial" w:hAnsi="Arial"/>
                <w:sz w:val="20"/>
                <w:szCs w:val="20"/>
                <w:color w:val="auto"/>
                <w:w w:val="71"/>
              </w:rPr>
              <w:t>$</w:t>
            </w:r>
          </w:p>
        </w:tc>
        <w:tc>
          <w:tcPr>
            <w:tcW w:w="12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64"/>
        </w:trPr>
        <w:tc>
          <w:tcPr>
            <w:tcW w:w="7080" w:type="dxa"/>
            <w:vAlign w:val="bottom"/>
          </w:tcPr>
          <w:p>
            <w:pPr>
              <w:ind w:left="180"/>
              <w:spacing w:after="0"/>
              <w:rPr>
                <w:sz w:val="20"/>
                <w:szCs w:val="20"/>
                <w:color w:val="auto"/>
              </w:rPr>
            </w:pPr>
            <w:r>
              <w:rPr>
                <w:rFonts w:ascii="Arial" w:cs="Arial" w:eastAsia="Arial" w:hAnsi="Arial"/>
                <w:sz w:val="20"/>
                <w:szCs w:val="20"/>
                <w:color w:val="auto"/>
              </w:rPr>
              <w:t>Fair Value</w:t>
            </w:r>
          </w:p>
        </w:tc>
        <w:tc>
          <w:tcPr>
            <w:tcW w:w="1320" w:type="dxa"/>
            <w:vAlign w:val="bottom"/>
          </w:tcPr>
          <w:p>
            <w:pPr>
              <w:jc w:val="right"/>
              <w:ind w:right="1121"/>
              <w:spacing w:after="0"/>
              <w:rPr>
                <w:sz w:val="20"/>
                <w:szCs w:val="20"/>
                <w:color w:val="auto"/>
              </w:rPr>
            </w:pPr>
            <w:r>
              <w:rPr>
                <w:rFonts w:ascii="Arial" w:cs="Arial" w:eastAsia="Arial" w:hAnsi="Arial"/>
                <w:sz w:val="20"/>
                <w:szCs w:val="20"/>
                <w:color w:val="auto"/>
                <w:w w:val="71"/>
              </w:rPr>
              <w:t>$</w:t>
            </w:r>
          </w:p>
        </w:tc>
        <w:tc>
          <w:tcPr>
            <w:tcW w:w="12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977</w:t>
            </w:r>
          </w:p>
        </w:tc>
      </w:tr>
    </w:tbl>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In determining the fair value of the Company's held to maturity U.S. Treasury securities, the Company utilized Level 1 inputs of the market price for comparable securities as of December 31, 2025 and on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2240" w:h="15840" w:orient="portrait"/>
          <w:cols w:equalWidth="0" w:num="1">
            <w:col w:w="10800"/>
          </w:cols>
          <w:pgMar w:left="720" w:top="555" w:right="720" w:bottom="0" w:gutter="0" w:footer="0" w:header="0"/>
        </w:sectPr>
      </w:pPr>
    </w:p>
    <w:bookmarkStart w:id="63" w:name="page64"/>
    <w:bookmarkEnd w:id="63"/>
    <w:p>
      <w:pPr>
        <w:jc w:val="both"/>
        <w:spacing w:after="0" w:line="243" w:lineRule="auto"/>
        <w:rPr>
          <w:sz w:val="20"/>
          <w:szCs w:val="20"/>
          <w:color w:val="auto"/>
        </w:rPr>
      </w:pPr>
      <w:r>
        <w:rPr>
          <w:rFonts w:ascii="Arial" w:cs="Arial" w:eastAsia="Arial" w:hAnsi="Arial"/>
          <w:sz w:val="20"/>
          <w:szCs w:val="20"/>
          <w:u w:val="single" w:color="auto"/>
          <w:color w:val="auto"/>
        </w:rPr>
        <w:t>Allowance for Credit Losses</w:t>
      </w:r>
      <w:r>
        <w:rPr>
          <w:rFonts w:ascii="Arial" w:cs="Arial" w:eastAsia="Arial" w:hAnsi="Arial"/>
          <w:sz w:val="20"/>
          <w:szCs w:val="20"/>
          <w:color w:val="auto"/>
        </w:rPr>
        <w:t xml:space="preserve"> - The Company currently measures the expected credit losses based on our historical credit loss experience. The Company has not experienced significant recent or historical credit losses and is not forecasting any significant credit losses which would require adjustments to our methodology. If current conditions and supportable forecasts indicate that our historical loss experience is not reasonable and no longer supportable, the Company may adjust its historical credit loss experience to reflect these conditions and forecasts. The Company regularly analyzes its significant customer accounts and, when the Company becomes aware of a customer’s inability to meet its financial obligations, the Company records a specific reserve for bad debt to reduce the related receivable to the amount the Company reasonably believes is collectible. Aside from the related party loan further described in Note 2 "</w:t>
      </w:r>
      <w:r>
        <w:rPr>
          <w:rFonts w:ascii="Arial" w:cs="Arial" w:eastAsia="Arial" w:hAnsi="Arial"/>
          <w:sz w:val="20"/>
          <w:szCs w:val="20"/>
          <w:i w:val="1"/>
          <w:iCs w:val="1"/>
          <w:color w:val="auto"/>
        </w:rPr>
        <w:t>Investment and Impairment in Innolectric</w:t>
      </w:r>
      <w:r>
        <w:rPr>
          <w:rFonts w:ascii="Arial" w:cs="Arial" w:eastAsia="Arial" w:hAnsi="Arial"/>
          <w:sz w:val="20"/>
          <w:szCs w:val="20"/>
          <w:color w:val="auto"/>
        </w:rPr>
        <w:t>", there were no significant impairment losses related to our receivables in 2025 or 2024.</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Effects of Foreign Currency</w:t>
      </w:r>
      <w:r>
        <w:rPr>
          <w:rFonts w:ascii="Arial" w:cs="Arial" w:eastAsia="Arial" w:hAnsi="Arial"/>
          <w:sz w:val="19"/>
          <w:szCs w:val="19"/>
          <w:color w:val="auto"/>
        </w:rPr>
        <w:t xml:space="preserve"> – In non-U.S. locations that are not considered highly inflationary, we translate the non-equity components of our foreign balance sheets at the end of period exchange rates with translation adjustments accumulated within shareholders' equity on our consolidated balance sheets. We translate the statements of operations at the average exchange rates during the applicable period. In connection with foreign currency denominated transactions, including multi-currency intercompany payable and receivable transactions and loans, the Company incurred net realized and unrealized currency exchange (losses) gains of $10.8 million, ($1.9) million and ($1.4) million for the years ended December 31, 2025, 2024 and 2023, respectively, which were included in other expense, net on the consolidated statements of operations.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Concentration of Credit Risk</w:t>
      </w:r>
      <w:r>
        <w:rPr>
          <w:rFonts w:ascii="Arial" w:cs="Arial" w:eastAsia="Arial" w:hAnsi="Arial"/>
          <w:sz w:val="18"/>
          <w:szCs w:val="18"/>
          <w:color w:val="auto"/>
        </w:rPr>
        <w:t xml:space="preserve"> - Financial instruments which potentially subject us to concentrations of credit risk consist principally of accounts receivable and temporary cash investments. We grant credit to customers that are primarily original equipment manufacturers, subcontractors of original equipment manufacturers and distributors based on an evaluation of the customer's financial condition, without requiring collateral. Exposure to losses on receivables is principally dependent on each customer's financial condition. We control our exposure to credit risk through credit approvals, credit limits and monitoring procedures and establish allowances for anticipated losses. See Note 14, </w:t>
      </w:r>
      <w:r>
        <w:rPr>
          <w:rFonts w:ascii="Arial" w:cs="Arial" w:eastAsia="Arial" w:hAnsi="Arial"/>
          <w:sz w:val="18"/>
          <w:szCs w:val="18"/>
          <w:i w:val="1"/>
          <w:iCs w:val="1"/>
          <w:color w:val="auto"/>
        </w:rPr>
        <w:t>"Segments,</w:t>
      </w:r>
      <w:r>
        <w:rPr>
          <w:rFonts w:ascii="Arial" w:cs="Arial" w:eastAsia="Arial" w:hAnsi="Arial"/>
          <w:sz w:val="18"/>
          <w:szCs w:val="18"/>
          <w:color w:val="auto"/>
        </w:rPr>
        <w:t>" for disclosures regarding significant customers.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u w:val="single" w:color="auto"/>
          <w:color w:val="auto"/>
        </w:rPr>
        <w:t>Inventories</w:t>
      </w:r>
      <w:r>
        <w:rPr>
          <w:rFonts w:ascii="Arial" w:cs="Arial" w:eastAsia="Arial" w:hAnsi="Arial"/>
          <w:sz w:val="19"/>
          <w:szCs w:val="19"/>
          <w:color w:val="auto"/>
        </w:rPr>
        <w:t xml:space="preserve"> - Inventories are stated at the lower of cost or net realizable value. Material costs are determined by standard costs or weighted average cost, both of which approximate actual costs. Costs related to inventories include raw materials, direct labor and manufacturing overhead which are included in cost of sales on the consolidated statements of operations upon sale.</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u w:val="single" w:color="auto"/>
          <w:color w:val="auto"/>
        </w:rPr>
        <w:t>Revenue Recognition</w:t>
      </w:r>
      <w:r>
        <w:rPr>
          <w:rFonts w:ascii="Arial" w:cs="Arial" w:eastAsia="Arial" w:hAnsi="Arial"/>
          <w:sz w:val="20"/>
          <w:szCs w:val="20"/>
          <w:color w:val="auto"/>
        </w:rPr>
        <w:t xml:space="preserve"> – Revenue is recognized when a customer obtains control of promised goods or services. The amount of revenue recognized reflects the consideration to which the Company expects to be entitled to receive in exchange for these goods and services. Taxes assessed by a governmental authority that are both imposed on and concurrent with a specific revenue-producing transaction, that are collected by the Company from a customer, are excluded from revenue. Shipping and handling costs associated with outbound freight after control over a product has transferred to a customer are accounted for as a fulfillment cost and are included in cost of sales.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Product Warranties</w:t>
      </w:r>
      <w:r>
        <w:rPr>
          <w:rFonts w:ascii="Arial" w:cs="Arial" w:eastAsia="Arial" w:hAnsi="Arial"/>
          <w:sz w:val="20"/>
          <w:szCs w:val="20"/>
          <w:color w:val="auto"/>
        </w:rPr>
        <w:t xml:space="preserve"> – Warranties vary by product line and are competitive for the markets in which the Company operates. Warranties generally extend for one to three years from the date of sale, providing customers with assurance that the related product will function as intended. The Company reviews its warranty liability quarterly based on an analysis of actual expenses and failure rates accompanied with estimated future costs and projected failure rate trends. Factors taken into consideration when evaluating our warranty reserve are (i) historical claims for each product, (ii) volume increases, (iii) life of warranty, (iv) historical warranty repair costs and (v) other factors. To the extent that actual experience differs from our estimate, the provision for product warranties will be adjusted in future periods. Actual warranty repair costs are charged against the reserve balance as incurred. See Note 12, </w:t>
      </w:r>
      <w:r>
        <w:rPr>
          <w:rFonts w:ascii="Arial" w:cs="Arial" w:eastAsia="Arial" w:hAnsi="Arial"/>
          <w:sz w:val="20"/>
          <w:szCs w:val="20"/>
          <w:i w:val="1"/>
          <w:iCs w:val="1"/>
          <w:color w:val="auto"/>
        </w:rPr>
        <w:t>"Accrued</w:t>
      </w:r>
      <w:r>
        <w:rPr>
          <w:rFonts w:ascii="Arial" w:cs="Arial" w:eastAsia="Arial" w:hAnsi="Arial"/>
          <w:sz w:val="20"/>
          <w:szCs w:val="20"/>
          <w:color w:val="auto"/>
        </w:rPr>
        <w:t xml:space="preserve"> </w:t>
      </w:r>
      <w:r>
        <w:rPr>
          <w:rFonts w:ascii="Arial" w:cs="Arial" w:eastAsia="Arial" w:hAnsi="Arial"/>
          <w:sz w:val="20"/>
          <w:szCs w:val="20"/>
          <w:i w:val="1"/>
          <w:iCs w:val="1"/>
          <w:color w:val="auto"/>
        </w:rPr>
        <w:t>Expenses."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u w:val="single" w:color="auto"/>
          <w:color w:val="auto"/>
        </w:rPr>
        <w:t>Product Returns</w:t>
      </w:r>
      <w:r>
        <w:rPr>
          <w:rFonts w:ascii="Arial" w:cs="Arial" w:eastAsia="Arial" w:hAnsi="Arial"/>
          <w:sz w:val="19"/>
          <w:szCs w:val="19"/>
          <w:color w:val="auto"/>
        </w:rPr>
        <w:t xml:space="preserve"> – We estimate product returns, including product exchanges under warranty, based on historical experience. In general, the Company is not contractually obligated to accept returns except for defective product or in instances where the product does not meet the Company's product specifications. However, the Company may permit its customers to return product for other reasons. In certain instances, the Company would generally require a significant cancellation penalty payment by the customer. The Company estimates such returns, where applicable, based upon management's evaluation of historical experience, market acceptance of products produced and known negotiations with customers. Such estimates are deducted from sales and provided for at the time revenue is recognized. Distribution customers often receive what is referred to as "ship and debit" arrangements, whereby Bel will invoice them at an agreed upon unit price upon shipment of product and a price reduction may be granted if the market price of the product declines after shipment. Distributors may also be entitled to special pricing discount credits, and certain customers are entitled to return allowances based on previous sales volumes. Bel deducts estimates for anticipated credits, refunds and returns from sales each quarter based on historical experience.</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Goodwill and Identifiable Intangible Assets</w:t>
      </w:r>
      <w:r>
        <w:rPr>
          <w:rFonts w:ascii="Arial" w:cs="Arial" w:eastAsia="Arial" w:hAnsi="Arial"/>
          <w:sz w:val="20"/>
          <w:szCs w:val="20"/>
          <w:color w:val="auto"/>
        </w:rPr>
        <w:t xml:space="preserve"> – Goodwill represents the excess of the aggregate of the following: (1) consideration transferred, (2) the fair value of any noncontrolling interest in the acquiree and, (3) if the business combination is achieved in stages, the acquisition-date fair value of our previously held equity interest in the acquiree over the net of the acquisition-date amounts of the identifiable assets acquired and the liabilities assumed.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2240" w:h="15840" w:orient="portrait"/>
          <w:cols w:equalWidth="0" w:num="1">
            <w:col w:w="10800"/>
          </w:cols>
          <w:pgMar w:left="720" w:top="555" w:right="720" w:bottom="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9"/>
          <w:szCs w:val="19"/>
          <w:color w:val="auto"/>
        </w:rPr>
        <w:t>Identifiable intangible assets consist primarily of patents, licenses, trademarks, trade names, customer lists and relationships, non-compete agreements and technology-based intangibles and other contractual agreements. We amortize finite- lived identifiable intangible assets over the shorter of their stated or statutory duration or their estimated useful lives, ranging from 1 to 17 years, on a straight-line basis to their estimated residual values and periodically review them for impairment. Total identifiable intangible assets comprise 23.3% and 24.4% at December 31, 2025 and 2024, respectively, of our consolidated total assets.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use the acquisition method of accounting for those business combinations in which we acquire 100% of the equity. We do not amortize goodwill or intangible assets with indefinite useful lives. Goodwill and intangible assets with indefinite useful lives are tested for possible impairment annually during the fourth quarter of each fiscal year or more frequently if events or changes in circumstances indicate that the asset might be impaired.</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Impairment and Disposal of Long-Lived Assets</w:t>
      </w:r>
      <w:r>
        <w:rPr>
          <w:rFonts w:ascii="Arial" w:cs="Arial" w:eastAsia="Arial" w:hAnsi="Arial"/>
          <w:sz w:val="18"/>
          <w:szCs w:val="18"/>
          <w:color w:val="auto"/>
        </w:rPr>
        <w:t xml:space="preserve"> – For definite-lived intangible assets, such as customer relationships, contracts, intellectual property, and for other long-lived assets, such as property, plant and equipment, whenever impairment indicators are present, we perform a review for impairment. We calculate the undiscounted value of the projected cash flows associated with the asset, or asset group, and compare this estimated amount to the carrying amount. If the carrying amount is found to be greater, we record an impairment loss for the excess of book value over the fair value. In addition, in all cases of an impairment review, we re-evaluate the remaining useful lives of the assets and modify them, as appropriate. At December 31, 2025, no property was classified as assets held for sale within other current assets on the accompanying condensed consolidated balance sheets. Accordingly, no impairment testing was performed during 2025. At December 31, 2024, a total of $2.1 million of property was classified as assets held for sale (within other current assets) on the accompanying consolidated balance sheet, related to properties in the People’s Republic of China ("PRC") and Glen Rock, Pennsylvania, which were being exited in connection with recent restructuring initiatives and facility consolidation efforts. These assets were evaluated for impairment during 2024, and it was determined that no impairment existed.</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For indefinite-lived intangible assets, such as goodwill, trademarks and tradenames, each year and whenever impairment indicators are present, we determine the fair value of the asset and record an impairment loss for the excess of book value over the fair value, if any. During the year ended December 31, 2024, the Company recorded a $0.4 million impairment charge related to its CUI tradename in connection with a significant change in market conditions due to trade restrictions placed on one of CUI's large suppliers in the PRC by the U.S. government. In addition, in all cases of an impairment review we re-evaluate whether continuing to characterize the asset as indefinite-lived is appropriate. See Note 5,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for additional details.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Depreciation</w:t>
      </w:r>
      <w:r>
        <w:rPr>
          <w:rFonts w:ascii="Arial" w:cs="Arial" w:eastAsia="Arial" w:hAnsi="Arial"/>
          <w:sz w:val="20"/>
          <w:szCs w:val="20"/>
          <w:color w:val="auto"/>
        </w:rPr>
        <w:t xml:space="preserve"> - Property, plant and equipment are stated at cost less accumulated depreciation and amortization. Depreciation and amortization are calculated primarily using the straight-line method over the estimated useful life of the asset. The estimated useful lives primarily range from 1 to 33 years for buildings and leasehold improvements, and from 3 to 14 years for machinery and equipment.</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u w:val="single" w:color="auto"/>
          <w:color w:val="auto"/>
        </w:rPr>
        <w:t>Redeemable Noncontrolling Interests</w:t>
      </w:r>
      <w:r>
        <w:rPr>
          <w:rFonts w:ascii="Arial" w:cs="Arial" w:eastAsia="Arial" w:hAnsi="Arial"/>
          <w:sz w:val="19"/>
          <w:szCs w:val="19"/>
          <w:color w:val="auto"/>
        </w:rPr>
        <w:t xml:space="preserve"> - The Company reports noncontrolling interests in the mezzanine (“temporary equity”) section, between liabilities and equity, of the consolidated balance sheets, to the extent that such noncontrolling interests have redemption features, such as a put/call option (which did not qualify for bifurcation), that is redeemable at a fixed or determinable price on a fixed or determinable date at the option of the holder, or upon the occurrence of an event that is not solely within the control of the Company. Due to its redeemable features that are outside the control of the Company, the redeemable noncontrolling interest is and will continue to be reported in the mezzanine section in the consolidated balance sheets for as long as the put option is exercisable by the option holder. The carrying amount of the redeemable noncontrolling interest, initially valued at fair value as part of acquisition accounting, is adjusted each reporting period to equal the greater of the (i) redemption value or (ii) carrying value of the noncontrolling interest, adjusted each reporting period for income or loss attributable to the noncontrolling interest and any distributions made to date. This subsequent valuation method is in accordance with policy elections made by the Company in its accounting for the redeemable noncontrolling interest. The redemption value is calculated based on a pre-determined multiple of trailing twelve-months EBITDA (as defined in the Purchase Agreement as further described in Note 3, </w:t>
      </w:r>
      <w:r>
        <w:rPr>
          <w:rFonts w:ascii="Arial" w:cs="Arial" w:eastAsia="Arial" w:hAnsi="Arial"/>
          <w:sz w:val="19"/>
          <w:szCs w:val="19"/>
          <w:i w:val="1"/>
          <w:iCs w:val="1"/>
          <w:color w:val="auto"/>
        </w:rPr>
        <w:t>"Acquisition"</w:t>
      </w:r>
      <w:r>
        <w:rPr>
          <w:rFonts w:ascii="Arial" w:cs="Arial" w:eastAsia="Arial" w:hAnsi="Arial"/>
          <w:sz w:val="19"/>
          <w:szCs w:val="19"/>
          <w:color w:val="auto"/>
        </w:rPr>
        <w:t xml:space="preserve">. Any measurement adjustments, if applicable, to the redeemable noncontrolling interest are recognized as an adjustment to net earnings attributable to noncontrolling interest on the consolidated statement of operations. Net earnings attributable to redeemable noncontrolling interest is classified below net earnings. Earnings per share is determined after the impact of the redeemable noncontrolling interest's share in net earnings of the Company. Refer to Note 3, </w:t>
      </w:r>
      <w:r>
        <w:rPr>
          <w:rFonts w:ascii="Arial" w:cs="Arial" w:eastAsia="Arial" w:hAnsi="Arial"/>
          <w:sz w:val="19"/>
          <w:szCs w:val="19"/>
          <w:i w:val="1"/>
          <w:iCs w:val="1"/>
          <w:color w:val="auto"/>
        </w:rPr>
        <w:t>"Acquisition"</w:t>
      </w:r>
      <w:r>
        <w:rPr>
          <w:rFonts w:ascii="Arial" w:cs="Arial" w:eastAsia="Arial" w:hAnsi="Arial"/>
          <w:sz w:val="19"/>
          <w:szCs w:val="19"/>
          <w:color w:val="auto"/>
        </w:rPr>
        <w:t>, herein for further details related to the redeemable noncontrolling interest.</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u w:val="single" w:color="auto"/>
          <w:color w:val="auto"/>
        </w:rPr>
        <w:t>Derivative Financial Instruments</w:t>
      </w:r>
      <w:r>
        <w:rPr>
          <w:rFonts w:ascii="Arial" w:cs="Arial" w:eastAsia="Arial" w:hAnsi="Arial"/>
          <w:sz w:val="20"/>
          <w:szCs w:val="20"/>
          <w:color w:val="auto"/>
        </w:rPr>
        <w:t xml:space="preserve"> - As part of our risk management strategy, when considered appropriate, the Company uses derivative financial instruments including foreign currency forward contracts and interest rate swap agreements to hedge against certain foreign currency and interest rate exposures. The intent is to mitigate gains and losses caused by the underlying exposures with offsetting gains and losses on the derivative contracts. By policy, Bel does not enter into speculative positions with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2240" w:h="15840" w:orient="portrait"/>
          <w:cols w:equalWidth="0" w:num="1">
            <w:col w:w="10800"/>
          </w:cols>
          <w:pgMar w:left="720" w:top="555" w:right="720" w:bottom="0" w:gutter="0" w:footer="0" w:header="0"/>
        </w:sectPr>
      </w:pPr>
    </w:p>
    <w:bookmarkStart w:id="65" w:name="page66"/>
    <w:bookmarkEnd w:id="65"/>
    <w:p>
      <w:pPr>
        <w:jc w:val="both"/>
        <w:spacing w:after="0" w:line="281" w:lineRule="auto"/>
        <w:rPr>
          <w:sz w:val="20"/>
          <w:szCs w:val="20"/>
          <w:color w:val="auto"/>
        </w:rPr>
      </w:pPr>
      <w:r>
        <w:rPr>
          <w:rFonts w:ascii="Arial" w:cs="Arial" w:eastAsia="Arial" w:hAnsi="Arial"/>
          <w:sz w:val="18"/>
          <w:szCs w:val="18"/>
          <w:color w:val="auto"/>
        </w:rPr>
        <w:t xml:space="preserve">The Company records all derivatives as assets or liabilities on our consolidated balance sheets at their fair values. Gains and losses from the changes in values of these derivatives are accounted for based on the use of the derivative and whether it qualifies for hedge accounting. The Company's interest rate swaps and foreign currency forward contracts related to the Chinese renminbi (both further described in Note 13,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have been designated as cash flow hedges and as such, gains/losses are recorded in accumulated other comprehensive loss ("AOCL") until such time the hedged item affects earnings.</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counterparties to our derivative financial instruments consist of several major international financial institutions. We regularly monitor the financial strength of these institutions. While the counterparties to these contracts expose us to the potential risk of credit-related losses in the event of a counterparty’s non-performance, the risk would be limited to the unrealized gains on such affected contracts.</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xml:space="preserve"> - We account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 See Note 10, “</w:t>
      </w:r>
      <w:r>
        <w:rPr>
          <w:rFonts w:ascii="Arial" w:cs="Arial" w:eastAsia="Arial" w:hAnsi="Arial"/>
          <w:sz w:val="18"/>
          <w:szCs w:val="18"/>
          <w:i w:val="1"/>
          <w:iCs w:val="1"/>
          <w:color w:val="auto"/>
        </w:rPr>
        <w:t>Income Taxes</w:t>
      </w:r>
      <w:r>
        <w:rPr>
          <w:rFonts w:ascii="Arial" w:cs="Arial" w:eastAsia="Arial" w:hAnsi="Arial"/>
          <w:sz w:val="18"/>
          <w:szCs w:val="18"/>
          <w:color w:val="auto"/>
        </w:rPr>
        <w:t>”. We record net deferred tax assets to the extent we believe these assets will more-likely-than-not be realized. In making such determination, we consider all available positive and negative evidence, including future reversals of existing taxable temporary differences, projected future taxable income, tax planning strategies and recent financial operations. We have established valuation allowances for deferred tax assets that are not likely to be realized. In the event we were to determine that we would be able to realize our deferred income tax assets in the future in excess of our net recorded amount, we would adjust the valuation allowance, which would reduce the provision for income taxes. We establish liabilities for tax contingencies when, despite the belief that our tax return positions are fully supported, it is more likely than not that certain positions may be challenged and may not be fully sustained. The tax contingency liabilities are analyzed on a quarterly basis and adjusted based upon changes in facts and circumstances, such as the conclusion of federal and state audits, expiration of the statute of limitations for the assessment of tax, case law and emerging legislation. Our effective tax rate includes the effect of tax contingency liabilities and changes to the liabilities as considered appropriate by management.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u w:val="single" w:color="auto"/>
          <w:color w:val="auto"/>
        </w:rPr>
        <w:t>Earnings per Share</w:t>
      </w:r>
      <w:r>
        <w:rPr>
          <w:rFonts w:ascii="Arial" w:cs="Arial" w:eastAsia="Arial" w:hAnsi="Arial"/>
          <w:sz w:val="19"/>
          <w:szCs w:val="19"/>
          <w:color w:val="auto"/>
        </w:rPr>
        <w:t xml:space="preserve"> – We utilize the two-class method to report our earnings per share. The two-class method is an earnings allocation formula that determines earnings per share for each class of common stock according to dividends declared and participation rights in undistributed earnings. The Company's Restated Certificate of Incorporation, as amended, states that the Company's Class B common shares, par value $0.10 per share (the "Class B common stock," "Class B common shares" or "Class B shares"), are entitled to dividends at least 5% greater than dividends paid to Class A common shares, par value $0.10 per share (the "Class A common stock," "Class A common shares" or "Class A shares," and collectively with the Class B common stock, the "common stock" or the "common shares"), resulting in the two-class method of computing earnings per share. In computing earnings per share, the Company has allocated dividends declared to Class A and Class B shares based on amounts actually declared for each class of stock and 5% more of the undistributed earnings have been allocated to Class B shares than to the Class A shares on a per share basis. Basic earnings per common share are computed by dividing net earnings by the weighted-average number of common shares outstanding during the period. Diluted earnings per common share, for each class of common stock, are computed by dividing net earnings by the weighted-average number of common shares and potential common shares outstanding during the period. There were no potential common shares outstanding during the years ended December 31, 2025, 2024 or 2023 which would have had a dilutive effect on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2240" w:h="15840" w:orient="portrait"/>
          <w:cols w:equalWidth="0" w:num="1">
            <w:col w:w="10800"/>
          </w:cols>
          <w:pgMar w:left="720" w:top="555" w:right="720" w:bottom="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earnings and weighted average shares outstanding used in the computation of basic and diluted earnings per share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7"/>
          </w:tcPr>
          <w:p>
            <w:pPr>
              <w:ind w:left="960"/>
              <w:spacing w:after="0"/>
              <w:rPr>
                <w:sz w:val="20"/>
                <w:szCs w:val="20"/>
                <w:color w:val="auto"/>
              </w:rPr>
            </w:pPr>
            <w:r>
              <w:rPr>
                <w:rFonts w:ascii="Arial" w:cs="Arial" w:eastAsia="Arial" w:hAnsi="Arial"/>
                <w:sz w:val="20"/>
                <w:szCs w:val="20"/>
                <w:color w:val="auto"/>
                <w:w w:val="95"/>
              </w:rPr>
              <w:t>Years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860" w:type="dxa"/>
            <w:vAlign w:val="bottom"/>
            <w:vMerge w:val="restart"/>
          </w:tcPr>
          <w:p>
            <w:pPr>
              <w:spacing w:after="0"/>
              <w:rPr>
                <w:sz w:val="20"/>
                <w:szCs w:val="20"/>
                <w:color w:val="auto"/>
              </w:rPr>
            </w:pPr>
            <w:r>
              <w:rPr>
                <w:rFonts w:ascii="Arial" w:cs="Arial" w:eastAsia="Arial" w:hAnsi="Arial"/>
                <w:sz w:val="20"/>
                <w:szCs w:val="20"/>
                <w:color w:val="auto"/>
              </w:rPr>
              <w:t>Numerator:</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Net earnings attributable to Bel shareholders</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61,536</w:t>
            </w: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40,960</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73,831</w:t>
            </w: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Less dividends declared:</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720"/>
              <w:spacing w:after="0"/>
              <w:rPr>
                <w:sz w:val="20"/>
                <w:szCs w:val="20"/>
                <w:color w:val="auto"/>
              </w:rPr>
            </w:pPr>
            <w:r>
              <w:rPr>
                <w:rFonts w:ascii="Arial" w:cs="Arial" w:eastAsia="Arial" w:hAnsi="Arial"/>
                <w:sz w:val="20"/>
                <w:szCs w:val="20"/>
                <w:color w:val="auto"/>
              </w:rPr>
              <w:t>Class A</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508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512</w:t>
            </w:r>
          </w:p>
        </w:tc>
        <w:tc>
          <w:tcPr>
            <w:tcW w:w="0" w:type="dxa"/>
            <w:vAlign w:val="bottom"/>
          </w:tcPr>
          <w:p>
            <w:pPr>
              <w:spacing w:after="0"/>
              <w:rPr>
                <w:sz w:val="1"/>
                <w:szCs w:val="1"/>
                <w:color w:val="auto"/>
              </w:rPr>
            </w:pPr>
          </w:p>
        </w:tc>
      </w:tr>
      <w:tr>
        <w:trPr>
          <w:trHeight w:val="257"/>
        </w:trPr>
        <w:tc>
          <w:tcPr>
            <w:tcW w:w="4860" w:type="dxa"/>
            <w:vAlign w:val="bottom"/>
          </w:tcPr>
          <w:p>
            <w:pPr>
              <w:ind w:left="720"/>
              <w:spacing w:after="0"/>
              <w:rPr>
                <w:sz w:val="20"/>
                <w:szCs w:val="20"/>
                <w:color w:val="auto"/>
              </w:rPr>
            </w:pPr>
            <w:r>
              <w:rPr>
                <w:rFonts w:ascii="Arial" w:cs="Arial" w:eastAsia="Arial" w:hAnsi="Arial"/>
                <w:sz w:val="20"/>
                <w:szCs w:val="20"/>
                <w:color w:val="auto"/>
              </w:rPr>
              <w:t>Class B</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2,957</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2,931</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2,997</w:t>
            </w:r>
          </w:p>
        </w:tc>
        <w:tc>
          <w:tcPr>
            <w:tcW w:w="0" w:type="dxa"/>
            <w:vAlign w:val="bottom"/>
          </w:tcPr>
          <w:p>
            <w:pPr>
              <w:spacing w:after="0"/>
              <w:rPr>
                <w:sz w:val="1"/>
                <w:szCs w:val="1"/>
                <w:color w:val="auto"/>
              </w:rPr>
            </w:pPr>
          </w:p>
        </w:tc>
      </w:tr>
      <w:tr>
        <w:trPr>
          <w:trHeight w:val="231"/>
        </w:trPr>
        <w:tc>
          <w:tcPr>
            <w:tcW w:w="4860" w:type="dxa"/>
            <w:vAlign w:val="bottom"/>
          </w:tcPr>
          <w:p>
            <w:pPr>
              <w:ind w:left="540"/>
              <w:spacing w:after="0"/>
              <w:rPr>
                <w:sz w:val="20"/>
                <w:szCs w:val="20"/>
                <w:color w:val="auto"/>
              </w:rPr>
            </w:pPr>
            <w:r>
              <w:rPr>
                <w:rFonts w:ascii="Arial" w:cs="Arial" w:eastAsia="Arial" w:hAnsi="Arial"/>
                <w:sz w:val="20"/>
                <w:szCs w:val="20"/>
                <w:color w:val="auto"/>
              </w:rPr>
              <w:t>Undistributed earnings</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58,071</w:t>
            </w:r>
          </w:p>
        </w:tc>
        <w:tc>
          <w:tcPr>
            <w:tcW w:w="200" w:type="dxa"/>
            <w:vAlign w:val="bottom"/>
          </w:tcPr>
          <w:p>
            <w:pPr>
              <w:spacing w:after="0"/>
              <w:rPr>
                <w:sz w:val="20"/>
                <w:szCs w:val="20"/>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37,521</w:t>
            </w:r>
          </w:p>
        </w:tc>
        <w:tc>
          <w:tcPr>
            <w:tcW w:w="1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70,322</w:t>
            </w:r>
          </w:p>
        </w:tc>
        <w:tc>
          <w:tcPr>
            <w:tcW w:w="0" w:type="dxa"/>
            <w:vAlign w:val="bottom"/>
          </w:tcPr>
          <w:p>
            <w:pPr>
              <w:spacing w:after="0"/>
              <w:rPr>
                <w:sz w:val="1"/>
                <w:szCs w:val="1"/>
                <w:color w:val="auto"/>
              </w:rPr>
            </w:pPr>
          </w:p>
        </w:tc>
      </w:tr>
      <w:tr>
        <w:trPr>
          <w:trHeight w:val="454"/>
        </w:trPr>
        <w:tc>
          <w:tcPr>
            <w:tcW w:w="4860" w:type="dxa"/>
            <w:vAlign w:val="bottom"/>
          </w:tcPr>
          <w:p>
            <w:pPr>
              <w:ind w:left="540"/>
              <w:spacing w:after="0"/>
              <w:rPr>
                <w:sz w:val="20"/>
                <w:szCs w:val="20"/>
                <w:color w:val="auto"/>
              </w:rPr>
            </w:pPr>
            <w:r>
              <w:rPr>
                <w:rFonts w:ascii="Arial" w:cs="Arial" w:eastAsia="Arial" w:hAnsi="Arial"/>
                <w:sz w:val="20"/>
                <w:szCs w:val="20"/>
                <w:color w:val="auto"/>
              </w:rPr>
              <w:t>Undistributed earnings allocation: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720"/>
              <w:spacing w:after="0"/>
              <w:rPr>
                <w:sz w:val="20"/>
                <w:szCs w:val="20"/>
                <w:color w:val="auto"/>
              </w:rPr>
            </w:pPr>
            <w:r>
              <w:rPr>
                <w:rFonts w:ascii="Arial" w:cs="Arial" w:eastAsia="Arial" w:hAnsi="Arial"/>
                <w:sz w:val="20"/>
                <w:szCs w:val="20"/>
                <w:color w:val="auto"/>
              </w:rPr>
              <w:t>Class A undistributed earnings</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9,329</w:t>
            </w: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6,064</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11,318</w:t>
            </w:r>
          </w:p>
        </w:tc>
        <w:tc>
          <w:tcPr>
            <w:tcW w:w="0" w:type="dxa"/>
            <w:vAlign w:val="bottom"/>
          </w:tcPr>
          <w:p>
            <w:pPr>
              <w:spacing w:after="0"/>
              <w:rPr>
                <w:sz w:val="1"/>
                <w:szCs w:val="1"/>
                <w:color w:val="auto"/>
              </w:rPr>
            </w:pPr>
          </w:p>
        </w:tc>
      </w:tr>
      <w:tr>
        <w:trPr>
          <w:trHeight w:val="254"/>
        </w:trPr>
        <w:tc>
          <w:tcPr>
            <w:tcW w:w="4860" w:type="dxa"/>
            <w:vAlign w:val="bottom"/>
          </w:tcPr>
          <w:p>
            <w:pPr>
              <w:ind w:left="720"/>
              <w:spacing w:after="0"/>
              <w:rPr>
                <w:sz w:val="20"/>
                <w:szCs w:val="20"/>
                <w:color w:val="auto"/>
              </w:rPr>
            </w:pPr>
            <w:r>
              <w:rPr>
                <w:rFonts w:ascii="Arial" w:cs="Arial" w:eastAsia="Arial" w:hAnsi="Arial"/>
                <w:sz w:val="20"/>
                <w:szCs w:val="20"/>
                <w:color w:val="auto"/>
              </w:rPr>
              <w:t>Class B undistributed earnings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48,742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31,457</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59,004</w:t>
            </w:r>
          </w:p>
        </w:tc>
        <w:tc>
          <w:tcPr>
            <w:tcW w:w="0" w:type="dxa"/>
            <w:vAlign w:val="bottom"/>
          </w:tcPr>
          <w:p>
            <w:pPr>
              <w:spacing w:after="0"/>
              <w:rPr>
                <w:sz w:val="1"/>
                <w:szCs w:val="1"/>
                <w:color w:val="auto"/>
              </w:rPr>
            </w:pPr>
          </w:p>
        </w:tc>
      </w:tr>
      <w:tr>
        <w:trPr>
          <w:trHeight w:val="233"/>
        </w:trPr>
        <w:tc>
          <w:tcPr>
            <w:tcW w:w="4860" w:type="dxa"/>
            <w:vAlign w:val="bottom"/>
          </w:tcPr>
          <w:p>
            <w:pPr>
              <w:ind w:left="720"/>
              <w:spacing w:after="0"/>
              <w:rPr>
                <w:sz w:val="20"/>
                <w:szCs w:val="20"/>
                <w:color w:val="auto"/>
              </w:rPr>
            </w:pPr>
            <w:r>
              <w:rPr>
                <w:rFonts w:ascii="Arial" w:cs="Arial" w:eastAsia="Arial" w:hAnsi="Arial"/>
                <w:sz w:val="20"/>
                <w:szCs w:val="20"/>
                <w:color w:val="auto"/>
              </w:rPr>
              <w:t>Total undistributed earnings</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58,071</w:t>
            </w:r>
          </w:p>
        </w:tc>
        <w:tc>
          <w:tcPr>
            <w:tcW w:w="200" w:type="dxa"/>
            <w:vAlign w:val="bottom"/>
          </w:tcPr>
          <w:p>
            <w:pPr>
              <w:spacing w:after="0"/>
              <w:rPr>
                <w:sz w:val="20"/>
                <w:szCs w:val="20"/>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37,521</w:t>
            </w:r>
          </w:p>
        </w:tc>
        <w:tc>
          <w:tcPr>
            <w:tcW w:w="1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70,322</w:t>
            </w:r>
          </w:p>
        </w:tc>
        <w:tc>
          <w:tcPr>
            <w:tcW w:w="0" w:type="dxa"/>
            <w:vAlign w:val="bottom"/>
          </w:tcPr>
          <w:p>
            <w:pPr>
              <w:spacing w:after="0"/>
              <w:rPr>
                <w:sz w:val="1"/>
                <w:szCs w:val="1"/>
                <w:color w:val="auto"/>
              </w:rPr>
            </w:pPr>
          </w:p>
        </w:tc>
      </w:tr>
      <w:tr>
        <w:trPr>
          <w:trHeight w:val="454"/>
        </w:trPr>
        <w:tc>
          <w:tcPr>
            <w:tcW w:w="4860" w:type="dxa"/>
            <w:vAlign w:val="bottom"/>
          </w:tcPr>
          <w:p>
            <w:pPr>
              <w:ind w:left="540"/>
              <w:spacing w:after="0"/>
              <w:rPr>
                <w:sz w:val="20"/>
                <w:szCs w:val="20"/>
                <w:color w:val="auto"/>
              </w:rPr>
            </w:pPr>
            <w:r>
              <w:rPr>
                <w:rFonts w:ascii="Arial" w:cs="Arial" w:eastAsia="Arial" w:hAnsi="Arial"/>
                <w:sz w:val="20"/>
                <w:szCs w:val="20"/>
                <w:color w:val="auto"/>
              </w:rPr>
              <w:t>Net earnings allocation: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720"/>
              <w:spacing w:after="0"/>
              <w:rPr>
                <w:sz w:val="20"/>
                <w:szCs w:val="20"/>
                <w:color w:val="auto"/>
              </w:rPr>
            </w:pPr>
            <w:r>
              <w:rPr>
                <w:rFonts w:ascii="Arial" w:cs="Arial" w:eastAsia="Arial" w:hAnsi="Arial"/>
                <w:sz w:val="20"/>
                <w:szCs w:val="20"/>
                <w:color w:val="auto"/>
              </w:rPr>
              <w:t>Class A net earnings</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9,837</w:t>
            </w: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6,572</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11,830</w:t>
            </w:r>
          </w:p>
        </w:tc>
        <w:tc>
          <w:tcPr>
            <w:tcW w:w="0" w:type="dxa"/>
            <w:vAlign w:val="bottom"/>
          </w:tcPr>
          <w:p>
            <w:pPr>
              <w:spacing w:after="0"/>
              <w:rPr>
                <w:sz w:val="1"/>
                <w:szCs w:val="1"/>
                <w:color w:val="auto"/>
              </w:rPr>
            </w:pPr>
          </w:p>
        </w:tc>
      </w:tr>
      <w:tr>
        <w:trPr>
          <w:trHeight w:val="254"/>
        </w:trPr>
        <w:tc>
          <w:tcPr>
            <w:tcW w:w="4860" w:type="dxa"/>
            <w:vAlign w:val="bottom"/>
          </w:tcPr>
          <w:p>
            <w:pPr>
              <w:ind w:left="720"/>
              <w:spacing w:after="0"/>
              <w:rPr>
                <w:sz w:val="20"/>
                <w:szCs w:val="20"/>
                <w:color w:val="auto"/>
              </w:rPr>
            </w:pPr>
            <w:r>
              <w:rPr>
                <w:rFonts w:ascii="Arial" w:cs="Arial" w:eastAsia="Arial" w:hAnsi="Arial"/>
                <w:sz w:val="20"/>
                <w:szCs w:val="20"/>
                <w:color w:val="auto"/>
              </w:rPr>
              <w:t>Class B net earnings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51,699</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34,388</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62,001</w:t>
            </w:r>
          </w:p>
        </w:tc>
        <w:tc>
          <w:tcPr>
            <w:tcW w:w="0" w:type="dxa"/>
            <w:vAlign w:val="bottom"/>
          </w:tcPr>
          <w:p>
            <w:pPr>
              <w:spacing w:after="0"/>
              <w:rPr>
                <w:sz w:val="1"/>
                <w:szCs w:val="1"/>
                <w:color w:val="auto"/>
              </w:rPr>
            </w:pPr>
          </w:p>
        </w:tc>
      </w:tr>
      <w:tr>
        <w:trPr>
          <w:trHeight w:val="259"/>
        </w:trPr>
        <w:tc>
          <w:tcPr>
            <w:tcW w:w="4860" w:type="dxa"/>
            <w:vAlign w:val="bottom"/>
          </w:tcPr>
          <w:p>
            <w:pPr>
              <w:ind w:left="720"/>
              <w:spacing w:after="0"/>
              <w:rPr>
                <w:sz w:val="20"/>
                <w:szCs w:val="20"/>
                <w:color w:val="auto"/>
              </w:rPr>
            </w:pPr>
            <w:r>
              <w:rPr>
                <w:rFonts w:ascii="Arial" w:cs="Arial" w:eastAsia="Arial" w:hAnsi="Arial"/>
                <w:sz w:val="20"/>
                <w:szCs w:val="20"/>
                <w:color w:val="auto"/>
              </w:rPr>
              <w:t>Net earnings</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61,536</w:t>
            </w:r>
          </w:p>
        </w:tc>
        <w:tc>
          <w:tcPr>
            <w:tcW w:w="20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40,960</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73,831</w:t>
            </w:r>
          </w:p>
        </w:tc>
        <w:tc>
          <w:tcPr>
            <w:tcW w:w="0" w:type="dxa"/>
            <w:vAlign w:val="bottom"/>
          </w:tcPr>
          <w:p>
            <w:pPr>
              <w:spacing w:after="0"/>
              <w:rPr>
                <w:sz w:val="1"/>
                <w:szCs w:val="1"/>
                <w:color w:val="auto"/>
              </w:rPr>
            </w:pPr>
          </w:p>
        </w:tc>
      </w:tr>
      <w:tr>
        <w:trPr>
          <w:trHeight w:val="491"/>
        </w:trPr>
        <w:tc>
          <w:tcPr>
            <w:tcW w:w="4860" w:type="dxa"/>
            <w:vAlign w:val="bottom"/>
          </w:tcPr>
          <w:p>
            <w:pPr>
              <w:spacing w:after="0"/>
              <w:rPr>
                <w:sz w:val="20"/>
                <w:szCs w:val="20"/>
                <w:color w:val="auto"/>
              </w:rPr>
            </w:pPr>
            <w:r>
              <w:rPr>
                <w:rFonts w:ascii="Arial" w:cs="Arial" w:eastAsia="Arial" w:hAnsi="Arial"/>
                <w:sz w:val="20"/>
                <w:szCs w:val="20"/>
                <w:color w:val="auto"/>
              </w:rPr>
              <w:t>Denominator:</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Weighted average shares outstanding: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860" w:type="dxa"/>
            <w:vAlign w:val="bottom"/>
          </w:tcPr>
          <w:p>
            <w:pPr>
              <w:ind w:left="720"/>
              <w:spacing w:after="0"/>
              <w:rPr>
                <w:sz w:val="20"/>
                <w:szCs w:val="20"/>
                <w:color w:val="auto"/>
              </w:rPr>
            </w:pPr>
            <w:r>
              <w:rPr>
                <w:rFonts w:ascii="Arial" w:cs="Arial" w:eastAsia="Arial" w:hAnsi="Arial"/>
                <w:sz w:val="20"/>
                <w:szCs w:val="20"/>
                <w:color w:val="auto"/>
              </w:rPr>
              <w:t>Class A - Basic and Diluted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2,115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2,124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2,142</w:t>
            </w:r>
          </w:p>
        </w:tc>
        <w:tc>
          <w:tcPr>
            <w:tcW w:w="0" w:type="dxa"/>
            <w:vAlign w:val="bottom"/>
          </w:tcPr>
          <w:p>
            <w:pPr>
              <w:spacing w:after="0"/>
              <w:rPr>
                <w:sz w:val="1"/>
                <w:szCs w:val="1"/>
                <w:color w:val="auto"/>
              </w:rPr>
            </w:pPr>
          </w:p>
        </w:tc>
      </w:tr>
      <w:tr>
        <w:trPr>
          <w:trHeight w:val="296"/>
        </w:trPr>
        <w:tc>
          <w:tcPr>
            <w:tcW w:w="4860" w:type="dxa"/>
            <w:vAlign w:val="bottom"/>
          </w:tcPr>
          <w:p>
            <w:pPr>
              <w:ind w:left="720"/>
              <w:spacing w:after="0"/>
              <w:rPr>
                <w:sz w:val="20"/>
                <w:szCs w:val="20"/>
                <w:color w:val="auto"/>
              </w:rPr>
            </w:pPr>
            <w:r>
              <w:rPr>
                <w:rFonts w:ascii="Arial" w:cs="Arial" w:eastAsia="Arial" w:hAnsi="Arial"/>
                <w:sz w:val="20"/>
                <w:szCs w:val="20"/>
                <w:color w:val="auto"/>
              </w:rPr>
              <w:t>Class B - Basic</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10,525</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10,491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10,634</w:t>
            </w:r>
          </w:p>
        </w:tc>
        <w:tc>
          <w:tcPr>
            <w:tcW w:w="0" w:type="dxa"/>
            <w:vAlign w:val="bottom"/>
          </w:tcPr>
          <w:p>
            <w:pPr>
              <w:spacing w:after="0"/>
              <w:rPr>
                <w:sz w:val="1"/>
                <w:szCs w:val="1"/>
                <w:color w:val="auto"/>
              </w:rPr>
            </w:pPr>
          </w:p>
        </w:tc>
      </w:tr>
      <w:tr>
        <w:trPr>
          <w:trHeight w:val="296"/>
        </w:trPr>
        <w:tc>
          <w:tcPr>
            <w:tcW w:w="4860" w:type="dxa"/>
            <w:vAlign w:val="bottom"/>
          </w:tcPr>
          <w:p>
            <w:pPr>
              <w:ind w:left="720"/>
              <w:spacing w:after="0"/>
              <w:rPr>
                <w:sz w:val="20"/>
                <w:szCs w:val="20"/>
                <w:color w:val="auto"/>
              </w:rPr>
            </w:pPr>
            <w:r>
              <w:rPr>
                <w:rFonts w:ascii="Arial" w:cs="Arial" w:eastAsia="Arial" w:hAnsi="Arial"/>
                <w:sz w:val="20"/>
                <w:szCs w:val="20"/>
                <w:color w:val="auto"/>
              </w:rPr>
              <w:t>Class B - Diluted</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10,546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10,491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10,634</w:t>
            </w:r>
          </w:p>
        </w:tc>
        <w:tc>
          <w:tcPr>
            <w:tcW w:w="0" w:type="dxa"/>
            <w:vAlign w:val="bottom"/>
          </w:tcPr>
          <w:p>
            <w:pPr>
              <w:spacing w:after="0"/>
              <w:rPr>
                <w:sz w:val="1"/>
                <w:szCs w:val="1"/>
                <w:color w:val="auto"/>
              </w:rPr>
            </w:pPr>
          </w:p>
        </w:tc>
      </w:tr>
      <w:tr>
        <w:trPr>
          <w:trHeight w:val="498"/>
        </w:trPr>
        <w:tc>
          <w:tcPr>
            <w:tcW w:w="4860" w:type="dxa"/>
            <w:vAlign w:val="bottom"/>
          </w:tcPr>
          <w:p>
            <w:pPr>
              <w:ind w:left="540"/>
              <w:spacing w:after="0"/>
              <w:rPr>
                <w:sz w:val="20"/>
                <w:szCs w:val="20"/>
                <w:color w:val="auto"/>
              </w:rPr>
            </w:pPr>
            <w:r>
              <w:rPr>
                <w:rFonts w:ascii="Arial" w:cs="Arial" w:eastAsia="Arial" w:hAnsi="Arial"/>
                <w:sz w:val="20"/>
                <w:szCs w:val="20"/>
                <w:color w:val="auto"/>
              </w:rPr>
              <w:t>Net earnings per share attributable to Bel</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shareholders: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860" w:type="dxa"/>
            <w:vAlign w:val="bottom"/>
          </w:tcPr>
          <w:p>
            <w:pPr>
              <w:ind w:left="720"/>
              <w:spacing w:after="0"/>
              <w:rPr>
                <w:sz w:val="20"/>
                <w:szCs w:val="20"/>
                <w:color w:val="auto"/>
              </w:rPr>
            </w:pPr>
            <w:r>
              <w:rPr>
                <w:rFonts w:ascii="Arial" w:cs="Arial" w:eastAsia="Arial" w:hAnsi="Arial"/>
                <w:sz w:val="20"/>
                <w:szCs w:val="20"/>
                <w:color w:val="auto"/>
              </w:rPr>
              <w:t>Class A - Basic and Diluted</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4.65</w:t>
            </w: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3.10</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5.52</w:t>
            </w:r>
          </w:p>
        </w:tc>
        <w:tc>
          <w:tcPr>
            <w:tcW w:w="0" w:type="dxa"/>
            <w:vAlign w:val="bottom"/>
          </w:tcPr>
          <w:p>
            <w:pPr>
              <w:spacing w:after="0"/>
              <w:rPr>
                <w:sz w:val="1"/>
                <w:szCs w:val="1"/>
                <w:color w:val="auto"/>
              </w:rPr>
            </w:pPr>
          </w:p>
        </w:tc>
      </w:tr>
      <w:tr>
        <w:trPr>
          <w:trHeight w:val="296"/>
        </w:trPr>
        <w:tc>
          <w:tcPr>
            <w:tcW w:w="4860" w:type="dxa"/>
            <w:vAlign w:val="bottom"/>
          </w:tcPr>
          <w:p>
            <w:pPr>
              <w:ind w:left="720"/>
              <w:spacing w:after="0"/>
              <w:rPr>
                <w:sz w:val="20"/>
                <w:szCs w:val="20"/>
                <w:color w:val="auto"/>
              </w:rPr>
            </w:pPr>
            <w:r>
              <w:rPr>
                <w:rFonts w:ascii="Arial" w:cs="Arial" w:eastAsia="Arial" w:hAnsi="Arial"/>
                <w:sz w:val="20"/>
                <w:szCs w:val="20"/>
                <w:color w:val="auto"/>
              </w:rPr>
              <w:t>Class B - Basic</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4.91</w:t>
            </w: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3.28</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5.83</w:t>
            </w:r>
          </w:p>
        </w:tc>
        <w:tc>
          <w:tcPr>
            <w:tcW w:w="0" w:type="dxa"/>
            <w:vAlign w:val="bottom"/>
          </w:tcPr>
          <w:p>
            <w:pPr>
              <w:spacing w:after="0"/>
              <w:rPr>
                <w:sz w:val="1"/>
                <w:szCs w:val="1"/>
                <w:color w:val="auto"/>
              </w:rPr>
            </w:pPr>
          </w:p>
        </w:tc>
      </w:tr>
      <w:tr>
        <w:trPr>
          <w:trHeight w:val="298"/>
        </w:trPr>
        <w:tc>
          <w:tcPr>
            <w:tcW w:w="4860" w:type="dxa"/>
            <w:vAlign w:val="bottom"/>
          </w:tcPr>
          <w:p>
            <w:pPr>
              <w:ind w:left="720"/>
              <w:spacing w:after="0"/>
              <w:rPr>
                <w:sz w:val="20"/>
                <w:szCs w:val="20"/>
                <w:color w:val="auto"/>
              </w:rPr>
            </w:pPr>
            <w:r>
              <w:rPr>
                <w:rFonts w:ascii="Arial" w:cs="Arial" w:eastAsia="Arial" w:hAnsi="Arial"/>
                <w:sz w:val="20"/>
                <w:szCs w:val="20"/>
                <w:color w:val="auto"/>
              </w:rPr>
              <w:t>Class B - Diluted</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4.90</w:t>
            </w: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3.28</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-2051685</wp:posOffset>
            </wp:positionV>
            <wp:extent cx="3061335" cy="52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61335" cy="5270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-1408430</wp:posOffset>
            </wp:positionV>
            <wp:extent cx="3061335" cy="52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61335" cy="5270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-1220470</wp:posOffset>
            </wp:positionV>
            <wp:extent cx="3061335" cy="52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61335" cy="5270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-1032510</wp:posOffset>
            </wp:positionV>
            <wp:extent cx="3061335" cy="52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61335" cy="5270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-397510</wp:posOffset>
            </wp:positionV>
            <wp:extent cx="3061335" cy="52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61335" cy="5270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-208915</wp:posOffset>
            </wp:positionV>
            <wp:extent cx="3070225" cy="2406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70225" cy="240665"/>
                    </a:xfrm>
                    <a:prstGeom prst="rect">
                      <a:avLst/>
                    </a:prstGeom>
                    <a:noFill/>
                  </pic:spPr>
                </pic:pic>
              </a:graphicData>
            </a:graphic>
          </wp:anchor>
        </w:drawing>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Research and Development ("R&amp;D")</w:t>
      </w:r>
      <w:r>
        <w:rPr>
          <w:rFonts w:ascii="Arial" w:cs="Arial" w:eastAsia="Arial" w:hAnsi="Arial"/>
          <w:sz w:val="20"/>
          <w:szCs w:val="20"/>
          <w:color w:val="auto"/>
        </w:rPr>
        <w:t xml:space="preserve"> - Our engineering groups are strategically located around the world to facilitate communication with and access to customers' engineering personnel. This collaborative approach enables partnerships with customers for technical development efforts. On occasion, we execute non-disclosure agreements with our customers to help develop proprietary, next generation products destined for rapid deployment. R&amp;D costs are expensed as incurred, and are shown as a separate line within operating expenses on the consolidated statements of operations. Generally, R&amp;D is performed internally for the benefit of the Company. R&amp;D costs include salaries, building maintenance and utilities, rents, materials, administration costs and miscellaneous other items. R&amp;D expenses for the years ended December 31, 2025, 2024 and 2023 amounted to $30.9 million, $23.6 million and $22.5 million, respectively.</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Fair Value Measurements</w:t>
      </w:r>
      <w:r>
        <w:rPr>
          <w:rFonts w:ascii="Arial" w:cs="Arial" w:eastAsia="Arial" w:hAnsi="Arial"/>
          <w:sz w:val="18"/>
          <w:szCs w:val="18"/>
          <w:color w:val="auto"/>
        </w:rPr>
        <w:t xml:space="preserve"> - We utilize the accounting guidance for fair value measurements and disclosures for all financial assets and liabilities and nonfinancial assets and liabilities that are recognized or disclosed at fair value in the consolidated financial statements on a recurring basis or on a nonrecurring basis during the reporting period. The fair value is an exit price, representing the price that would be received to sell an asset or paid to transfer a liability in an orderly transaction between market participants based upon the best use of the asset or liability at the measurement date. The Company utilizes market data or assumptions that market participants would use in pricing the asset or liability. We classify our fair value measurements based on the lowest level of input included in the established three-tier fair value hierarchy, which prioritizes the inputs used in measuring fair value. These tiers are defined as follows:</w:t>
      </w:r>
    </w:p>
    <w:p>
      <w:pPr>
        <w:spacing w:after="0" w:line="15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 Observable inputs such as quoted market prices in active markets</w:t>
      </w:r>
    </w:p>
    <w:p>
      <w:pPr>
        <w:spacing w:after="0" w:line="22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 Inputs other than quoted prices in active markets that are either directly or indirectly observable</w:t>
      </w:r>
    </w:p>
    <w:p>
      <w:pPr>
        <w:spacing w:after="0" w:line="226" w:lineRule="exact"/>
        <w:rPr>
          <w:sz w:val="20"/>
          <w:szCs w:val="20"/>
          <w:color w:val="auto"/>
        </w:rPr>
      </w:pPr>
    </w:p>
    <w:p>
      <w:pPr>
        <w:ind w:left="720" w:right="380"/>
        <w:spacing w:after="0" w:line="279" w:lineRule="auto"/>
        <w:rPr>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 Unobservable inputs about which little or no market data exists, therefore requiring an entity to develop its own</w:t>
      </w:r>
      <w:r>
        <w:rPr>
          <w:rFonts w:ascii="Arial" w:cs="Arial" w:eastAsia="Arial" w:hAnsi="Arial"/>
          <w:sz w:val="20"/>
          <w:szCs w:val="20"/>
          <w:b w:val="1"/>
          <w:bCs w:val="1"/>
          <w:color w:val="auto"/>
        </w:rPr>
        <w:t xml:space="preserve"> </w:t>
      </w:r>
      <w:r>
        <w:rPr>
          <w:rFonts w:ascii="Arial" w:cs="Arial" w:eastAsia="Arial" w:hAnsi="Arial"/>
          <w:sz w:val="20"/>
          <w:szCs w:val="20"/>
          <w:color w:val="auto"/>
        </w:rPr>
        <w:t>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2240" w:h="15840" w:orient="portrait"/>
          <w:cols w:equalWidth="0" w:num="1">
            <w:col w:w="10800"/>
          </w:cols>
          <w:pgMar w:left="720" w:top="555" w:right="720" w:bottom="0" w:gutter="0" w:footer="0" w:header="0"/>
        </w:sectPr>
      </w:pPr>
    </w:p>
    <w:bookmarkStart w:id="67" w:name="page68"/>
    <w:bookmarkEnd w:id="67"/>
    <w:p>
      <w:pPr>
        <w:ind w:right="20" w:firstLine="50"/>
        <w:spacing w:after="0" w:line="255" w:lineRule="auto"/>
        <w:rPr>
          <w:sz w:val="20"/>
          <w:szCs w:val="20"/>
          <w:color w:val="auto"/>
        </w:rPr>
      </w:pPr>
      <w:r>
        <w:rPr>
          <w:rFonts w:ascii="Arial" w:cs="Arial" w:eastAsia="Arial" w:hAnsi="Arial"/>
          <w:sz w:val="20"/>
          <w:szCs w:val="20"/>
          <w:color w:val="auto"/>
        </w:rPr>
        <w:t xml:space="preserve">For financial instruments such as cash and cash equivalents, accounts receivable, accounts payable and accrued expenses, the carrying amount approximates fair value because of the short maturities of such instruments. See Note 6, </w:t>
      </w:r>
      <w:r>
        <w:rPr>
          <w:rFonts w:ascii="Arial" w:cs="Arial" w:eastAsia="Arial" w:hAnsi="Arial"/>
          <w:sz w:val="20"/>
          <w:szCs w:val="20"/>
          <w:i w:val="1"/>
          <w:iCs w:val="1"/>
          <w:color w:val="auto"/>
        </w:rPr>
        <w:t>"Fair Value Measurements,"</w:t>
      </w:r>
      <w:r>
        <w:rPr>
          <w:rFonts w:ascii="Arial" w:cs="Arial" w:eastAsia="Arial" w:hAnsi="Arial"/>
          <w:sz w:val="20"/>
          <w:szCs w:val="20"/>
          <w:color w:val="auto"/>
        </w:rPr>
        <w:t xml:space="preserve"> for additional disclosures related to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In December 2023, the Financial Accounting Standards Board ("FASB") issued Accounting Standard Update ("ASU") 2023-09, </w:t>
      </w:r>
      <w:r>
        <w:rPr>
          <w:rFonts w:ascii="Arial" w:cs="Arial" w:eastAsia="Arial" w:hAnsi="Arial"/>
          <w:sz w:val="19"/>
          <w:szCs w:val="19"/>
          <w:i w:val="1"/>
          <w:iCs w:val="1"/>
          <w:color w:val="auto"/>
        </w:rPr>
        <w:t>Income Taxes (Topic 740): Improvements to Income Tax Disclosures</w:t>
      </w:r>
      <w:r>
        <w:rPr>
          <w:rFonts w:ascii="Arial" w:cs="Arial" w:eastAsia="Arial" w:hAnsi="Arial"/>
          <w:sz w:val="19"/>
          <w:szCs w:val="19"/>
          <w:color w:val="auto"/>
        </w:rPr>
        <w:t>, which focuses on the rate reconciliation and income taxes paid.</w:t>
      </w:r>
      <w:r>
        <w:rPr>
          <w:rFonts w:ascii="Arial" w:cs="Arial" w:eastAsia="Arial" w:hAnsi="Arial"/>
          <w:sz w:val="19"/>
          <w:szCs w:val="19"/>
          <w:i w:val="1"/>
          <w:iCs w:val="1"/>
          <w:color w:val="auto"/>
        </w:rPr>
        <w:t xml:space="preserve"> </w:t>
      </w:r>
      <w:r>
        <w:rPr>
          <w:rFonts w:ascii="Arial" w:cs="Arial" w:eastAsia="Arial" w:hAnsi="Arial"/>
          <w:sz w:val="19"/>
          <w:szCs w:val="19"/>
          <w:color w:val="auto"/>
        </w:rPr>
        <w:t>ASU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The Company adopted this ASU on a retrospective basis from 2023. Refer to Note 10, "</w:t>
      </w:r>
      <w:r>
        <w:rPr>
          <w:rFonts w:ascii="Arial" w:cs="Arial" w:eastAsia="Arial" w:hAnsi="Arial"/>
          <w:sz w:val="19"/>
          <w:szCs w:val="19"/>
          <w:i w:val="1"/>
          <w:iCs w:val="1"/>
          <w:color w:val="auto"/>
        </w:rPr>
        <w:t>Income Taxes"</w:t>
      </w:r>
      <w:r>
        <w:rPr>
          <w:rFonts w:ascii="Arial" w:cs="Arial" w:eastAsia="Arial" w:hAnsi="Arial"/>
          <w:sz w:val="19"/>
          <w:szCs w:val="19"/>
          <w:color w:val="auto"/>
        </w:rPr>
        <w:t>, for the inclusion of new disclosures required.</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November 2023, the FASB issued ASU 2023-07, </w:t>
      </w:r>
      <w:r>
        <w:rPr>
          <w:rFonts w:ascii="Arial" w:cs="Arial" w:eastAsia="Arial" w:hAnsi="Arial"/>
          <w:sz w:val="19"/>
          <w:szCs w:val="19"/>
          <w:i w:val="1"/>
          <w:iCs w:val="1"/>
          <w:color w:val="auto"/>
        </w:rPr>
        <w:t>Segment Reporting (Topic 280): Improvements to Reportable Segment</w:t>
      </w:r>
      <w:r>
        <w:rPr>
          <w:rFonts w:ascii="Arial" w:cs="Arial" w:eastAsia="Arial" w:hAnsi="Arial"/>
          <w:sz w:val="19"/>
          <w:szCs w:val="19"/>
          <w:color w:val="auto"/>
        </w:rPr>
        <w:t xml:space="preserve"> </w:t>
      </w:r>
      <w:r>
        <w:rPr>
          <w:rFonts w:ascii="Arial" w:cs="Arial" w:eastAsia="Arial" w:hAnsi="Arial"/>
          <w:sz w:val="19"/>
          <w:szCs w:val="19"/>
          <w:i w:val="1"/>
          <w:iCs w:val="1"/>
          <w:color w:val="auto"/>
        </w:rPr>
        <w:t>Disclosures</w:t>
      </w:r>
      <w:r>
        <w:rPr>
          <w:rFonts w:ascii="Arial" w:cs="Arial" w:eastAsia="Arial" w:hAnsi="Arial"/>
          <w:sz w:val="19"/>
          <w:szCs w:val="19"/>
          <w:color w:val="auto"/>
        </w:rPr>
        <w:t>, which requires a public entity to disclose significant segment expenses and other segment items on an annual and interim</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basis and provide in interim periods all disclosures about a reportable segment’s profit or loss and assets that prior to adoption of this guidance had been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In the fourth quarter of 2024, the Company adopted this guidance and applied the amendments retrospectively to all prior periods presented in the accompanying financial statements. This adoption only impacted our disclosures and did not have any impact to our results of operations, cash flows and financial condition. See Note 14, </w:t>
      </w:r>
      <w:r>
        <w:rPr>
          <w:rFonts w:ascii="Arial" w:cs="Arial" w:eastAsia="Arial" w:hAnsi="Arial"/>
          <w:sz w:val="19"/>
          <w:szCs w:val="19"/>
          <w:i w:val="1"/>
          <w:iCs w:val="1"/>
          <w:color w:val="auto"/>
        </w:rPr>
        <w:t>"Segments"</w:t>
      </w:r>
      <w:r>
        <w:rPr>
          <w:rFonts w:ascii="Arial" w:cs="Arial" w:eastAsia="Arial" w:hAnsi="Arial"/>
          <w:sz w:val="19"/>
          <w:szCs w:val="19"/>
          <w:color w:val="auto"/>
        </w:rPr>
        <w:t>, for applicable reportable segment disclosures required by this guidance.</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ASU 2020-04 provides temporary optional guidance on contract modifications and hedge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ease the financial reporting burdens of the market transition from the London Interbank Offered Rate (“LIBOR”) to alternative reference rates. In January 2021, the FASB issued ASU 2021-01, which refined the scope of Topic 848 and clarified some of its guidance as part of the FASB’s monitoring of global reference rate activities. This updated guidance was effective upon issuance, and the Company was initially allowed to elect to apply the amendments prospectively through December 31, 2022. In December 2022, the FASB issued ASU 2022-06, </w:t>
      </w:r>
      <w:r>
        <w:rPr>
          <w:rFonts w:ascii="Arial" w:cs="Arial" w:eastAsia="Arial" w:hAnsi="Arial"/>
          <w:sz w:val="18"/>
          <w:szCs w:val="18"/>
          <w:i w:val="1"/>
          <w:iCs w:val="1"/>
          <w:color w:val="auto"/>
        </w:rPr>
        <w:t>Reference Rate Reform (Topic 848), Deferral of the Sunset Date of Topic 848</w:t>
      </w:r>
      <w:r>
        <w:rPr>
          <w:rFonts w:ascii="Arial" w:cs="Arial" w:eastAsia="Arial" w:hAnsi="Arial"/>
          <w:sz w:val="18"/>
          <w:szCs w:val="18"/>
          <w:color w:val="auto"/>
        </w:rPr>
        <w:t>, which extended the date by which companies could elect to apply the amendments to December 31, 2024. During January 2023, the Company amended its credit agreement and related interest rate swap agreements to transition the reference rate from LIBOR to a Secured Overnight Financing Rate ("SOFR") effective January 31, 2023. In connection with these amendments, the Company adopted ASU 2020-04 in the first quarter of 2023 and elected to apply the relevant practical expedients within the guidance. The adoption of this guidance did not have a material impact on the Company's consolidated financial statements.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In June 2016, the FASB issued ASU 2016-13, </w:t>
      </w:r>
      <w:r>
        <w:rPr>
          <w:rFonts w:ascii="Arial" w:cs="Arial" w:eastAsia="Arial" w:hAnsi="Arial"/>
          <w:sz w:val="19"/>
          <w:szCs w:val="19"/>
          <w:i w:val="1"/>
          <w:iCs w:val="1"/>
          <w:color w:val="auto"/>
        </w:rPr>
        <w:t>Financial Instruments Credit Losses (Topic 326): Measurement of Credit Losses on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Financial Instruments, </w:t>
      </w:r>
      <w:r>
        <w:rPr>
          <w:rFonts w:ascii="Arial" w:cs="Arial" w:eastAsia="Arial" w:hAnsi="Arial"/>
          <w:sz w:val="19"/>
          <w:szCs w:val="19"/>
          <w:color w:val="auto"/>
        </w:rPr>
        <w:t>as amended. The new guidance broadens the information that an entity must consider in developing its</w:t>
      </w:r>
      <w:r>
        <w:rPr>
          <w:rFonts w:ascii="Arial" w:cs="Arial" w:eastAsia="Arial" w:hAnsi="Arial"/>
          <w:sz w:val="19"/>
          <w:szCs w:val="19"/>
          <w:i w:val="1"/>
          <w:iCs w:val="1"/>
          <w:color w:val="auto"/>
        </w:rPr>
        <w:t xml:space="preserve"> </w:t>
      </w:r>
      <w:r>
        <w:rPr>
          <w:rFonts w:ascii="Arial" w:cs="Arial" w:eastAsia="Arial" w:hAnsi="Arial"/>
          <w:sz w:val="19"/>
          <w:szCs w:val="19"/>
          <w:color w:val="auto"/>
        </w:rPr>
        <w:t>expected credit loss estimates related to its financial instruments and adds to U.S. GAAP an impairment model that is based on expected losses rather than incurred losses. On January 1, 2023, the Company adopted ASU 2016-13. The adoption of this standard did not have a material impact on the Company's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Standards Issued But Not Yet Adopted</w:t>
      </w:r>
    </w:p>
    <w:p>
      <w:pPr>
        <w:spacing w:after="0" w:line="23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220- 40): Disaggregation of Income Statement Expenses</w:t>
      </w:r>
      <w:r>
        <w:rPr>
          <w:rFonts w:ascii="Arial" w:cs="Arial" w:eastAsia="Arial" w:hAnsi="Arial"/>
          <w:sz w:val="18"/>
          <w:szCs w:val="18"/>
          <w:color w:val="auto"/>
        </w:rPr>
        <w:t>, which is intended to improve disclosures about a</w:t>
      </w:r>
      <w:r>
        <w:rPr>
          <w:rFonts w:ascii="Arial" w:cs="Arial" w:eastAsia="Arial" w:hAnsi="Arial"/>
          <w:sz w:val="18"/>
          <w:szCs w:val="18"/>
          <w:i w:val="1"/>
          <w:iCs w:val="1"/>
          <w:color w:val="auto"/>
        </w:rPr>
        <w:t xml:space="preserve"> </w:t>
      </w:r>
      <w:r>
        <w:rPr>
          <w:rFonts w:ascii="Arial" w:cs="Arial" w:eastAsia="Arial" w:hAnsi="Arial"/>
          <w:sz w:val="18"/>
          <w:szCs w:val="18"/>
          <w:color w:val="auto"/>
        </w:rPr>
        <w:t>PBE's expenses and address requests from investors for more detailed information about the types of expenses in commonly presented expense captions. Such information is intended to allow investors to better understand an entity's performance, assess future cash flows, and compare performance over time and with other entities. The amendments will require PBEs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2240" w:h="15840" w:orient="portrait"/>
          <w:cols w:equalWidth="0" w:num="1">
            <w:col w:w="10800"/>
          </w:cols>
          <w:pgMar w:left="720" w:top="785" w:right="720" w:bottom="0" w:gutter="0" w:footer="0" w:header="0"/>
        </w:sectPr>
      </w:pPr>
    </w:p>
    <w:bookmarkStart w:id="68" w:name="page69"/>
    <w:bookmarkEnd w:id="68"/>
    <w:p>
      <w:pPr>
        <w:ind w:left="420" w:hanging="420"/>
        <w:spacing w:after="0"/>
        <w:tabs>
          <w:tab w:leader="none" w:pos="4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INVESTMENT AND IMPAIRMENT IN INNOLECTRIC</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On February 1, 2023, the Company closed on a noncontrolling (one-third) investment in Germany-based innolectric AG (“innolectric”) for consideration of €8.0 million (approximately $ 8.8 million as of the February 2023 closing). Transaction costs associated with the Company's investment in innolectric amounted to $1.3 million and these costs had been recorded as part of the carrying value of the investment. Under the terms of the investment agreement, if innolectric achieved certain EBITDA thresholds within a specified timeframe, the Company would be committed to acquiring the remaining shares of innolectric at that time. The accompanying consolidated balance sheet as of December 31, 2024 reflects the fair value as of the February 2023 closing of the initial one- third equity method investment, inclusive of transaction costs, of $11.0 million, and a separate liability of $1.0 million associated with the net fair value of the put and call options related to the remaining shares pursuant to the agreement in the event certain profitability thresholds were met.</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passive investment was intended to create a strategic alliance focused on Electric Vehicles (“EV”) on -board power electronics, and in particular next generation fast-charging technology. Our investment in innolectric was accounted for using the equity method and we had determined that the innolectric investment was not a variable interest entity (VIE). Results from this investment have been included in Bel's Power Solution and Protection segment within other income (expense), net and amounted to losses of $0.4 million and $ 0.6 million during the years ended December 31, 2025 and 2024, respectively. The Company adopted a policy to record its share of innolectric's results on a one-month lag on a consistent basis to allow time for innolectric to provide its financial statements to Bel.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Related Party Transactions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the Company provided cash loans to innolectric to fund working capital needs and further business development. At December 31, 2024, the Company had related party loans to innolectric in the aggregate amount of €2.8 million (approximately $2.9 million at the December 31, 2024 exchange rate). These loans bore interest at a rate of 5% per annum. These balances are shown as a related-party note receivable on the accompanying consolidated balance sheet at December 31, 2024.</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Impairment and Write-off of Investment</w:t>
      </w:r>
    </w:p>
    <w:p>
      <w:pPr>
        <w:spacing w:after="0" w:line="22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On November 26, 2025, Bel's management concluded that an other-than-temporary impairment charge was required in connection with the Company’s noncontrolling minority investment in innolectric and related party notes receivable. This determination was made based upon indicators of impairment including the majority owner’s cessation of financial support of innolectric, which resulted in the commencement of insolvency proceedings against innolectric’s assets in the fourth quarter of 2025, together with other indicators of impairment including recent financial performance, changes in market conditions, and other relevant factors affecting innolectric’s business.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assessed the carrying value of its investment and related party loans and determined that the decline in value was other than temporary. Indicators supporting this conclusion included significant adverse changes in innolectric’s business and financial condition, prolonged losses, and the cessation of financial support from the majority owner. As a result, Bel recorded a pre-tax impairment charge of approximately $13.1 million in the fourth quarter of 2025, consisting of:</w:t>
      </w:r>
    </w:p>
    <w:p>
      <w:pPr>
        <w:spacing w:after="0" w:line="191" w:lineRule="exact"/>
        <w:rPr>
          <w:sz w:val="20"/>
          <w:szCs w:val="20"/>
          <w:color w:val="auto"/>
        </w:rPr>
      </w:pPr>
    </w:p>
    <w:p>
      <w:pPr>
        <w:ind w:left="1160" w:hanging="356"/>
        <w:spacing w:after="0"/>
        <w:tabs>
          <w:tab w:leader="none" w:pos="11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Full impairment of the equity investment ($9.9 million)</w:t>
      </w:r>
    </w:p>
    <w:p>
      <w:pPr>
        <w:spacing w:after="0" w:line="34" w:lineRule="exact"/>
        <w:rPr>
          <w:rFonts w:ascii="Arial" w:cs="Arial" w:eastAsia="Arial" w:hAnsi="Arial"/>
          <w:sz w:val="20"/>
          <w:szCs w:val="20"/>
          <w:color w:val="auto"/>
        </w:rPr>
      </w:pPr>
    </w:p>
    <w:p>
      <w:pPr>
        <w:ind w:left="1160" w:hanging="356"/>
        <w:spacing w:after="0"/>
        <w:tabs>
          <w:tab w:leader="none" w:pos="11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Full impairment of related party loans ($4.3 million)</w:t>
      </w:r>
    </w:p>
    <w:p>
      <w:pPr>
        <w:spacing w:after="0" w:line="8" w:lineRule="exact"/>
        <w:rPr>
          <w:rFonts w:ascii="Arial" w:cs="Arial" w:eastAsia="Arial" w:hAnsi="Arial"/>
          <w:sz w:val="20"/>
          <w:szCs w:val="20"/>
          <w:color w:val="auto"/>
        </w:rPr>
      </w:pPr>
    </w:p>
    <w:p>
      <w:pPr>
        <w:ind w:left="1160" w:hanging="356"/>
        <w:spacing w:after="0"/>
        <w:tabs>
          <w:tab w:leader="none" w:pos="11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Derecognition of the call option liability ($1.1 million gain)</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impairment charge reflects the expectation that recovery of any material value from the investment or related loans is remote, given the priority of secured creditors and Bel’s minority position in the insolvency proceedings. The call option liability was derecognized as the option is no longer exercisable or has no value due to innolectric’s financial collapse. As of December 31, 2025, there is no value on the consolidated balance sheet related to the equity method investment, related party note receivable or call option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2240" w:h="15840" w:orient="portrait"/>
          <w:cols w:equalWidth="0" w:num="1">
            <w:col w:w="10800"/>
          </w:cols>
          <w:pgMar w:left="720" w:top="560" w:right="720" w:bottom="0" w:gutter="0" w:footer="0" w:header="0"/>
        </w:sectPr>
      </w:pPr>
    </w:p>
    <w:bookmarkStart w:id="69" w:name="page70"/>
    <w:bookmarkEnd w:id="69"/>
    <w:p>
      <w:pPr>
        <w:spacing w:after="0"/>
        <w:tabs>
          <w:tab w:leader="none" w:pos="30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9"/>
          <w:szCs w:val="19"/>
          <w:color w:val="auto"/>
        </w:rPr>
        <w:t>ACQUISITION</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Acquisition of Enercon</w:t>
      </w: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November 14, 2024, the Company closed on its acquisition of its majority 80% stake in Enercon Technologies, Ltd. (“Enercon”), pursuant to the terms of the Share Purchase Agreement, dated as of September 19, 2024 (the “Purchase Agreement”), by and among the Company, Enercon, and FF3 Holdings, L.P., for itself and as Sellers’ Representative (“FF3”), and each of the other seller parties signatory thereto (collectively with FF3, the “Sellers”). Enercon is a leading supplier of highly customized power conversion and networking solutions to aerospace and defense markets globally, providing robust and reliable solutions across air, land and sea applications. Enercon is based in Netanya, Israel with additional facilities in New Hampshire, U.S. and Haryana, India.</w:t>
      </w:r>
    </w:p>
    <w:p>
      <w:pPr>
        <w:spacing w:after="0" w:line="15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Under the terms of the Purchase Agreement, on the November 14, 2024 closing date (and deemed effective solely for accounting purposes as of November 1, 2024), Bel acquired from the Sellers 80% of the issued and outstanding share capital of Enercon on a fully-diluted basis for (i) a cash purchase price of $ 320 million (subject to customary adjustments), plus (ii) up to $10 million in potential earnout payments for the 2025-2026 period (the “Earnout Payments”), as further described below (the “Transaction” or the "acquisition"). Bel may acquire the remaining 20% stake in Enercon and has the current intention to so purchase such remaining interest by early 2027 in accordance with the terms and subject to the conditions of a shareholders’ agreement, which was also entered into on November 14, 2024.</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At the closing, Bel paid an aggregate of approximately $325.6 million in cash in respect of the cash purchase price (after giving effect to estimated adjustments taken at closing including for Enercon’s cash, indebtedness, net working capital and unpaid transaction costs, and subject to further adjustment post-closing). Bel funded the closing of the Transaction through cash on hand of approximately $85.6 million and with approximately $240 million provided through incremental borrowings under the Company’s revolving credit facility, as amended in connection with the Transaction.</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potential Earnout Payments may become payable of up to $5.0 million for each of the fiscal 2025 and fiscal 2026 earnout periods (each, an “Earnout Period”), subject to Enercon’s achievement of certain specified EBITDA targets for each respective Earnout Period, as calculated and determined in accordance with the Purchase Agreement. In the event that (i) the target for the respective Earnout Period has been achieved, the full $5.0 million Earnout Payment for the Earnout Period shall be payable, or (ii) achievement for the respective Earnout Period is at least 90% of the target level but less than 100% of the target level, then the amount payable in respect of the Earnout Payment for such Earnout Period shall be $2.5 million. In the event that achievement for the respective Earnout Period is less than 90% of the target level, no Earnout Payment shall be due for such period.</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year ended December 31, 2024, the Company incurred $12.9 million of acquisition-related costs associated with the Transaction primarily for investment banker fees, legal fees, audit-related fees and other consulting costs. These costs are included in selling, general and administrative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2240" w:h="15840" w:orient="portrait"/>
          <w:cols w:equalWidth="0" w:num="1">
            <w:col w:w="10800"/>
          </w:cols>
          <w:pgMar w:left="720" w:top="560" w:right="720" w:bottom="0" w:gutter="0" w:footer="0" w:header="0"/>
        </w:sectPr>
      </w:pPr>
    </w:p>
    <w:bookmarkStart w:id="70" w:name="page71"/>
    <w:bookmarkEnd w:id="70"/>
    <w:p>
      <w:pPr>
        <w:jc w:val="both"/>
        <w:spacing w:after="0" w:line="297" w:lineRule="auto"/>
        <w:rPr>
          <w:sz w:val="20"/>
          <w:szCs w:val="20"/>
          <w:color w:val="auto"/>
        </w:rPr>
      </w:pPr>
      <w:r>
        <w:rPr>
          <w:rFonts w:ascii="Arial" w:cs="Arial" w:eastAsia="Arial" w:hAnsi="Arial"/>
          <w:sz w:val="18"/>
          <w:szCs w:val="18"/>
          <w:color w:val="auto"/>
        </w:rPr>
        <w:t>The accounting related to the Enercon acquisition has been completed as of the filing date of this Form 10- K. The following table presents the Company’s final determination of the acquisition date fair values of the consideration paid, identifiable net assets acquired, and goodwill. All valuations and the purchase price allocation are now finalized, and no further adjustments are anticipated.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400" w:type="dxa"/>
            <w:vAlign w:val="bottom"/>
          </w:tcPr>
          <w:p>
            <w:pPr>
              <w:spacing w:after="0"/>
              <w:rPr>
                <w:sz w:val="20"/>
                <w:szCs w:val="20"/>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20"/>
                <w:szCs w:val="20"/>
                <w:color w:val="auto"/>
                <w:w w:val="94"/>
              </w:rPr>
              <w:t>Acquisition Date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20"/>
                <w:szCs w:val="20"/>
                <w:color w:val="auto"/>
                <w:w w:val="90"/>
              </w:rPr>
              <w:t>Fair Values</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400" w:type="dxa"/>
            <w:vAlign w:val="bottom"/>
            <w:vMerge w:val="restart"/>
          </w:tcPr>
          <w:p>
            <w:pPr>
              <w:spacing w:after="0"/>
              <w:rPr>
                <w:sz w:val="20"/>
                <w:szCs w:val="20"/>
                <w:color w:val="auto"/>
              </w:rPr>
            </w:pPr>
            <w:r>
              <w:rPr>
                <w:rFonts w:ascii="Arial" w:cs="Arial" w:eastAsia="Arial" w:hAnsi="Arial"/>
                <w:sz w:val="20"/>
                <w:szCs w:val="20"/>
                <w:color w:val="auto"/>
              </w:rPr>
              <w:t>Cash</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20"/>
                <w:szCs w:val="20"/>
                <w:color w:val="auto"/>
                <w:w w:val="88"/>
              </w:rPr>
              <w:t>(as adjusted)</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840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20"/>
                <w:szCs w:val="20"/>
                <w:color w:val="auto"/>
                <w:w w:val="71"/>
              </w:rPr>
              <w:t>$</w:t>
            </w:r>
          </w:p>
        </w:tc>
        <w:tc>
          <w:tcPr>
            <w:tcW w:w="1420" w:type="dxa"/>
            <w:vAlign w:val="bottom"/>
            <w:tcBorders>
              <w:top w:val="single" w:sz="8" w:color="auto"/>
            </w:tcBorders>
            <w:gridSpan w:val="2"/>
          </w:tcPr>
          <w:p>
            <w:pPr>
              <w:jc w:val="right"/>
              <w:spacing w:after="0" w:line="215" w:lineRule="exact"/>
              <w:rPr>
                <w:sz w:val="20"/>
                <w:szCs w:val="20"/>
                <w:color w:val="auto"/>
              </w:rPr>
            </w:pPr>
            <w:r>
              <w:rPr>
                <w:rFonts w:ascii="Arial" w:cs="Arial" w:eastAsia="Arial" w:hAnsi="Arial"/>
                <w:sz w:val="20"/>
                <w:szCs w:val="20"/>
                <w:color w:val="auto"/>
              </w:rPr>
              <w:t>3,590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400" w:type="dxa"/>
            <w:vAlign w:val="bottom"/>
          </w:tcPr>
          <w:p>
            <w:pPr>
              <w:spacing w:after="0"/>
              <w:rPr>
                <w:sz w:val="20"/>
                <w:szCs w:val="20"/>
                <w:color w:val="auto"/>
              </w:rPr>
            </w:pPr>
            <w:r>
              <w:rPr>
                <w:rFonts w:ascii="Arial" w:cs="Arial" w:eastAsia="Arial" w:hAnsi="Arial"/>
                <w:sz w:val="20"/>
                <w:szCs w:val="20"/>
                <w:color w:val="auto"/>
              </w:rPr>
              <w:t>Accounts receivable</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21,088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400" w:type="dxa"/>
            <w:vAlign w:val="bottom"/>
          </w:tcPr>
          <w:p>
            <w:pPr>
              <w:spacing w:after="0"/>
              <w:rPr>
                <w:sz w:val="20"/>
                <w:szCs w:val="20"/>
                <w:color w:val="auto"/>
              </w:rPr>
            </w:pPr>
            <w:r>
              <w:rPr>
                <w:rFonts w:ascii="Arial" w:cs="Arial" w:eastAsia="Arial" w:hAnsi="Arial"/>
                <w:sz w:val="20"/>
                <w:szCs w:val="20"/>
                <w:color w:val="auto"/>
              </w:rPr>
              <w:t>Inventories</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42,271</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20"/>
                <w:szCs w:val="20"/>
                <w:color w:val="auto"/>
                <w:w w:val="81"/>
              </w:rPr>
              <w:t>(a)</w:t>
            </w:r>
          </w:p>
        </w:tc>
        <w:tc>
          <w:tcPr>
            <w:tcW w:w="0" w:type="dxa"/>
            <w:vAlign w:val="bottom"/>
          </w:tcPr>
          <w:p>
            <w:pPr>
              <w:spacing w:after="0"/>
              <w:rPr>
                <w:sz w:val="1"/>
                <w:szCs w:val="1"/>
                <w:color w:val="auto"/>
              </w:rPr>
            </w:pPr>
          </w:p>
        </w:tc>
      </w:tr>
      <w:tr>
        <w:trPr>
          <w:trHeight w:val="239"/>
        </w:trPr>
        <w:tc>
          <w:tcPr>
            <w:tcW w:w="8400" w:type="dxa"/>
            <w:vAlign w:val="bottom"/>
          </w:tcPr>
          <w:p>
            <w:pPr>
              <w:spacing w:after="0"/>
              <w:rPr>
                <w:sz w:val="20"/>
                <w:szCs w:val="20"/>
                <w:color w:val="auto"/>
              </w:rPr>
            </w:pPr>
            <w:r>
              <w:rPr>
                <w:rFonts w:ascii="Arial" w:cs="Arial" w:eastAsia="Arial" w:hAnsi="Arial"/>
                <w:sz w:val="20"/>
                <w:szCs w:val="20"/>
                <w:color w:val="auto"/>
              </w:rPr>
              <w:t>Other current assets</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4,144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400" w:type="dxa"/>
            <w:vAlign w:val="bottom"/>
          </w:tcPr>
          <w:p>
            <w:pPr>
              <w:spacing w:after="0"/>
              <w:rPr>
                <w:sz w:val="20"/>
                <w:szCs w:val="20"/>
                <w:color w:val="auto"/>
              </w:rPr>
            </w:pPr>
            <w:r>
              <w:rPr>
                <w:rFonts w:ascii="Arial" w:cs="Arial" w:eastAsia="Arial" w:hAnsi="Arial"/>
                <w:sz w:val="20"/>
                <w:szCs w:val="20"/>
                <w:color w:val="auto"/>
              </w:rPr>
              <w:t>Property, plant and equipment</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9,357</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20"/>
                <w:szCs w:val="20"/>
                <w:color w:val="auto"/>
                <w:w w:val="81"/>
              </w:rPr>
              <w:t>(b)</w:t>
            </w:r>
          </w:p>
        </w:tc>
        <w:tc>
          <w:tcPr>
            <w:tcW w:w="0" w:type="dxa"/>
            <w:vAlign w:val="bottom"/>
          </w:tcPr>
          <w:p>
            <w:pPr>
              <w:spacing w:after="0"/>
              <w:rPr>
                <w:sz w:val="1"/>
                <w:szCs w:val="1"/>
                <w:color w:val="auto"/>
              </w:rPr>
            </w:pPr>
          </w:p>
        </w:tc>
      </w:tr>
      <w:tr>
        <w:trPr>
          <w:trHeight w:val="239"/>
        </w:trPr>
        <w:tc>
          <w:tcPr>
            <w:tcW w:w="8400" w:type="dxa"/>
            <w:vAlign w:val="bottom"/>
          </w:tcPr>
          <w:p>
            <w:pPr>
              <w:spacing w:after="0"/>
              <w:rPr>
                <w:sz w:val="20"/>
                <w:szCs w:val="20"/>
                <w:color w:val="auto"/>
              </w:rPr>
            </w:pPr>
            <w:r>
              <w:rPr>
                <w:rFonts w:ascii="Arial" w:cs="Arial" w:eastAsia="Arial" w:hAnsi="Arial"/>
                <w:sz w:val="20"/>
                <w:szCs w:val="20"/>
                <w:color w:val="auto"/>
              </w:rPr>
              <w:t>Intangible assets</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189,700</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20"/>
                <w:szCs w:val="20"/>
                <w:color w:val="auto"/>
                <w:w w:val="85"/>
              </w:rPr>
              <w:t>(c)</w:t>
            </w:r>
          </w:p>
        </w:tc>
        <w:tc>
          <w:tcPr>
            <w:tcW w:w="0" w:type="dxa"/>
            <w:vAlign w:val="bottom"/>
          </w:tcPr>
          <w:p>
            <w:pPr>
              <w:spacing w:after="0"/>
              <w:rPr>
                <w:sz w:val="1"/>
                <w:szCs w:val="1"/>
                <w:color w:val="auto"/>
              </w:rPr>
            </w:pPr>
          </w:p>
        </w:tc>
      </w:tr>
      <w:tr>
        <w:trPr>
          <w:trHeight w:val="254"/>
        </w:trPr>
        <w:tc>
          <w:tcPr>
            <w:tcW w:w="8400" w:type="dxa"/>
            <w:vAlign w:val="bottom"/>
          </w:tcPr>
          <w:p>
            <w:pPr>
              <w:spacing w:after="0"/>
              <w:rPr>
                <w:sz w:val="20"/>
                <w:szCs w:val="20"/>
                <w:color w:val="auto"/>
              </w:rPr>
            </w:pPr>
            <w:r>
              <w:rPr>
                <w:rFonts w:ascii="Arial" w:cs="Arial" w:eastAsia="Arial" w:hAnsi="Arial"/>
                <w:sz w:val="20"/>
                <w:szCs w:val="20"/>
                <w:color w:val="auto"/>
              </w:rPr>
              <w:t>Other assets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3,496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8400" w:type="dxa"/>
            <w:vAlign w:val="bottom"/>
          </w:tcPr>
          <w:p>
            <w:pPr>
              <w:spacing w:after="0"/>
              <w:rPr>
                <w:sz w:val="20"/>
                <w:szCs w:val="20"/>
                <w:color w:val="auto"/>
              </w:rPr>
            </w:pPr>
            <w:r>
              <w:rPr>
                <w:rFonts w:ascii="Arial" w:cs="Arial" w:eastAsia="Arial" w:hAnsi="Arial"/>
                <w:sz w:val="20"/>
                <w:szCs w:val="20"/>
                <w:color w:val="auto"/>
              </w:rPr>
              <w:t>Total identifiable assets</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273,646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8400" w:type="dxa"/>
            <w:vAlign w:val="bottom"/>
          </w:tcPr>
          <w:p>
            <w:pPr>
              <w:spacing w:after="0"/>
              <w:rPr>
                <w:sz w:val="20"/>
                <w:szCs w:val="20"/>
                <w:color w:val="auto"/>
              </w:rPr>
            </w:pPr>
            <w:r>
              <w:rPr>
                <w:rFonts w:ascii="Arial" w:cs="Arial" w:eastAsia="Arial" w:hAnsi="Arial"/>
                <w:sz w:val="20"/>
                <w:szCs w:val="20"/>
                <w:color w:val="auto"/>
              </w:rPr>
              <w:t>Accounts payable</w:t>
            </w:r>
          </w:p>
        </w:tc>
        <w:tc>
          <w:tcPr>
            <w:tcW w:w="1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9,585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400" w:type="dxa"/>
            <w:vAlign w:val="bottom"/>
          </w:tcPr>
          <w:p>
            <w:pPr>
              <w:spacing w:after="0"/>
              <w:rPr>
                <w:sz w:val="20"/>
                <w:szCs w:val="20"/>
                <w:color w:val="auto"/>
              </w:rPr>
            </w:pPr>
            <w:r>
              <w:rPr>
                <w:rFonts w:ascii="Arial" w:cs="Arial" w:eastAsia="Arial" w:hAnsi="Arial"/>
                <w:sz w:val="20"/>
                <w:szCs w:val="20"/>
                <w:color w:val="auto"/>
              </w:rPr>
              <w:t>Accrued expenses</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6,670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400" w:type="dxa"/>
            <w:vAlign w:val="bottom"/>
          </w:tcPr>
          <w:p>
            <w:pPr>
              <w:spacing w:after="0"/>
              <w:rPr>
                <w:sz w:val="20"/>
                <w:szCs w:val="20"/>
                <w:color w:val="auto"/>
              </w:rPr>
            </w:pPr>
            <w:r>
              <w:rPr>
                <w:rFonts w:ascii="Arial" w:cs="Arial" w:eastAsia="Arial" w:hAnsi="Arial"/>
                <w:sz w:val="20"/>
                <w:szCs w:val="20"/>
                <w:color w:val="auto"/>
              </w:rPr>
              <w:t>Other current liabilities</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5,104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400" w:type="dxa"/>
            <w:vAlign w:val="bottom"/>
          </w:tcPr>
          <w:p>
            <w:pPr>
              <w:spacing w:after="0"/>
              <w:rPr>
                <w:sz w:val="20"/>
                <w:szCs w:val="20"/>
                <w:color w:val="auto"/>
              </w:rPr>
            </w:pPr>
            <w:r>
              <w:rPr>
                <w:rFonts w:ascii="Arial" w:cs="Arial" w:eastAsia="Arial" w:hAnsi="Arial"/>
                <w:sz w:val="20"/>
                <w:szCs w:val="20"/>
                <w:color w:val="auto"/>
              </w:rPr>
              <w:t>Noncurrent liabilities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34,331</w:t>
            </w:r>
          </w:p>
        </w:tc>
        <w:tc>
          <w:tcPr>
            <w:tcW w:w="8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20"/>
                <w:szCs w:val="20"/>
                <w:color w:val="auto"/>
                <w:w w:val="81"/>
              </w:rPr>
              <w:t>(d)</w:t>
            </w:r>
          </w:p>
        </w:tc>
        <w:tc>
          <w:tcPr>
            <w:tcW w:w="0" w:type="dxa"/>
            <w:vAlign w:val="bottom"/>
          </w:tcPr>
          <w:p>
            <w:pPr>
              <w:spacing w:after="0"/>
              <w:rPr>
                <w:sz w:val="1"/>
                <w:szCs w:val="1"/>
                <w:color w:val="auto"/>
              </w:rPr>
            </w:pPr>
          </w:p>
        </w:tc>
      </w:tr>
      <w:tr>
        <w:trPr>
          <w:trHeight w:val="231"/>
        </w:trPr>
        <w:tc>
          <w:tcPr>
            <w:tcW w:w="8400" w:type="dxa"/>
            <w:vAlign w:val="bottom"/>
          </w:tcPr>
          <w:p>
            <w:pPr>
              <w:spacing w:after="0"/>
              <w:rPr>
                <w:sz w:val="20"/>
                <w:szCs w:val="20"/>
                <w:color w:val="auto"/>
              </w:rPr>
            </w:pPr>
            <w:r>
              <w:rPr>
                <w:rFonts w:ascii="Arial" w:cs="Arial" w:eastAsia="Arial" w:hAnsi="Arial"/>
                <w:sz w:val="20"/>
                <w:szCs w:val="20"/>
                <w:color w:val="auto"/>
              </w:rPr>
              <w:t>Total liabilities assumed</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55,690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400" w:type="dxa"/>
            <w:vAlign w:val="bottom"/>
          </w:tcPr>
          <w:p>
            <w:pPr>
              <w:spacing w:after="0" w:line="215" w:lineRule="exact"/>
              <w:rPr>
                <w:sz w:val="20"/>
                <w:szCs w:val="20"/>
                <w:color w:val="auto"/>
              </w:rPr>
            </w:pPr>
            <w:r>
              <w:rPr>
                <w:rFonts w:ascii="Arial" w:cs="Arial" w:eastAsia="Arial" w:hAnsi="Arial"/>
                <w:sz w:val="20"/>
                <w:szCs w:val="20"/>
                <w:color w:val="auto"/>
              </w:rPr>
              <w:t>Net identifiable assets acquired</w:t>
            </w:r>
          </w:p>
        </w:tc>
        <w:tc>
          <w:tcPr>
            <w:tcW w:w="120" w:type="dxa"/>
            <w:vAlign w:val="bottom"/>
          </w:tcPr>
          <w:p>
            <w:pPr>
              <w:spacing w:after="0"/>
              <w:rPr>
                <w:sz w:val="18"/>
                <w:szCs w:val="18"/>
                <w:color w:val="auto"/>
              </w:rPr>
            </w:pPr>
          </w:p>
        </w:tc>
        <w:tc>
          <w:tcPr>
            <w:tcW w:w="142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217,956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8400" w:type="dxa"/>
            <w:vAlign w:val="bottom"/>
          </w:tcPr>
          <w:p>
            <w:pPr>
              <w:spacing w:after="0"/>
              <w:rPr>
                <w:sz w:val="20"/>
                <w:szCs w:val="20"/>
                <w:color w:val="auto"/>
              </w:rPr>
            </w:pPr>
            <w:r>
              <w:rPr>
                <w:rFonts w:ascii="Arial" w:cs="Arial" w:eastAsia="Arial" w:hAnsi="Arial"/>
                <w:sz w:val="20"/>
                <w:szCs w:val="20"/>
                <w:color w:val="auto"/>
              </w:rPr>
              <w:t>Goodwill</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186,714</w:t>
            </w:r>
          </w:p>
        </w:tc>
        <w:tc>
          <w:tcPr>
            <w:tcW w:w="8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20"/>
                <w:szCs w:val="20"/>
                <w:color w:val="auto"/>
                <w:w w:val="81"/>
              </w:rPr>
              <w:t>(e)</w:t>
            </w:r>
          </w:p>
        </w:tc>
        <w:tc>
          <w:tcPr>
            <w:tcW w:w="0" w:type="dxa"/>
            <w:vAlign w:val="bottom"/>
          </w:tcPr>
          <w:p>
            <w:pPr>
              <w:spacing w:after="0"/>
              <w:rPr>
                <w:sz w:val="1"/>
                <w:szCs w:val="1"/>
                <w:color w:val="auto"/>
              </w:rPr>
            </w:pPr>
          </w:p>
        </w:tc>
      </w:tr>
      <w:tr>
        <w:trPr>
          <w:trHeight w:val="259"/>
        </w:trPr>
        <w:tc>
          <w:tcPr>
            <w:tcW w:w="8400" w:type="dxa"/>
            <w:vAlign w:val="bottom"/>
          </w:tcPr>
          <w:p>
            <w:pPr>
              <w:spacing w:after="0"/>
              <w:rPr>
                <w:sz w:val="20"/>
                <w:szCs w:val="20"/>
                <w:color w:val="auto"/>
              </w:rPr>
            </w:pPr>
            <w:r>
              <w:rPr>
                <w:rFonts w:ascii="Arial" w:cs="Arial" w:eastAsia="Arial" w:hAnsi="Arial"/>
                <w:sz w:val="20"/>
                <w:szCs w:val="20"/>
                <w:color w:val="auto"/>
              </w:rPr>
              <w:t>Net assets acquired</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404,670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0"/>
        </w:trPr>
        <w:tc>
          <w:tcPr>
            <w:tcW w:w="8400" w:type="dxa"/>
            <w:vAlign w:val="bottom"/>
          </w:tcPr>
          <w:p>
            <w:pPr>
              <w:spacing w:after="0"/>
              <w:rPr>
                <w:sz w:val="20"/>
                <w:szCs w:val="20"/>
                <w:color w:val="auto"/>
              </w:rPr>
            </w:pPr>
            <w:r>
              <w:rPr>
                <w:rFonts w:ascii="Arial" w:cs="Arial" w:eastAsia="Arial" w:hAnsi="Arial"/>
                <w:sz w:val="20"/>
                <w:szCs w:val="20"/>
                <w:color w:val="auto"/>
              </w:rPr>
              <w:t>Cash paid</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324,071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400" w:type="dxa"/>
            <w:vAlign w:val="bottom"/>
          </w:tcPr>
          <w:p>
            <w:pPr>
              <w:spacing w:after="0"/>
              <w:rPr>
                <w:sz w:val="20"/>
                <w:szCs w:val="20"/>
                <w:color w:val="auto"/>
              </w:rPr>
            </w:pPr>
            <w:r>
              <w:rPr>
                <w:rFonts w:ascii="Arial" w:cs="Arial" w:eastAsia="Arial" w:hAnsi="Arial"/>
                <w:sz w:val="20"/>
                <w:szCs w:val="20"/>
                <w:color w:val="auto"/>
              </w:rPr>
              <w:t>Fair value of contingent consideration</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3,300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400" w:type="dxa"/>
            <w:vAlign w:val="bottom"/>
          </w:tcPr>
          <w:p>
            <w:pPr>
              <w:spacing w:after="0"/>
              <w:rPr>
                <w:sz w:val="20"/>
                <w:szCs w:val="20"/>
                <w:color w:val="auto"/>
              </w:rPr>
            </w:pPr>
            <w:r>
              <w:rPr>
                <w:rFonts w:ascii="Arial" w:cs="Arial" w:eastAsia="Arial" w:hAnsi="Arial"/>
                <w:sz w:val="20"/>
                <w:szCs w:val="20"/>
                <w:color w:val="auto"/>
              </w:rPr>
              <w:t>Fair value of noncontrolling interest</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72,354</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20"/>
                <w:szCs w:val="20"/>
                <w:color w:val="auto"/>
              </w:rPr>
              <w:t>(f)</w:t>
            </w:r>
          </w:p>
        </w:tc>
        <w:tc>
          <w:tcPr>
            <w:tcW w:w="0" w:type="dxa"/>
            <w:vAlign w:val="bottom"/>
          </w:tcPr>
          <w:p>
            <w:pPr>
              <w:spacing w:after="0"/>
              <w:rPr>
                <w:sz w:val="1"/>
                <w:szCs w:val="1"/>
                <w:color w:val="auto"/>
              </w:rPr>
            </w:pPr>
          </w:p>
        </w:tc>
      </w:tr>
      <w:tr>
        <w:trPr>
          <w:trHeight w:val="257"/>
        </w:trPr>
        <w:tc>
          <w:tcPr>
            <w:tcW w:w="8400" w:type="dxa"/>
            <w:vAlign w:val="bottom"/>
          </w:tcPr>
          <w:p>
            <w:pPr>
              <w:spacing w:after="0"/>
              <w:rPr>
                <w:sz w:val="20"/>
                <w:szCs w:val="20"/>
                <w:color w:val="auto"/>
              </w:rPr>
            </w:pPr>
            <w:r>
              <w:rPr>
                <w:rFonts w:ascii="Arial" w:cs="Arial" w:eastAsia="Arial" w:hAnsi="Arial"/>
                <w:sz w:val="20"/>
                <w:szCs w:val="20"/>
                <w:color w:val="auto"/>
              </w:rPr>
              <w:t>Fair value of seller note</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4,945</w:t>
            </w:r>
          </w:p>
        </w:tc>
        <w:tc>
          <w:tcPr>
            <w:tcW w:w="8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20"/>
                <w:szCs w:val="20"/>
                <w:color w:val="auto"/>
                <w:w w:val="81"/>
              </w:rPr>
              <w:t>(g)</w:t>
            </w:r>
          </w:p>
        </w:tc>
        <w:tc>
          <w:tcPr>
            <w:tcW w:w="0" w:type="dxa"/>
            <w:vAlign w:val="bottom"/>
          </w:tcPr>
          <w:p>
            <w:pPr>
              <w:spacing w:after="0"/>
              <w:rPr>
                <w:sz w:val="1"/>
                <w:szCs w:val="1"/>
                <w:color w:val="auto"/>
              </w:rPr>
            </w:pPr>
          </w:p>
        </w:tc>
      </w:tr>
      <w:tr>
        <w:trPr>
          <w:trHeight w:val="215"/>
        </w:trPr>
        <w:tc>
          <w:tcPr>
            <w:tcW w:w="8400" w:type="dxa"/>
            <w:vAlign w:val="bottom"/>
          </w:tcPr>
          <w:p>
            <w:pPr>
              <w:spacing w:after="0" w:line="215" w:lineRule="exact"/>
              <w:rPr>
                <w:sz w:val="20"/>
                <w:szCs w:val="20"/>
                <w:color w:val="auto"/>
              </w:rPr>
            </w:pPr>
            <w:r>
              <w:rPr>
                <w:rFonts w:ascii="Arial" w:cs="Arial" w:eastAsia="Arial" w:hAnsi="Arial"/>
                <w:sz w:val="20"/>
                <w:szCs w:val="20"/>
                <w:color w:val="auto"/>
              </w:rPr>
              <w:t>Fair value of consideration transferred</w:t>
            </w:r>
          </w:p>
        </w:tc>
        <w:tc>
          <w:tcPr>
            <w:tcW w:w="120" w:type="dxa"/>
            <w:vAlign w:val="bottom"/>
          </w:tcPr>
          <w:p>
            <w:pPr>
              <w:spacing w:after="0"/>
              <w:rPr>
                <w:sz w:val="18"/>
                <w:szCs w:val="18"/>
                <w:color w:val="auto"/>
              </w:rPr>
            </w:pPr>
          </w:p>
        </w:tc>
        <w:tc>
          <w:tcPr>
            <w:tcW w:w="142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404,670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8400" w:type="dxa"/>
            <w:vAlign w:val="bottom"/>
          </w:tcPr>
          <w:p>
            <w:pPr>
              <w:spacing w:after="0"/>
              <w:rPr>
                <w:sz w:val="20"/>
                <w:szCs w:val="20"/>
                <w:color w:val="auto"/>
              </w:rPr>
            </w:pPr>
            <w:r>
              <w:rPr>
                <w:rFonts w:ascii="Arial" w:cs="Arial" w:eastAsia="Arial" w:hAnsi="Arial"/>
                <w:sz w:val="20"/>
                <w:szCs w:val="20"/>
                <w:color w:val="auto"/>
              </w:rPr>
              <w:t>Deferred consideration</w:t>
            </w:r>
          </w:p>
        </w:tc>
        <w:tc>
          <w:tcPr>
            <w:tcW w:w="120" w:type="dxa"/>
            <w:vAlign w:val="bottom"/>
            <w:tcBorders>
              <w:bottom w:val="single" w:sz="8" w:color="auto"/>
            </w:tcBorders>
          </w:tcPr>
          <w:p>
            <w:pPr>
              <w:spacing w:after="0"/>
              <w:rPr>
                <w:sz w:val="22"/>
                <w:szCs w:val="22"/>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20"/>
                <w:szCs w:val="20"/>
                <w:color w:val="auto"/>
              </w:rPr>
              <w:t>(80,599)</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400" w:type="dxa"/>
            <w:vAlign w:val="bottom"/>
          </w:tcPr>
          <w:p>
            <w:pPr>
              <w:spacing w:after="0"/>
              <w:rPr>
                <w:sz w:val="20"/>
                <w:szCs w:val="20"/>
                <w:color w:val="auto"/>
              </w:rPr>
            </w:pPr>
            <w:r>
              <w:rPr>
                <w:rFonts w:ascii="Arial" w:cs="Arial" w:eastAsia="Arial" w:hAnsi="Arial"/>
                <w:sz w:val="20"/>
                <w:szCs w:val="20"/>
                <w:color w:val="auto"/>
              </w:rPr>
              <w:t>Total consideration paid</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324,071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-1438910</wp:posOffset>
            </wp:positionV>
            <wp:extent cx="1002030" cy="52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02030" cy="5270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-191135</wp:posOffset>
            </wp:positionV>
            <wp:extent cx="1011555" cy="2222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11555" cy="2222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20"/>
          <w:szCs w:val="20"/>
          <w:color w:val="auto"/>
        </w:rPr>
        <w:t>(a)The inventories noted include an step-up in fair value of $2.4 million.</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20"/>
          <w:szCs w:val="20"/>
          <w:color w:val="auto"/>
        </w:rPr>
        <w:t>(b)The property, plant and equipment noted above includes a $3.7 million step-up based on acquisition-date fair value.</w:t>
      </w:r>
    </w:p>
    <w:p>
      <w:pPr>
        <w:spacing w:after="0" w:line="236" w:lineRule="exact"/>
        <w:rPr>
          <w:sz w:val="20"/>
          <w:szCs w:val="20"/>
          <w:color w:val="auto"/>
        </w:rPr>
      </w:pPr>
    </w:p>
    <w:p>
      <w:pPr>
        <w:jc w:val="both"/>
        <w:ind w:left="460" w:hanging="229"/>
        <w:spacing w:after="0" w:line="257" w:lineRule="auto"/>
        <w:rPr>
          <w:sz w:val="20"/>
          <w:szCs w:val="20"/>
          <w:color w:val="auto"/>
        </w:rPr>
      </w:pPr>
      <w:r>
        <w:rPr>
          <w:rFonts w:ascii="Arial" w:cs="Arial" w:eastAsia="Arial" w:hAnsi="Arial"/>
          <w:sz w:val="20"/>
          <w:szCs w:val="20"/>
          <w:color w:val="auto"/>
        </w:rPr>
        <w:t>(c)The fair value of identifiable intangible assets related to Enercon is shown in the table below. For those intangible assets with finite lives, the acquisition-date fair values will be amortized over their respective estimated future lives utilizing the straight-line method.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w w:val="95"/>
              </w:rPr>
              <w:t>Acquisition Date</w:t>
            </w:r>
          </w:p>
        </w:tc>
        <w:tc>
          <w:tcPr>
            <w:tcW w:w="1980" w:type="dxa"/>
            <w:vAlign w:val="bottom"/>
          </w:tcPr>
          <w:p>
            <w:pPr>
              <w:jc w:val="center"/>
              <w:ind w:left="221"/>
              <w:spacing w:after="0"/>
              <w:rPr>
                <w:sz w:val="20"/>
                <w:szCs w:val="20"/>
                <w:color w:val="auto"/>
              </w:rPr>
            </w:pPr>
            <w:r>
              <w:rPr>
                <w:rFonts w:ascii="Arial" w:cs="Arial" w:eastAsia="Arial" w:hAnsi="Arial"/>
                <w:sz w:val="20"/>
                <w:szCs w:val="20"/>
                <w:color w:val="auto"/>
                <w:w w:val="91"/>
              </w:rPr>
              <w:t>Weighted Average</w:t>
            </w:r>
          </w:p>
        </w:tc>
      </w:tr>
      <w:tr>
        <w:trPr>
          <w:trHeight w:val="254"/>
        </w:trPr>
        <w:tc>
          <w:tcPr>
            <w:tcW w:w="66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Fair Value</w:t>
            </w:r>
          </w:p>
        </w:tc>
        <w:tc>
          <w:tcPr>
            <w:tcW w:w="1980" w:type="dxa"/>
            <w:vAlign w:val="bottom"/>
          </w:tcPr>
          <w:p>
            <w:pPr>
              <w:jc w:val="center"/>
              <w:ind w:left="241"/>
              <w:spacing w:after="0"/>
              <w:rPr>
                <w:sz w:val="20"/>
                <w:szCs w:val="20"/>
                <w:color w:val="auto"/>
              </w:rPr>
            </w:pPr>
            <w:r>
              <w:rPr>
                <w:rFonts w:ascii="Arial" w:cs="Arial" w:eastAsia="Arial" w:hAnsi="Arial"/>
                <w:sz w:val="20"/>
                <w:szCs w:val="20"/>
                <w:color w:val="auto"/>
                <w:w w:val="93"/>
              </w:rPr>
              <w:t>Amortization Period</w:t>
            </w:r>
          </w:p>
        </w:tc>
      </w:tr>
      <w:tr>
        <w:trPr>
          <w:trHeight w:val="215"/>
        </w:trPr>
        <w:tc>
          <w:tcPr>
            <w:tcW w:w="6620" w:type="dxa"/>
            <w:vAlign w:val="bottom"/>
          </w:tcPr>
          <w:p>
            <w:pPr>
              <w:spacing w:after="0" w:line="215" w:lineRule="exact"/>
              <w:rPr>
                <w:sz w:val="20"/>
                <w:szCs w:val="20"/>
                <w:color w:val="auto"/>
              </w:rPr>
            </w:pPr>
            <w:r>
              <w:rPr>
                <w:rFonts w:ascii="Arial" w:cs="Arial" w:eastAsia="Arial" w:hAnsi="Arial"/>
                <w:sz w:val="20"/>
                <w:szCs w:val="20"/>
                <w:color w:val="auto"/>
              </w:rPr>
              <w:t>Trademarks</w:t>
            </w: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132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21,900</w:t>
            </w:r>
          </w:p>
        </w:tc>
        <w:tc>
          <w:tcPr>
            <w:tcW w:w="1980" w:type="dxa"/>
            <w:vAlign w:val="bottom"/>
          </w:tcPr>
          <w:p>
            <w:pPr>
              <w:jc w:val="center"/>
              <w:ind w:left="221"/>
              <w:spacing w:after="0" w:line="215" w:lineRule="exact"/>
              <w:rPr>
                <w:sz w:val="20"/>
                <w:szCs w:val="20"/>
                <w:color w:val="auto"/>
              </w:rPr>
            </w:pPr>
            <w:r>
              <w:rPr>
                <w:rFonts w:ascii="Arial" w:cs="Arial" w:eastAsia="Arial" w:hAnsi="Arial"/>
                <w:sz w:val="20"/>
                <w:szCs w:val="20"/>
                <w:color w:val="auto"/>
                <w:w w:val="96"/>
              </w:rPr>
              <w:t>Indefinite</w:t>
            </w:r>
          </w:p>
        </w:tc>
      </w:tr>
      <w:tr>
        <w:trPr>
          <w:trHeight w:val="239"/>
        </w:trPr>
        <w:tc>
          <w:tcPr>
            <w:tcW w:w="6620" w:type="dxa"/>
            <w:vAlign w:val="bottom"/>
          </w:tcPr>
          <w:p>
            <w:pPr>
              <w:spacing w:after="0"/>
              <w:rPr>
                <w:sz w:val="20"/>
                <w:szCs w:val="20"/>
                <w:color w:val="auto"/>
              </w:rPr>
            </w:pPr>
            <w:r>
              <w:rPr>
                <w:rFonts w:ascii="Arial" w:cs="Arial" w:eastAsia="Arial" w:hAnsi="Arial"/>
                <w:sz w:val="20"/>
                <w:szCs w:val="20"/>
                <w:color w:val="auto"/>
              </w:rPr>
              <w:t>Customer relationships</w:t>
            </w:r>
          </w:p>
        </w:tc>
        <w:tc>
          <w:tcPr>
            <w:tcW w:w="1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130,300</w:t>
            </w:r>
          </w:p>
        </w:tc>
        <w:tc>
          <w:tcPr>
            <w:tcW w:w="1980" w:type="dxa"/>
            <w:vAlign w:val="bottom"/>
          </w:tcPr>
          <w:p>
            <w:pPr>
              <w:jc w:val="center"/>
              <w:ind w:left="241"/>
              <w:spacing w:after="0"/>
              <w:rPr>
                <w:sz w:val="20"/>
                <w:szCs w:val="20"/>
                <w:color w:val="auto"/>
              </w:rPr>
            </w:pPr>
            <w:r>
              <w:rPr>
                <w:rFonts w:ascii="Arial" w:cs="Arial" w:eastAsia="Arial" w:hAnsi="Arial"/>
                <w:sz w:val="20"/>
                <w:szCs w:val="20"/>
                <w:color w:val="auto"/>
                <w:w w:val="88"/>
              </w:rPr>
              <w:t>17 years</w:t>
            </w:r>
          </w:p>
        </w:tc>
      </w:tr>
      <w:tr>
        <w:trPr>
          <w:trHeight w:val="257"/>
        </w:trPr>
        <w:tc>
          <w:tcPr>
            <w:tcW w:w="6620" w:type="dxa"/>
            <w:vAlign w:val="bottom"/>
          </w:tcPr>
          <w:p>
            <w:pPr>
              <w:spacing w:after="0"/>
              <w:rPr>
                <w:sz w:val="20"/>
                <w:szCs w:val="20"/>
                <w:color w:val="auto"/>
              </w:rPr>
            </w:pPr>
            <w:r>
              <w:rPr>
                <w:rFonts w:ascii="Arial" w:cs="Arial" w:eastAsia="Arial" w:hAnsi="Arial"/>
                <w:sz w:val="20"/>
                <w:szCs w:val="20"/>
                <w:color w:val="auto"/>
              </w:rPr>
              <w:t>Technology</w:t>
            </w:r>
          </w:p>
        </w:tc>
        <w:tc>
          <w:tcPr>
            <w:tcW w:w="120" w:type="dxa"/>
            <w:vAlign w:val="bottom"/>
            <w:tcBorders>
              <w:bottom w:val="single" w:sz="8" w:color="auto"/>
            </w:tcBorders>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37,500</w:t>
            </w:r>
          </w:p>
        </w:tc>
        <w:tc>
          <w:tcPr>
            <w:tcW w:w="1980" w:type="dxa"/>
            <w:vAlign w:val="bottom"/>
          </w:tcPr>
          <w:p>
            <w:pPr>
              <w:jc w:val="center"/>
              <w:ind w:left="241"/>
              <w:spacing w:after="0"/>
              <w:rPr>
                <w:sz w:val="20"/>
                <w:szCs w:val="20"/>
                <w:color w:val="auto"/>
              </w:rPr>
            </w:pPr>
            <w:r>
              <w:rPr>
                <w:rFonts w:ascii="Arial" w:cs="Arial" w:eastAsia="Arial" w:hAnsi="Arial"/>
                <w:sz w:val="20"/>
                <w:szCs w:val="20"/>
                <w:color w:val="auto"/>
                <w:w w:val="88"/>
              </w:rPr>
              <w:t>15 years</w:t>
            </w:r>
          </w:p>
        </w:tc>
      </w:tr>
      <w:tr>
        <w:trPr>
          <w:trHeight w:val="247"/>
        </w:trPr>
        <w:tc>
          <w:tcPr>
            <w:tcW w:w="6620" w:type="dxa"/>
            <w:vAlign w:val="bottom"/>
          </w:tcPr>
          <w:p>
            <w:pPr>
              <w:spacing w:after="0"/>
              <w:rPr>
                <w:sz w:val="20"/>
                <w:szCs w:val="20"/>
                <w:color w:val="auto"/>
              </w:rPr>
            </w:pPr>
            <w:r>
              <w:rPr>
                <w:rFonts w:ascii="Arial" w:cs="Arial" w:eastAsia="Arial" w:hAnsi="Arial"/>
                <w:sz w:val="20"/>
                <w:szCs w:val="20"/>
                <w:color w:val="auto"/>
              </w:rPr>
              <w:t>Total intangible assets acquired</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189,700</w:t>
            </w:r>
          </w:p>
        </w:tc>
        <w:tc>
          <w:tcPr>
            <w:tcW w:w="19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-655320</wp:posOffset>
            </wp:positionV>
            <wp:extent cx="2262505"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62505" cy="342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-191135</wp:posOffset>
            </wp:positionV>
            <wp:extent cx="951865" cy="2222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51865" cy="222250"/>
                    </a:xfrm>
                    <a:prstGeom prst="rect">
                      <a:avLst/>
                    </a:prstGeom>
                    <a:noFill/>
                  </pic:spPr>
                </pic:pic>
              </a:graphicData>
            </a:graphic>
          </wp:anchor>
        </w:drawing>
      </w:r>
    </w:p>
    <w:p>
      <w:pPr>
        <w:spacing w:after="0" w:line="222" w:lineRule="exact"/>
        <w:rPr>
          <w:sz w:val="20"/>
          <w:szCs w:val="20"/>
          <w:color w:val="auto"/>
        </w:rPr>
      </w:pPr>
    </w:p>
    <w:p>
      <w:pPr>
        <w:ind w:left="460" w:hanging="244"/>
        <w:spacing w:after="0" w:line="302" w:lineRule="auto"/>
        <w:tabs>
          <w:tab w:leader="none" w:pos="4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Deferred taxes have been established on the previously-mentioned step-ups for inventories, property, plant and equipment and intangible assets.</w:t>
      </w:r>
    </w:p>
    <w:p>
      <w:pPr>
        <w:spacing w:after="0" w:line="147" w:lineRule="exact"/>
        <w:rPr>
          <w:sz w:val="20"/>
          <w:szCs w:val="20"/>
          <w:color w:val="auto"/>
        </w:rPr>
      </w:pPr>
    </w:p>
    <w:p>
      <w:pPr>
        <w:jc w:val="both"/>
        <w:ind w:left="460" w:hanging="229"/>
        <w:spacing w:after="0" w:line="257" w:lineRule="auto"/>
        <w:rPr>
          <w:sz w:val="20"/>
          <w:szCs w:val="20"/>
          <w:color w:val="auto"/>
        </w:rPr>
      </w:pPr>
      <w:r>
        <w:rPr>
          <w:rFonts w:ascii="Arial" w:cs="Arial" w:eastAsia="Arial" w:hAnsi="Arial"/>
          <w:sz w:val="20"/>
          <w:szCs w:val="20"/>
          <w:color w:val="auto"/>
        </w:rPr>
        <w:t>(e)The</w:t>
      </w:r>
      <w:r>
        <w:rPr>
          <w:sz w:val="20"/>
          <w:szCs w:val="20"/>
          <w:color w:val="auto"/>
        </w:rPr>
        <w:t xml:space="preserve"> </w:t>
      </w:r>
      <w:r>
        <w:rPr>
          <w:rFonts w:ascii="Arial" w:cs="Arial" w:eastAsia="Arial" w:hAnsi="Arial"/>
          <w:sz w:val="20"/>
          <w:szCs w:val="20"/>
          <w:color w:val="auto"/>
        </w:rPr>
        <w:t>goodwill is identifiable to the Power Solutions and Protection reportable segment and is attributable to expected synergies from combining operations, as well as intangible assets that do not qualify for separate recognition. All goodwill will be deductible for tax purposes over a period of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2240" w:h="15840" w:orient="portrait"/>
          <w:cols w:equalWidth="0" w:num="1">
            <w:col w:w="10800"/>
          </w:cols>
          <w:pgMar w:left="720" w:top="555" w:right="720" w:bottom="0" w:gutter="0" w:footer="0" w:header="0"/>
        </w:sectPr>
      </w:pPr>
    </w:p>
    <w:bookmarkStart w:id="71" w:name="page72"/>
    <w:bookmarkEnd w:id="71"/>
    <w:p>
      <w:pPr>
        <w:jc w:val="both"/>
        <w:ind w:left="440" w:hanging="214"/>
        <w:spacing w:after="0" w:line="267" w:lineRule="auto"/>
        <w:tabs>
          <w:tab w:leader="none" w:pos="4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 connection with its acquisition of Enercon, the Company recorded a redeemable noncontrolling interest which was initially recorded at a fair value of $72.4 million as of the acquisition date utilizing the Monte Carlo simulation. Inputs to this valuation approach included the projected EBITDA (as defined in the Purchase Agreement) for fiscal year 2026, a market price risk adjustment for the EBITDA of 8.4%, an EBITDA volatility measure of 51% and a forward rate of 4.08%.</w:t>
      </w:r>
    </w:p>
    <w:p>
      <w:pPr>
        <w:spacing w:after="0" w:line="181" w:lineRule="exact"/>
        <w:rPr>
          <w:sz w:val="20"/>
          <w:szCs w:val="20"/>
          <w:color w:val="auto"/>
        </w:rPr>
      </w:pPr>
    </w:p>
    <w:p>
      <w:pPr>
        <w:ind w:left="460" w:hanging="246"/>
        <w:spacing w:after="0" w:line="275" w:lineRule="auto"/>
        <w:tabs>
          <w:tab w:leader="none" w:pos="4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 connection with its acquisition of Enercon, the Company assumed a related party loan payable to FF3 in the amount of $4.9 million.</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results of operations of Enercon have been included in the Company’s consolidated financial statements for the period from November 1, 2024 through December 31, 2025. The activity between the accounting effective date of November 1, 2024 and the legal close date of November 14, 2024 was not material to Bel's financial statements. During the year ended December 31, 2024, Enercon contributed revenue of $20.8 million and net earnings of approximately $1.0 million to the Company’s consolidated financial results.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following unaudited pro forma information presents a summary of the combined results of operations of the Company and the results of Enercon for the periods presented as if the Transaction had occurred on January 1, 2023, along with certain pro forma adjustments. These pro forma adjustments give effect to the amortization of certain definite-lived intangible assets, adjusted depreciation based upon fair value of assets acquired, interest expense and amortization of deferred financing costs related to the financing of the acquisition, and related tax effects. The 2023 unaudited pro forma net earnings were adjusted to include an non-recurring expense related to a fair value adjustment to acquisition-date inventory of $ 2.4 million ($1.8 million after tax) during the year ended December 31, 2023. The pro forma results do not reflect the realization of any potential cost savings, or any related integration costs. Certain cost savings may result from the acquisition; however, there can be no assurance that these cost savings will be achieved. The pro forma results also exclude the impact of any change in the redemption value of the noncontrolling interest. The unaudited pro forma results are presented for illustrative purposes only and are not necessarily indicative of the results that would have actually been obtained if the acquisition had occurred on the assumed dates, nor is the pro forma data intended to be a projection of results that may be obtained in the future: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4"/>
          </w:tcPr>
          <w:p>
            <w:pPr>
              <w:jc w:val="center"/>
              <w:ind w:left="541"/>
              <w:spacing w:after="0"/>
              <w:rPr>
                <w:sz w:val="20"/>
                <w:szCs w:val="20"/>
                <w:color w:val="auto"/>
              </w:rPr>
            </w:pPr>
            <w:r>
              <w:rPr>
                <w:rFonts w:ascii="Arial" w:cs="Arial" w:eastAsia="Arial" w:hAnsi="Arial"/>
                <w:sz w:val="20"/>
                <w:szCs w:val="20"/>
                <w:color w:val="auto"/>
                <w:w w:val="88"/>
              </w:rPr>
              <w:t>Year Ended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center"/>
              <w:ind w:left="521"/>
              <w:spacing w:after="0"/>
              <w:rPr>
                <w:sz w:val="20"/>
                <w:szCs w:val="20"/>
                <w:color w:val="auto"/>
              </w:rPr>
            </w:pPr>
            <w:r>
              <w:rPr>
                <w:rFonts w:ascii="Arial" w:cs="Arial" w:eastAsia="Arial" w:hAnsi="Arial"/>
                <w:sz w:val="20"/>
                <w:szCs w:val="20"/>
                <w:color w:val="auto"/>
                <w:w w:val="89"/>
              </w:rPr>
              <w:t>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080" w:type="dxa"/>
            <w:vAlign w:val="bottom"/>
            <w:vMerge w:val="restart"/>
          </w:tcPr>
          <w:p>
            <w:pPr>
              <w:spacing w:after="0"/>
              <w:rPr>
                <w:sz w:val="20"/>
                <w:szCs w:val="20"/>
                <w:color w:val="auto"/>
              </w:rPr>
            </w:pPr>
            <w:r>
              <w:rPr>
                <w:rFonts w:ascii="Arial" w:cs="Arial" w:eastAsia="Arial" w:hAnsi="Arial"/>
                <w:sz w:val="20"/>
                <w:szCs w:val="20"/>
                <w:color w:val="auto"/>
              </w:rPr>
              <w:t>Revenue,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2024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w w:val="89"/>
              </w:rPr>
              <w:t>2023</w:t>
            </w:r>
          </w:p>
        </w:tc>
        <w:tc>
          <w:tcPr>
            <w:tcW w:w="0" w:type="dxa"/>
            <w:vAlign w:val="bottom"/>
          </w:tcPr>
          <w:p>
            <w:pPr>
              <w:spacing w:after="0"/>
              <w:rPr>
                <w:sz w:val="1"/>
                <w:szCs w:val="1"/>
                <w:color w:val="auto"/>
              </w:rPr>
            </w:pPr>
          </w:p>
        </w:tc>
      </w:tr>
      <w:tr>
        <w:trPr>
          <w:trHeight w:val="215"/>
        </w:trPr>
        <w:tc>
          <w:tcPr>
            <w:tcW w:w="7080" w:type="dxa"/>
            <w:vAlign w:val="bottom"/>
            <w:vMerge w:val="continue"/>
          </w:tcPr>
          <w:p>
            <w:pPr>
              <w:spacing w:after="0"/>
              <w:rPr>
                <w:sz w:val="18"/>
                <w:szCs w:val="18"/>
                <w:color w:val="auto"/>
              </w:rPr>
            </w:pPr>
          </w:p>
        </w:tc>
        <w:tc>
          <w:tcPr>
            <w:tcW w:w="320" w:type="dxa"/>
            <w:vAlign w:val="bottom"/>
          </w:tcPr>
          <w:p>
            <w:pPr>
              <w:jc w:val="right"/>
              <w:ind w:right="121"/>
              <w:spacing w:after="0" w:line="215" w:lineRule="exact"/>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line="215" w:lineRule="exact"/>
              <w:rPr>
                <w:sz w:val="20"/>
                <w:szCs w:val="20"/>
                <w:color w:val="auto"/>
              </w:rPr>
            </w:pPr>
            <w:r>
              <w:rPr>
                <w:rFonts w:ascii="Arial" w:cs="Arial" w:eastAsia="Arial" w:hAnsi="Arial"/>
                <w:sz w:val="20"/>
                <w:szCs w:val="20"/>
                <w:color w:val="auto"/>
              </w:rPr>
              <w:t>632,130</w:t>
            </w:r>
          </w:p>
        </w:tc>
        <w:tc>
          <w:tcPr>
            <w:tcW w:w="20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Arial" w:cs="Arial" w:eastAsia="Arial" w:hAnsi="Arial"/>
                <w:sz w:val="20"/>
                <w:szCs w:val="20"/>
                <w:color w:val="auto"/>
                <w:w w:val="89"/>
              </w:rPr>
              <w:t>$</w:t>
            </w:r>
          </w:p>
        </w:tc>
        <w:tc>
          <w:tcPr>
            <w:tcW w:w="3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Arial" w:cs="Arial" w:eastAsia="Arial" w:hAnsi="Arial"/>
                <w:sz w:val="20"/>
                <w:szCs w:val="20"/>
                <w:color w:val="auto"/>
              </w:rPr>
              <w:t>735,522</w:t>
            </w:r>
          </w:p>
        </w:tc>
        <w:tc>
          <w:tcPr>
            <w:tcW w:w="0" w:type="dxa"/>
            <w:vAlign w:val="bottom"/>
          </w:tcPr>
          <w:p>
            <w:pPr>
              <w:spacing w:after="0"/>
              <w:rPr>
                <w:sz w:val="1"/>
                <w:szCs w:val="1"/>
                <w:color w:val="auto"/>
              </w:rPr>
            </w:pPr>
          </w:p>
        </w:tc>
      </w:tr>
      <w:tr>
        <w:trPr>
          <w:trHeight w:val="239"/>
        </w:trPr>
        <w:tc>
          <w:tcPr>
            <w:tcW w:w="7080" w:type="dxa"/>
            <w:vAlign w:val="bottom"/>
          </w:tcPr>
          <w:p>
            <w:pPr>
              <w:spacing w:after="0"/>
              <w:rPr>
                <w:sz w:val="20"/>
                <w:szCs w:val="20"/>
                <w:color w:val="auto"/>
              </w:rPr>
            </w:pPr>
            <w:r>
              <w:rPr>
                <w:rFonts w:ascii="Arial" w:cs="Arial" w:eastAsia="Arial" w:hAnsi="Arial"/>
                <w:sz w:val="20"/>
                <w:szCs w:val="20"/>
                <w:color w:val="auto"/>
              </w:rPr>
              <w:t>Net earnings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56,154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56,448</w:t>
            </w:r>
          </w:p>
        </w:tc>
        <w:tc>
          <w:tcPr>
            <w:tcW w:w="0" w:type="dxa"/>
            <w:vAlign w:val="bottom"/>
          </w:tcPr>
          <w:p>
            <w:pPr>
              <w:spacing w:after="0"/>
              <w:rPr>
                <w:sz w:val="1"/>
                <w:szCs w:val="1"/>
                <w:color w:val="auto"/>
              </w:rPr>
            </w:pPr>
          </w:p>
        </w:tc>
      </w:tr>
      <w:tr>
        <w:trPr>
          <w:trHeight w:val="257"/>
        </w:trPr>
        <w:tc>
          <w:tcPr>
            <w:tcW w:w="7080" w:type="dxa"/>
            <w:vAlign w:val="bottom"/>
          </w:tcPr>
          <w:p>
            <w:pPr>
              <w:spacing w:after="0"/>
              <w:rPr>
                <w:sz w:val="20"/>
                <w:szCs w:val="20"/>
                <w:color w:val="auto"/>
              </w:rPr>
            </w:pPr>
            <w:r>
              <w:rPr>
                <w:rFonts w:ascii="Arial" w:cs="Arial" w:eastAsia="Arial" w:hAnsi="Arial"/>
                <w:sz w:val="20"/>
                <w:szCs w:val="20"/>
                <w:color w:val="auto"/>
              </w:rPr>
              <w:t>Less: Net earnings attributable to non-controlling interest</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4,131</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1,176</w:t>
            </w:r>
          </w:p>
        </w:tc>
        <w:tc>
          <w:tcPr>
            <w:tcW w:w="0" w:type="dxa"/>
            <w:vAlign w:val="bottom"/>
          </w:tcPr>
          <w:p>
            <w:pPr>
              <w:spacing w:after="0"/>
              <w:rPr>
                <w:sz w:val="1"/>
                <w:szCs w:val="1"/>
                <w:color w:val="auto"/>
              </w:rPr>
            </w:pPr>
          </w:p>
        </w:tc>
      </w:tr>
      <w:tr>
        <w:trPr>
          <w:trHeight w:val="259"/>
        </w:trPr>
        <w:tc>
          <w:tcPr>
            <w:tcW w:w="7080" w:type="dxa"/>
            <w:vAlign w:val="bottom"/>
          </w:tcPr>
          <w:p>
            <w:pPr>
              <w:spacing w:after="0"/>
              <w:rPr>
                <w:sz w:val="20"/>
                <w:szCs w:val="20"/>
                <w:color w:val="auto"/>
              </w:rPr>
            </w:pPr>
            <w:r>
              <w:rPr>
                <w:rFonts w:ascii="Arial" w:cs="Arial" w:eastAsia="Arial" w:hAnsi="Arial"/>
                <w:sz w:val="20"/>
                <w:szCs w:val="20"/>
                <w:color w:val="auto"/>
              </w:rPr>
              <w:t>Net earnings attributable to Bel Fuse</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52,023</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55,272</w:t>
            </w:r>
          </w:p>
        </w:tc>
        <w:tc>
          <w:tcPr>
            <w:tcW w:w="0" w:type="dxa"/>
            <w:vAlign w:val="bottom"/>
          </w:tcPr>
          <w:p>
            <w:pPr>
              <w:spacing w:after="0"/>
              <w:rPr>
                <w:sz w:val="1"/>
                <w:szCs w:val="1"/>
                <w:color w:val="auto"/>
              </w:rPr>
            </w:pPr>
          </w:p>
        </w:tc>
      </w:tr>
      <w:tr>
        <w:trPr>
          <w:trHeight w:val="276"/>
        </w:trPr>
        <w:tc>
          <w:tcPr>
            <w:tcW w:w="7080" w:type="dxa"/>
            <w:vAlign w:val="bottom"/>
          </w:tcPr>
          <w:p>
            <w:pPr>
              <w:spacing w:after="0"/>
              <w:rPr>
                <w:sz w:val="20"/>
                <w:szCs w:val="20"/>
                <w:color w:val="auto"/>
              </w:rPr>
            </w:pPr>
            <w:r>
              <w:rPr>
                <w:rFonts w:ascii="Arial" w:cs="Arial" w:eastAsia="Arial" w:hAnsi="Arial"/>
                <w:sz w:val="20"/>
                <w:szCs w:val="20"/>
                <w:color w:val="auto"/>
              </w:rPr>
              <w:t>Earnings per Class A common share - basic and diluted</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3.94</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4.13</w:t>
            </w:r>
          </w:p>
        </w:tc>
        <w:tc>
          <w:tcPr>
            <w:tcW w:w="0" w:type="dxa"/>
            <w:vAlign w:val="bottom"/>
          </w:tcPr>
          <w:p>
            <w:pPr>
              <w:spacing w:after="0"/>
              <w:rPr>
                <w:sz w:val="1"/>
                <w:szCs w:val="1"/>
                <w:color w:val="auto"/>
              </w:rPr>
            </w:pPr>
          </w:p>
        </w:tc>
      </w:tr>
      <w:tr>
        <w:trPr>
          <w:trHeight w:val="300"/>
        </w:trPr>
        <w:tc>
          <w:tcPr>
            <w:tcW w:w="7080" w:type="dxa"/>
            <w:vAlign w:val="bottom"/>
          </w:tcPr>
          <w:p>
            <w:pPr>
              <w:spacing w:after="0"/>
              <w:rPr>
                <w:sz w:val="20"/>
                <w:szCs w:val="20"/>
                <w:color w:val="auto"/>
              </w:rPr>
            </w:pPr>
            <w:r>
              <w:rPr>
                <w:rFonts w:ascii="Arial" w:cs="Arial" w:eastAsia="Arial" w:hAnsi="Arial"/>
                <w:sz w:val="20"/>
                <w:szCs w:val="20"/>
                <w:color w:val="auto"/>
              </w:rPr>
              <w:t>Earnings per Class B common share - basic and diluted</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4.16</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-397510</wp:posOffset>
            </wp:positionV>
            <wp:extent cx="1986915" cy="52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86915" cy="52705"/>
                    </a:xfrm>
                    <a:prstGeom prst="rect">
                      <a:avLst/>
                    </a:prstGeom>
                    <a:noFill/>
                  </pic:spPr>
                </pic:pic>
              </a:graphicData>
            </a:graphic>
          </wp:anchor>
        </w:drawing>
        <w:drawing>
          <wp:anchor simplePos="0" relativeHeight="251657728" behindDoc="1" locked="0" layoutInCell="0" allowOverlap="1">
            <wp:simplePos x="0" y="0"/>
            <wp:positionH relativeFrom="column">
              <wp:posOffset>4474210</wp:posOffset>
            </wp:positionH>
            <wp:positionV relativeFrom="paragraph">
              <wp:posOffset>-208915</wp:posOffset>
            </wp:positionV>
            <wp:extent cx="1995805" cy="2406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95805" cy="24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2240" w:h="15840" w:orient="portrait"/>
          <w:cols w:equalWidth="0" w:num="1">
            <w:col w:w="10800"/>
          </w:cols>
          <w:pgMar w:left="720" w:top="790" w:right="720" w:bottom="0" w:gutter="0" w:footer="0" w:header="0"/>
        </w:sectPr>
      </w:pPr>
    </w:p>
    <w:bookmarkStart w:id="72" w:name="page73"/>
    <w:bookmarkEnd w:id="72"/>
    <w:p>
      <w:pPr>
        <w:jc w:val="both"/>
        <w:spacing w:after="0" w:line="271" w:lineRule="auto"/>
        <w:rPr>
          <w:sz w:val="20"/>
          <w:szCs w:val="20"/>
          <w:color w:val="auto"/>
        </w:rPr>
      </w:pPr>
      <w:r>
        <w:rPr>
          <w:rFonts w:ascii="Arial" w:cs="Arial" w:eastAsia="Arial" w:hAnsi="Arial"/>
          <w:sz w:val="18"/>
          <w:szCs w:val="18"/>
          <w:color w:val="auto"/>
        </w:rPr>
        <w:t>During 2024, the acquisition of Enercon resulted in a noncontrolling interest holder who is entitled to a put option, giving the Sellers the ability to put their redeemable interest in the shares of the acquiree to the Company. Specifically, if exercised by the noncontrolling interest holder, the Company would be required to purchase the remaining 20% of the Seller's redeemable interest, at a redemption price during specified time period(s) stipulated in the Enercon acquisition agreement. Upon acquisition, the redeemable noncontrolling interest was initially valued at a fair value of $72.4 million. The redeemable noncontrolling interest recorded on the accompanying consolidated balance sheet at December 31, 2025 and December 31, 2024 will remain in temporary equity until the applicable put-call option is either fully exercised or expires. At December 31, 2025 and December 31, 2024, the redeemable noncontrolling interest was adjusted to reflect its redemption value of $93.2 million and $80.6 million, respectively. The redemption value of the redeemable noncontrolling interest is generally calculated using Level 3 unobservable inputs based on a multiple of earnings. A roll forward of the redeemable noncontrolling interest for the years ended December 31, 2025 and December 31, 2024 is included in the accompanying consolidated statements of shareholders' equity and redeemable noncontrolling interest.</w:t>
      </w:r>
    </w:p>
    <w:p>
      <w:pPr>
        <w:spacing w:after="0" w:line="200" w:lineRule="exact"/>
        <w:rPr>
          <w:sz w:val="20"/>
          <w:szCs w:val="20"/>
          <w:color w:val="auto"/>
        </w:rPr>
      </w:pPr>
    </w:p>
    <w:p>
      <w:pPr>
        <w:spacing w:after="0" w:line="255"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9"/>
          <w:szCs w:val="19"/>
          <w:color w:val="auto"/>
        </w:rPr>
        <w:t>REVENUE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Nature of Goods and Services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Our revenues are substantially derived from sales of our products.</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our Power Solutions and Protection product group, we provide AC/DC and DC/DC power conversion devices and circuit protection products. Applications range from board-mount power to system-level architectures for servers, storage, networking, industrial, transportation, commercial aerospace and defense applications.</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our Connectivity Solutions product group, we provide connectors and cable assemblies to the aerospace, military/defense, commercial, rugged harsh environment and communication markets. This group also includes passive jacks, plugs and cable assemblies that provide connectivity in networking equipment, as well as modular plugs and cable assemblies used within the structured cabling system, known as premise wiring.</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our Magnetic Solutions product group, we provide an extensive line of integrated connector modules (ICM), where an Ethernet magnetic solution is integrated into a connector package. Products within the Company's Magnetic Solutions group are primarily used in networking and industrial applications.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also provides incremental services to our customers in the form of training, highly-customized product development services, technical support, special tooling, and other support as deemed necessary from time to time. For purposes of ASC 606, all such incremental services were concluded to be immaterial in the context of the contracts.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Types of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revenue is derived from contracts with its customers under one of the following types of contracts:</w:t>
      </w:r>
    </w:p>
    <w:p>
      <w:pPr>
        <w:spacing w:after="0" w:line="250" w:lineRule="exact"/>
        <w:rPr>
          <w:sz w:val="20"/>
          <w:szCs w:val="20"/>
          <w:color w:val="auto"/>
        </w:rPr>
      </w:pPr>
    </w:p>
    <w:p>
      <w:pPr>
        <w:jc w:val="both"/>
        <w:ind w:left="720" w:hanging="355"/>
        <w:spacing w:after="0" w:line="257" w:lineRule="auto"/>
        <w:tabs>
          <w:tab w:leader="none" w:pos="720" w:val="left"/>
        </w:tabs>
        <w:numPr>
          <w:ilvl w:val="0"/>
          <w:numId w:val="26"/>
        </w:numPr>
        <w:rPr>
          <w:rFonts w:ascii="Arial" w:cs="Arial" w:eastAsia="Arial" w:hAnsi="Arial"/>
          <w:sz w:val="19"/>
          <w:szCs w:val="19"/>
          <w:color w:val="auto"/>
        </w:rPr>
      </w:pPr>
      <w:r>
        <w:rPr>
          <w:rFonts w:ascii="Arial" w:cs="Arial" w:eastAsia="Arial" w:hAnsi="Arial"/>
          <w:sz w:val="19"/>
          <w:szCs w:val="19"/>
          <w:b w:val="1"/>
          <w:bCs w:val="1"/>
          <w:color w:val="auto"/>
        </w:rPr>
        <w:t xml:space="preserve">Direct with customer: </w:t>
      </w:r>
      <w:r>
        <w:rPr>
          <w:rFonts w:ascii="Arial" w:cs="Arial" w:eastAsia="Arial" w:hAnsi="Arial"/>
          <w:sz w:val="19"/>
          <w:szCs w:val="19"/>
          <w:color w:val="auto"/>
        </w:rPr>
        <w:t>This includes contracts with original equipment manufacturers (OEMs), original design</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manufacturers (ODMs), and contract manufacturers (CMs). The nature of Bel's products are such that they represent components which are installed in various end applications (</w:t>
      </w:r>
      <w:r>
        <w:rPr>
          <w:rFonts w:ascii="Arial" w:cs="Arial" w:eastAsia="Arial" w:hAnsi="Arial"/>
          <w:sz w:val="19"/>
          <w:szCs w:val="19"/>
          <w:i w:val="1"/>
          <w:iCs w:val="1"/>
          <w:color w:val="auto"/>
        </w:rPr>
        <w:t>e.g.,</w:t>
      </w:r>
      <w:r>
        <w:rPr>
          <w:rFonts w:ascii="Arial" w:cs="Arial" w:eastAsia="Arial" w:hAnsi="Arial"/>
          <w:sz w:val="19"/>
          <w:szCs w:val="19"/>
          <w:color w:val="auto"/>
        </w:rPr>
        <w:t xml:space="preserve"> servers, aircraft, missiles and rail applications). The OEMs, ODMs or CMs that purchase our product for further installation are our end customers. Contracts with these customers are broad-based and cover general terms and conditions. Details such as order volume and pricing are typically contained in individual purchase orders, and as a result, we view each product on each purchase order as an individual performance obligation. Incremental services included in the contracts, such as training, highly-customized product development services, tooling and other customer support are determined to be immaterial in the context of the contract, both individually and in the aggregate. Revenue under these contracts is generally recognized at a point in time, generally upon shipping or delivery, which closely mirrors the shipping terms dictated by the applicable contract.</w:t>
      </w:r>
    </w:p>
    <w:p>
      <w:pPr>
        <w:spacing w:after="0" w:line="186" w:lineRule="exact"/>
        <w:rPr>
          <w:rFonts w:ascii="Arial" w:cs="Arial" w:eastAsia="Arial" w:hAnsi="Arial"/>
          <w:sz w:val="19"/>
          <w:szCs w:val="19"/>
          <w:color w:val="auto"/>
        </w:rPr>
      </w:pPr>
    </w:p>
    <w:p>
      <w:pPr>
        <w:jc w:val="both"/>
        <w:ind w:left="720" w:hanging="355"/>
        <w:spacing w:after="0" w:line="249"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Distributor: </w:t>
      </w:r>
      <w:r>
        <w:rPr>
          <w:rFonts w:ascii="Arial" w:cs="Arial" w:eastAsia="Arial" w:hAnsi="Arial"/>
          <w:sz w:val="20"/>
          <w:szCs w:val="20"/>
          <w:color w:val="auto"/>
        </w:rPr>
        <w:t>Distribution customers buy product directly from Bel and sell it in the marketplace to end customers. Bel</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contracts directly with the distributor. These contracts are typically global in nature and cover a variety of our product groups. Similar to contracts with OEMs, ODMs and CMs, each product on each purchase order is considered an individual performance obligation. Revenue is recognized at a point in time, generally upon shipping or delivery, which closely mirrors the shipping terms dictated by the applicable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2240" w:h="15840" w:orient="portrait"/>
          <w:cols w:equalWidth="0" w:num="1">
            <w:col w:w="10800"/>
          </w:cols>
          <w:pgMar w:left="720" w:top="556" w:right="720" w:bottom="0" w:gutter="0" w:footer="0" w:header="0"/>
        </w:sectPr>
      </w:pPr>
    </w:p>
    <w:bookmarkStart w:id="73" w:name="page74"/>
    <w:bookmarkEnd w:id="73"/>
    <w:p>
      <w:pPr>
        <w:jc w:val="both"/>
        <w:ind w:left="720" w:hanging="355"/>
        <w:spacing w:after="0" w:line="256" w:lineRule="auto"/>
        <w:tabs>
          <w:tab w:leader="none" w:pos="720"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 xml:space="preserve">Customer-Designated Hub Arrangements: </w:t>
      </w:r>
      <w:r>
        <w:rPr>
          <w:rFonts w:ascii="Arial" w:cs="Arial" w:eastAsia="Arial" w:hAnsi="Arial"/>
          <w:sz w:val="19"/>
          <w:szCs w:val="19"/>
          <w:color w:val="auto"/>
        </w:rPr>
        <w:t>These customers operate under a type of concession agreement whereby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ships goods to a warehouse or hub, where they will be pulled by the customer at a later date. The terms specified in the customer-designated hub contracts specify that the Company will not invoice the customer for product until it is pulled from the warehouse or hub. Once product arrives at the hub, it is generally not returned to Bel unless there is a warranty issue (see Note 1, </w:t>
      </w:r>
      <w:r>
        <w:rPr>
          <w:rFonts w:ascii="Arial" w:cs="Arial" w:eastAsia="Arial" w:hAnsi="Arial"/>
          <w:sz w:val="19"/>
          <w:szCs w:val="19"/>
          <w:i w:val="1"/>
          <w:iCs w:val="1"/>
          <w:color w:val="auto"/>
        </w:rPr>
        <w:t>"Description of Business and Summary of Significant Accounting Policies - Product Warranties"</w:t>
      </w:r>
      <w:r>
        <w:rPr>
          <w:rFonts w:ascii="Arial" w:cs="Arial" w:eastAsia="Arial" w:hAnsi="Arial"/>
          <w:sz w:val="19"/>
          <w:szCs w:val="19"/>
          <w:color w:val="auto"/>
        </w:rPr>
        <w:t xml:space="preserve"> above). Similar to the contracts described above, each product on each purchase order is considered an individual performance obligation. Under ASC 606, it was determined that the majority of these hubs are customer-controlled, and therefore control transfers to the customer upon either delivery from Bel's warehouse, or arrival at the customer-controlled hub, depending upon the applicable shipping terms. Revenue is therefore recognized as control of the product is transferred to the customer (for customer-controlled hubs, this is at the time product is shipped to the hub). The accompanying consolidated balance sheet reflects a corresponding unbilled receivable balance, as we do not have the right to invoice the customer until product is pulled from the hub.</w:t>
      </w:r>
    </w:p>
    <w:p>
      <w:pPr>
        <w:spacing w:after="0" w:line="188" w:lineRule="exact"/>
        <w:rPr>
          <w:rFonts w:ascii="Arial" w:cs="Arial" w:eastAsia="Arial" w:hAnsi="Arial"/>
          <w:sz w:val="19"/>
          <w:szCs w:val="19"/>
          <w:color w:val="auto"/>
        </w:rPr>
      </w:pPr>
    </w:p>
    <w:p>
      <w:pPr>
        <w:jc w:val="both"/>
        <w:ind w:left="720" w:hanging="355"/>
        <w:spacing w:after="0" w:line="27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Licensing Agreements: </w:t>
      </w:r>
      <w:r>
        <w:rPr>
          <w:rFonts w:ascii="Arial" w:cs="Arial" w:eastAsia="Arial" w:hAnsi="Arial"/>
          <w:sz w:val="18"/>
          <w:szCs w:val="18"/>
          <w:color w:val="auto"/>
        </w:rPr>
        <w:t>License agreements are only applicable to our Power Solutions and Protection product group,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provisions for Bel to receive sales-based royalty income related to the licensing of Bel's patents or other intellectual property (IP) utilized by a third-party entity. Income related to these agreements is tracked by the licensee throughout the year based on their sales of product that utilize Bel's IP, and that data is reported to Bel either on a quarterly or annual basis, with payment generally received within 30 days of the reporting date. Our performance obligation is satisfied upon delivery of the IP at the beginning of the license period, as the licenses are functional in nature. However, the recognition of revenue associated with these licenses is subject to the sales- or usage-based constraint on variable consideration. As such, the Company records a constrained estimate of this variable consideration as royalty income in the period of the underlying customers' product sales, with adjustments made as actual licensee sales data becomes available.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Significant Payment Terms</w:t>
      </w:r>
    </w:p>
    <w:p>
      <w:pPr>
        <w:spacing w:after="0" w:line="22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Contracts with customers indicate the general terms and conditions in which business will be conducted for a set period of time. Individual purchase orders state the description, quantity and price of each product purchased. Payment for products sold under direct contracts with customers or contracts with distributors is typically due in full within 30-90 days from the transfer of title to the customer. Payment for products sold under our customer -designated hub arrangements is typically due within 60 days of the customer pulling the product from the hub. Payment due related to our licensing agreements is generally within 30 days of receiving the licensee sales data, which is either on a quarterly or annual basis.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Since the customer agrees to a stated price for each product on each purchase order, the majority of contracts are not subject to variable consideration. However, the "ship and debit" arrangements with distributors, royalty income associated with our licensing agreements, and the product returns described above are each deemed to be variable consideration which requires the Company to make constrained estimates based on historical data. At the time of adoption, the Company elected to apply the practical expedient permitted under ASC Topic 606,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This expedient allows entities not to adjust the promised consideration in a contract for the effects of a significant financing component if the period between the transfer of control of goods or services to the customer and receipt of payment is one year or less. The Company assessed its contracts and determined that the timing difference between the transfer of control and payment is typically less than one year. Accordingly, the Company recognizes revenue at the amount of consideration to which it expects to be entitled without separately presenting or recognizing interest income or interest expense related to the timing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2240" w:h="15840" w:orient="portrait"/>
          <w:cols w:equalWidth="0" w:num="1">
            <w:col w:w="10800"/>
          </w:cols>
          <w:pgMar w:left="720" w:top="785" w:right="720" w:bottom="0" w:gutter="0" w:footer="0" w:header="0"/>
        </w:sectPr>
      </w:pPr>
    </w:p>
    <w:bookmarkStart w:id="74" w:name="page75"/>
    <w:bookmarkEnd w:id="74"/>
    <w:p>
      <w:pPr>
        <w:spacing w:after="0"/>
        <w:rPr>
          <w:sz w:val="20"/>
          <w:szCs w:val="20"/>
          <w:color w:val="auto"/>
        </w:rPr>
      </w:pPr>
      <w:r>
        <w:rPr>
          <w:rFonts w:ascii="Arial" w:cs="Arial" w:eastAsia="Arial" w:hAnsi="Arial"/>
          <w:sz w:val="20"/>
          <w:szCs w:val="20"/>
          <w:u w:val="single" w:color="auto"/>
          <w:color w:val="auto"/>
        </w:rPr>
        <w:t>Disaggregation of Revenue</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following table provides information about disaggregated revenue by geographic region and sales channel, and includes a reconciliation of the disaggregated revenue to our reportable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1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7"/>
          </w:tcPr>
          <w:p>
            <w:pPr>
              <w:ind w:left="20"/>
              <w:spacing w:after="0"/>
              <w:rPr>
                <w:sz w:val="20"/>
                <w:szCs w:val="20"/>
                <w:color w:val="auto"/>
              </w:rPr>
            </w:pPr>
            <w:r>
              <w:rPr>
                <w:rFonts w:ascii="Arial" w:cs="Arial" w:eastAsia="Arial" w:hAnsi="Arial"/>
                <w:sz w:val="20"/>
                <w:szCs w:val="20"/>
                <w:color w:val="auto"/>
                <w:w w:val="89"/>
              </w:rPr>
              <w:t>Year Ended December 31, 2025</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01"/>
              <w:spacing w:after="0" w:line="206" w:lineRule="exact"/>
              <w:rPr>
                <w:sz w:val="20"/>
                <w:szCs w:val="20"/>
                <w:color w:val="auto"/>
              </w:rPr>
            </w:pPr>
            <w:r>
              <w:rPr>
                <w:rFonts w:ascii="Arial" w:cs="Arial" w:eastAsia="Arial" w:hAnsi="Arial"/>
                <w:sz w:val="20"/>
                <w:szCs w:val="20"/>
                <w:color w:val="auto"/>
                <w:w w:val="88"/>
              </w:rPr>
              <w:t>Power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81"/>
              <w:spacing w:after="0"/>
              <w:rPr>
                <w:sz w:val="20"/>
                <w:szCs w:val="20"/>
                <w:color w:val="auto"/>
              </w:rPr>
            </w:pPr>
            <w:r>
              <w:rPr>
                <w:rFonts w:ascii="Arial" w:cs="Arial" w:eastAsia="Arial" w:hAnsi="Arial"/>
                <w:sz w:val="20"/>
                <w:szCs w:val="20"/>
                <w:color w:val="auto"/>
                <w:w w:val="92"/>
              </w:rPr>
              <w:t>Solutions</w:t>
            </w:r>
          </w:p>
        </w:tc>
        <w:tc>
          <w:tcPr>
            <w:tcW w:w="14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20"/>
                <w:szCs w:val="20"/>
                <w:color w:val="auto"/>
                <w:w w:val="95"/>
              </w:rPr>
              <w:t>Connectivity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41"/>
              <w:spacing w:after="0"/>
              <w:rPr>
                <w:sz w:val="20"/>
                <w:szCs w:val="20"/>
                <w:color w:val="auto"/>
              </w:rPr>
            </w:pPr>
            <w:r>
              <w:rPr>
                <w:rFonts w:ascii="Arial" w:cs="Arial" w:eastAsia="Arial" w:hAnsi="Arial"/>
                <w:sz w:val="20"/>
                <w:szCs w:val="20"/>
                <w:color w:val="auto"/>
                <w:w w:val="98"/>
              </w:rPr>
              <w:t>Magnetic</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8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By Geographic Region:</w:t>
            </w: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and Protection</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color w:val="auto"/>
                <w:w w:val="92"/>
              </w:rPr>
              <w:t>Solutions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97"/>
              </w:rPr>
              <w:t>Solutions</w:t>
            </w:r>
          </w:p>
        </w:tc>
        <w:tc>
          <w:tcPr>
            <w:tcW w:w="160" w:type="dxa"/>
            <w:vAlign w:val="bottom"/>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5"/>
              </w:rPr>
              <w:t>Consolidated</w:t>
            </w:r>
          </w:p>
        </w:tc>
        <w:tc>
          <w:tcPr>
            <w:tcW w:w="0" w:type="dxa"/>
            <w:vAlign w:val="bottom"/>
          </w:tcPr>
          <w:p>
            <w:pPr>
              <w:spacing w:after="0"/>
              <w:rPr>
                <w:sz w:val="1"/>
                <w:szCs w:val="1"/>
                <w:color w:val="auto"/>
              </w:rPr>
            </w:pPr>
          </w:p>
        </w:tc>
      </w:tr>
      <w:tr>
        <w:trPr>
          <w:trHeight w:val="215"/>
        </w:trPr>
        <w:tc>
          <w:tcPr>
            <w:tcW w:w="3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Arial" w:cs="Arial" w:eastAsia="Arial" w:hAnsi="Arial"/>
                <w:sz w:val="20"/>
                <w:szCs w:val="20"/>
                <w:color w:val="auto"/>
              </w:rPr>
              <w:t>North America</w:t>
            </w: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226,664</w:t>
            </w:r>
          </w:p>
        </w:tc>
        <w:tc>
          <w:tcPr>
            <w:tcW w:w="32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184,839</w:t>
            </w:r>
          </w:p>
        </w:tc>
        <w:tc>
          <w:tcPr>
            <w:tcW w:w="32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35,869</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447,372</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Arial" w:cs="Arial" w:eastAsia="Arial" w:hAnsi="Arial"/>
                <w:sz w:val="20"/>
                <w:szCs w:val="20"/>
                <w:color w:val="auto"/>
              </w:rPr>
              <w:t>EMEA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58,765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42,252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3,569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104,586</w:t>
            </w:r>
          </w:p>
        </w:tc>
        <w:tc>
          <w:tcPr>
            <w:tcW w:w="0" w:type="dxa"/>
            <w:vAlign w:val="bottom"/>
          </w:tcPr>
          <w:p>
            <w:pPr>
              <w:spacing w:after="0"/>
              <w:rPr>
                <w:sz w:val="1"/>
                <w:szCs w:val="1"/>
                <w:color w:val="auto"/>
              </w:rPr>
            </w:pPr>
          </w:p>
        </w:tc>
      </w:tr>
      <w:tr>
        <w:trPr>
          <w:trHeight w:val="254"/>
        </w:trPr>
        <w:tc>
          <w:tcPr>
            <w:tcW w:w="3180" w:type="dxa"/>
            <w:vAlign w:val="bottom"/>
          </w:tcPr>
          <w:p>
            <w:pPr>
              <w:spacing w:after="0"/>
              <w:rPr>
                <w:sz w:val="20"/>
                <w:szCs w:val="20"/>
                <w:color w:val="auto"/>
              </w:rPr>
            </w:pPr>
            <w:r>
              <w:rPr>
                <w:rFonts w:ascii="Arial" w:cs="Arial" w:eastAsia="Arial" w:hAnsi="Arial"/>
                <w:sz w:val="20"/>
                <w:szCs w:val="20"/>
                <w:color w:val="auto"/>
              </w:rPr>
              <w:t>Asia</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71,376</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5,195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46,926</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123,497</w:t>
            </w:r>
          </w:p>
        </w:tc>
        <w:tc>
          <w:tcPr>
            <w:tcW w:w="0" w:type="dxa"/>
            <w:vAlign w:val="bottom"/>
          </w:tcPr>
          <w:p>
            <w:pPr>
              <w:spacing w:after="0"/>
              <w:rPr>
                <w:sz w:val="1"/>
                <w:szCs w:val="1"/>
                <w:color w:val="auto"/>
              </w:rPr>
            </w:pPr>
          </w:p>
        </w:tc>
      </w:tr>
      <w:tr>
        <w:trPr>
          <w:trHeight w:val="259"/>
        </w:trPr>
        <w:tc>
          <w:tcPr>
            <w:tcW w:w="31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356,805</w:t>
            </w:r>
          </w:p>
        </w:tc>
        <w:tc>
          <w:tcPr>
            <w:tcW w:w="14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232,286</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86,364</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675,455</w:t>
            </w:r>
          </w:p>
        </w:tc>
        <w:tc>
          <w:tcPr>
            <w:tcW w:w="0" w:type="dxa"/>
            <w:vAlign w:val="bottom"/>
          </w:tcPr>
          <w:p>
            <w:pPr>
              <w:spacing w:after="0"/>
              <w:rPr>
                <w:sz w:val="1"/>
                <w:szCs w:val="1"/>
                <w:color w:val="auto"/>
              </w:rPr>
            </w:pPr>
          </w:p>
        </w:tc>
      </w:tr>
      <w:tr>
        <w:trPr>
          <w:trHeight w:val="491"/>
        </w:trPr>
        <w:tc>
          <w:tcPr>
            <w:tcW w:w="3180" w:type="dxa"/>
            <w:vAlign w:val="bottom"/>
          </w:tcPr>
          <w:p>
            <w:pPr>
              <w:spacing w:after="0"/>
              <w:rPr>
                <w:sz w:val="20"/>
                <w:szCs w:val="20"/>
                <w:color w:val="auto"/>
              </w:rPr>
            </w:pPr>
            <w:r>
              <w:rPr>
                <w:rFonts w:ascii="Arial" w:cs="Arial" w:eastAsia="Arial" w:hAnsi="Arial"/>
                <w:sz w:val="20"/>
                <w:szCs w:val="20"/>
                <w:b w:val="1"/>
                <w:bCs w:val="1"/>
                <w:i w:val="1"/>
                <w:iCs w:val="1"/>
                <w:color w:val="auto"/>
              </w:rPr>
              <w:t>By Sales Channel: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Arial" w:cs="Arial" w:eastAsia="Arial" w:hAnsi="Arial"/>
                <w:sz w:val="20"/>
                <w:szCs w:val="20"/>
                <w:color w:val="auto"/>
              </w:rPr>
              <w:t>Direct to customer</w:t>
            </w: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280,123</w:t>
            </w:r>
          </w:p>
        </w:tc>
        <w:tc>
          <w:tcPr>
            <w:tcW w:w="32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152,458</w:t>
            </w:r>
          </w:p>
        </w:tc>
        <w:tc>
          <w:tcPr>
            <w:tcW w:w="32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64,062</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496,643</w:t>
            </w:r>
          </w:p>
        </w:tc>
        <w:tc>
          <w:tcPr>
            <w:tcW w:w="0" w:type="dxa"/>
            <w:vAlign w:val="bottom"/>
          </w:tcPr>
          <w:p>
            <w:pPr>
              <w:spacing w:after="0"/>
              <w:rPr>
                <w:sz w:val="1"/>
                <w:szCs w:val="1"/>
                <w:color w:val="auto"/>
              </w:rPr>
            </w:pPr>
          </w:p>
        </w:tc>
      </w:tr>
      <w:tr>
        <w:trPr>
          <w:trHeight w:val="254"/>
        </w:trPr>
        <w:tc>
          <w:tcPr>
            <w:tcW w:w="3180" w:type="dxa"/>
            <w:vAlign w:val="bottom"/>
          </w:tcPr>
          <w:p>
            <w:pPr>
              <w:spacing w:after="0"/>
              <w:rPr>
                <w:sz w:val="20"/>
                <w:szCs w:val="20"/>
                <w:color w:val="auto"/>
              </w:rPr>
            </w:pPr>
            <w:r>
              <w:rPr>
                <w:rFonts w:ascii="Arial" w:cs="Arial" w:eastAsia="Arial" w:hAnsi="Arial"/>
                <w:sz w:val="20"/>
                <w:szCs w:val="20"/>
                <w:color w:val="auto"/>
              </w:rPr>
              <w:t>Through distribution</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76,682</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79,828</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22,302</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178,812</w:t>
            </w:r>
          </w:p>
        </w:tc>
        <w:tc>
          <w:tcPr>
            <w:tcW w:w="0" w:type="dxa"/>
            <w:vAlign w:val="bottom"/>
          </w:tcPr>
          <w:p>
            <w:pPr>
              <w:spacing w:after="0"/>
              <w:rPr>
                <w:sz w:val="1"/>
                <w:szCs w:val="1"/>
                <w:color w:val="auto"/>
              </w:rPr>
            </w:pPr>
          </w:p>
        </w:tc>
      </w:tr>
      <w:tr>
        <w:trPr>
          <w:trHeight w:val="247"/>
        </w:trPr>
        <w:tc>
          <w:tcPr>
            <w:tcW w:w="31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356,805</w:t>
            </w:r>
          </w:p>
        </w:tc>
        <w:tc>
          <w:tcPr>
            <w:tcW w:w="14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232,286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86,364</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675,455</w:t>
            </w:r>
          </w:p>
        </w:tc>
        <w:tc>
          <w:tcPr>
            <w:tcW w:w="0" w:type="dxa"/>
            <w:vAlign w:val="bottom"/>
          </w:tcPr>
          <w:p>
            <w:pPr>
              <w:spacing w:after="0"/>
              <w:rPr>
                <w:sz w:val="1"/>
                <w:szCs w:val="1"/>
                <w:color w:val="auto"/>
              </w:rPr>
            </w:pPr>
          </w:p>
        </w:tc>
      </w:tr>
      <w:tr>
        <w:trPr>
          <w:trHeight w:val="493"/>
        </w:trPr>
        <w:tc>
          <w:tcPr>
            <w:tcW w:w="3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20"/>
              <w:spacing w:after="0"/>
              <w:rPr>
                <w:sz w:val="20"/>
                <w:szCs w:val="20"/>
                <w:color w:val="auto"/>
              </w:rPr>
            </w:pPr>
            <w:r>
              <w:rPr>
                <w:rFonts w:ascii="Arial" w:cs="Arial" w:eastAsia="Arial" w:hAnsi="Arial"/>
                <w:sz w:val="20"/>
                <w:szCs w:val="20"/>
                <w:color w:val="auto"/>
                <w:w w:val="89"/>
              </w:rPr>
              <w:t>Year Ended December 31, 2024</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01"/>
              <w:spacing w:after="0" w:line="206" w:lineRule="exact"/>
              <w:rPr>
                <w:sz w:val="20"/>
                <w:szCs w:val="20"/>
                <w:color w:val="auto"/>
              </w:rPr>
            </w:pPr>
            <w:r>
              <w:rPr>
                <w:rFonts w:ascii="Arial" w:cs="Arial" w:eastAsia="Arial" w:hAnsi="Arial"/>
                <w:sz w:val="20"/>
                <w:szCs w:val="20"/>
                <w:color w:val="auto"/>
                <w:w w:val="88"/>
              </w:rPr>
              <w:t>Power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81"/>
              <w:spacing w:after="0"/>
              <w:rPr>
                <w:sz w:val="20"/>
                <w:szCs w:val="20"/>
                <w:color w:val="auto"/>
              </w:rPr>
            </w:pPr>
            <w:r>
              <w:rPr>
                <w:rFonts w:ascii="Arial" w:cs="Arial" w:eastAsia="Arial" w:hAnsi="Arial"/>
                <w:sz w:val="20"/>
                <w:szCs w:val="20"/>
                <w:color w:val="auto"/>
                <w:w w:val="92"/>
              </w:rPr>
              <w:t>Solutions</w:t>
            </w:r>
          </w:p>
        </w:tc>
        <w:tc>
          <w:tcPr>
            <w:tcW w:w="14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20"/>
                <w:szCs w:val="20"/>
                <w:color w:val="auto"/>
                <w:w w:val="95"/>
              </w:rPr>
              <w:t>Connectivity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41"/>
              <w:spacing w:after="0"/>
              <w:rPr>
                <w:sz w:val="20"/>
                <w:szCs w:val="20"/>
                <w:color w:val="auto"/>
              </w:rPr>
            </w:pPr>
            <w:r>
              <w:rPr>
                <w:rFonts w:ascii="Arial" w:cs="Arial" w:eastAsia="Arial" w:hAnsi="Arial"/>
                <w:sz w:val="20"/>
                <w:szCs w:val="20"/>
                <w:color w:val="auto"/>
                <w:w w:val="98"/>
              </w:rPr>
              <w:t>Magnetic</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18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By Geographic Region:</w:t>
            </w: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and Protection</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color w:val="auto"/>
                <w:w w:val="92"/>
              </w:rPr>
              <w:t>Solutions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97"/>
              </w:rPr>
              <w:t>Solutions</w:t>
            </w:r>
          </w:p>
        </w:tc>
        <w:tc>
          <w:tcPr>
            <w:tcW w:w="160" w:type="dxa"/>
            <w:vAlign w:val="bottom"/>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5"/>
              </w:rPr>
              <w:t>Consolidated</w:t>
            </w:r>
          </w:p>
        </w:tc>
        <w:tc>
          <w:tcPr>
            <w:tcW w:w="0" w:type="dxa"/>
            <w:vAlign w:val="bottom"/>
          </w:tcPr>
          <w:p>
            <w:pPr>
              <w:spacing w:after="0"/>
              <w:rPr>
                <w:sz w:val="1"/>
                <w:szCs w:val="1"/>
                <w:color w:val="auto"/>
              </w:rPr>
            </w:pPr>
          </w:p>
        </w:tc>
      </w:tr>
      <w:tr>
        <w:trPr>
          <w:trHeight w:val="215"/>
        </w:trPr>
        <w:tc>
          <w:tcPr>
            <w:tcW w:w="3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Arial" w:cs="Arial" w:eastAsia="Arial" w:hAnsi="Arial"/>
                <w:sz w:val="20"/>
                <w:szCs w:val="20"/>
                <w:color w:val="auto"/>
              </w:rPr>
              <w:t>North America</w:t>
            </w: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161,496</w:t>
            </w:r>
          </w:p>
        </w:tc>
        <w:tc>
          <w:tcPr>
            <w:tcW w:w="32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172,477</w:t>
            </w:r>
          </w:p>
        </w:tc>
        <w:tc>
          <w:tcPr>
            <w:tcW w:w="32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28,187</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362,160</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Arial" w:cs="Arial" w:eastAsia="Arial" w:hAnsi="Arial"/>
                <w:sz w:val="20"/>
                <w:szCs w:val="20"/>
                <w:color w:val="auto"/>
              </w:rPr>
              <w:t>EMEA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57,010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42,581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4,700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104,291</w:t>
            </w: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0"/>
                <w:szCs w:val="20"/>
                <w:color w:val="auto"/>
              </w:rPr>
            </w:pPr>
            <w:r>
              <w:rPr>
                <w:rFonts w:ascii="Arial" w:cs="Arial" w:eastAsia="Arial" w:hAnsi="Arial"/>
                <w:sz w:val="20"/>
                <w:szCs w:val="20"/>
                <w:color w:val="auto"/>
              </w:rPr>
              <w:t>Asia</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27,045</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5,312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35,984</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68,341</w:t>
            </w:r>
          </w:p>
        </w:tc>
        <w:tc>
          <w:tcPr>
            <w:tcW w:w="0" w:type="dxa"/>
            <w:vAlign w:val="bottom"/>
          </w:tcPr>
          <w:p>
            <w:pPr>
              <w:spacing w:after="0"/>
              <w:rPr>
                <w:sz w:val="1"/>
                <w:szCs w:val="1"/>
                <w:color w:val="auto"/>
              </w:rPr>
            </w:pPr>
          </w:p>
        </w:tc>
      </w:tr>
      <w:tr>
        <w:trPr>
          <w:trHeight w:val="259"/>
        </w:trPr>
        <w:tc>
          <w:tcPr>
            <w:tcW w:w="31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245,551</w:t>
            </w:r>
          </w:p>
        </w:tc>
        <w:tc>
          <w:tcPr>
            <w:tcW w:w="14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220,370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68,871</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534,792</w:t>
            </w:r>
          </w:p>
        </w:tc>
        <w:tc>
          <w:tcPr>
            <w:tcW w:w="0" w:type="dxa"/>
            <w:vAlign w:val="bottom"/>
          </w:tcPr>
          <w:p>
            <w:pPr>
              <w:spacing w:after="0"/>
              <w:rPr>
                <w:sz w:val="1"/>
                <w:szCs w:val="1"/>
                <w:color w:val="auto"/>
              </w:rPr>
            </w:pPr>
          </w:p>
        </w:tc>
      </w:tr>
      <w:tr>
        <w:trPr>
          <w:trHeight w:val="491"/>
        </w:trPr>
        <w:tc>
          <w:tcPr>
            <w:tcW w:w="3180" w:type="dxa"/>
            <w:vAlign w:val="bottom"/>
          </w:tcPr>
          <w:p>
            <w:pPr>
              <w:spacing w:after="0"/>
              <w:rPr>
                <w:sz w:val="20"/>
                <w:szCs w:val="20"/>
                <w:color w:val="auto"/>
              </w:rPr>
            </w:pPr>
            <w:r>
              <w:rPr>
                <w:rFonts w:ascii="Arial" w:cs="Arial" w:eastAsia="Arial" w:hAnsi="Arial"/>
                <w:sz w:val="20"/>
                <w:szCs w:val="20"/>
                <w:b w:val="1"/>
                <w:bCs w:val="1"/>
                <w:i w:val="1"/>
                <w:iCs w:val="1"/>
                <w:color w:val="auto"/>
              </w:rPr>
              <w:t>By Sales Channel: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Arial" w:cs="Arial" w:eastAsia="Arial" w:hAnsi="Arial"/>
                <w:sz w:val="20"/>
                <w:szCs w:val="20"/>
                <w:color w:val="auto"/>
              </w:rPr>
              <w:t>Direct to customer</w:t>
            </w: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170,357</w:t>
            </w:r>
          </w:p>
        </w:tc>
        <w:tc>
          <w:tcPr>
            <w:tcW w:w="32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138,377</w:t>
            </w:r>
          </w:p>
        </w:tc>
        <w:tc>
          <w:tcPr>
            <w:tcW w:w="32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49,047</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357,781</w:t>
            </w:r>
          </w:p>
        </w:tc>
        <w:tc>
          <w:tcPr>
            <w:tcW w:w="0" w:type="dxa"/>
            <w:vAlign w:val="bottom"/>
          </w:tcPr>
          <w:p>
            <w:pPr>
              <w:spacing w:after="0"/>
              <w:rPr>
                <w:sz w:val="1"/>
                <w:szCs w:val="1"/>
                <w:color w:val="auto"/>
              </w:rPr>
            </w:pPr>
          </w:p>
        </w:tc>
      </w:tr>
      <w:tr>
        <w:trPr>
          <w:trHeight w:val="254"/>
        </w:trPr>
        <w:tc>
          <w:tcPr>
            <w:tcW w:w="3180" w:type="dxa"/>
            <w:vAlign w:val="bottom"/>
          </w:tcPr>
          <w:p>
            <w:pPr>
              <w:spacing w:after="0"/>
              <w:rPr>
                <w:sz w:val="20"/>
                <w:szCs w:val="20"/>
                <w:color w:val="auto"/>
              </w:rPr>
            </w:pPr>
            <w:r>
              <w:rPr>
                <w:rFonts w:ascii="Arial" w:cs="Arial" w:eastAsia="Arial" w:hAnsi="Arial"/>
                <w:sz w:val="20"/>
                <w:szCs w:val="20"/>
                <w:color w:val="auto"/>
              </w:rPr>
              <w:t>Through distribution</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75,194</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81,993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19,824</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177,011</w:t>
            </w:r>
          </w:p>
        </w:tc>
        <w:tc>
          <w:tcPr>
            <w:tcW w:w="0" w:type="dxa"/>
            <w:vAlign w:val="bottom"/>
          </w:tcPr>
          <w:p>
            <w:pPr>
              <w:spacing w:after="0"/>
              <w:rPr>
                <w:sz w:val="1"/>
                <w:szCs w:val="1"/>
                <w:color w:val="auto"/>
              </w:rPr>
            </w:pPr>
          </w:p>
        </w:tc>
      </w:tr>
      <w:tr>
        <w:trPr>
          <w:trHeight w:val="247"/>
        </w:trPr>
        <w:tc>
          <w:tcPr>
            <w:tcW w:w="31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245,551</w:t>
            </w:r>
          </w:p>
        </w:tc>
        <w:tc>
          <w:tcPr>
            <w:tcW w:w="14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220,370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68,871</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534,792</w:t>
            </w:r>
          </w:p>
        </w:tc>
        <w:tc>
          <w:tcPr>
            <w:tcW w:w="0" w:type="dxa"/>
            <w:vAlign w:val="bottom"/>
          </w:tcPr>
          <w:p>
            <w:pPr>
              <w:spacing w:after="0"/>
              <w:rPr>
                <w:sz w:val="1"/>
                <w:szCs w:val="1"/>
                <w:color w:val="auto"/>
              </w:rPr>
            </w:pPr>
          </w:p>
        </w:tc>
      </w:tr>
      <w:tr>
        <w:trPr>
          <w:trHeight w:val="493"/>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40"/>
              <w:spacing w:after="0"/>
              <w:rPr>
                <w:sz w:val="20"/>
                <w:szCs w:val="20"/>
                <w:color w:val="auto"/>
              </w:rPr>
            </w:pPr>
            <w:r>
              <w:rPr>
                <w:rFonts w:ascii="Arial" w:cs="Arial" w:eastAsia="Arial" w:hAnsi="Arial"/>
                <w:sz w:val="20"/>
                <w:szCs w:val="20"/>
                <w:color w:val="auto"/>
                <w:w w:val="89"/>
              </w:rPr>
              <w:t>Year Ended December 31, 2023</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81"/>
              <w:spacing w:after="0" w:line="206" w:lineRule="exact"/>
              <w:rPr>
                <w:sz w:val="20"/>
                <w:szCs w:val="20"/>
                <w:color w:val="auto"/>
              </w:rPr>
            </w:pPr>
            <w:r>
              <w:rPr>
                <w:rFonts w:ascii="Arial" w:cs="Arial" w:eastAsia="Arial" w:hAnsi="Arial"/>
                <w:sz w:val="20"/>
                <w:szCs w:val="20"/>
                <w:color w:val="auto"/>
                <w:w w:val="91"/>
              </w:rPr>
              <w:t>Power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81"/>
              <w:spacing w:after="0"/>
              <w:rPr>
                <w:sz w:val="20"/>
                <w:szCs w:val="20"/>
                <w:color w:val="auto"/>
              </w:rPr>
            </w:pPr>
            <w:r>
              <w:rPr>
                <w:rFonts w:ascii="Arial" w:cs="Arial" w:eastAsia="Arial" w:hAnsi="Arial"/>
                <w:sz w:val="20"/>
                <w:szCs w:val="20"/>
                <w:color w:val="auto"/>
                <w:w w:val="92"/>
              </w:rPr>
              <w:t>Solutions</w:t>
            </w:r>
          </w:p>
        </w:tc>
        <w:tc>
          <w:tcPr>
            <w:tcW w:w="14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20"/>
                <w:szCs w:val="20"/>
                <w:color w:val="auto"/>
                <w:w w:val="95"/>
              </w:rPr>
              <w:t>Connectivity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41"/>
              <w:spacing w:after="0"/>
              <w:rPr>
                <w:sz w:val="20"/>
                <w:szCs w:val="20"/>
                <w:color w:val="auto"/>
              </w:rPr>
            </w:pPr>
            <w:r>
              <w:rPr>
                <w:rFonts w:ascii="Arial" w:cs="Arial" w:eastAsia="Arial" w:hAnsi="Arial"/>
                <w:sz w:val="20"/>
                <w:szCs w:val="20"/>
                <w:color w:val="auto"/>
                <w:w w:val="98"/>
              </w:rPr>
              <w:t>Magnetic</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18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By Geographic Region:</w:t>
            </w:r>
          </w:p>
        </w:tc>
        <w:tc>
          <w:tcPr>
            <w:tcW w:w="20" w:type="dxa"/>
            <w:vAlign w:val="bottom"/>
          </w:tcPr>
          <w:p>
            <w:pPr>
              <w:spacing w:after="0"/>
              <w:rPr>
                <w:sz w:val="22"/>
                <w:szCs w:val="22"/>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and Protection</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color w:val="auto"/>
                <w:w w:val="92"/>
              </w:rPr>
              <w:t>Solutions</w:t>
            </w:r>
          </w:p>
        </w:tc>
        <w:tc>
          <w:tcPr>
            <w:tcW w:w="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97"/>
              </w:rPr>
              <w:t>Solutions</w:t>
            </w:r>
          </w:p>
        </w:tc>
        <w:tc>
          <w:tcPr>
            <w:tcW w:w="160" w:type="dxa"/>
            <w:vAlign w:val="bottom"/>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5"/>
              </w:rPr>
              <w:t>Consolidated</w:t>
            </w:r>
          </w:p>
        </w:tc>
        <w:tc>
          <w:tcPr>
            <w:tcW w:w="0" w:type="dxa"/>
            <w:vAlign w:val="bottom"/>
          </w:tcPr>
          <w:p>
            <w:pPr>
              <w:spacing w:after="0"/>
              <w:rPr>
                <w:sz w:val="1"/>
                <w:szCs w:val="1"/>
                <w:color w:val="auto"/>
              </w:rPr>
            </w:pPr>
          </w:p>
        </w:tc>
      </w:tr>
      <w:tr>
        <w:trPr>
          <w:trHeight w:val="215"/>
        </w:trPr>
        <w:tc>
          <w:tcPr>
            <w:tcW w:w="3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Arial" w:cs="Arial" w:eastAsia="Arial" w:hAnsi="Arial"/>
                <w:sz w:val="20"/>
                <w:szCs w:val="20"/>
                <w:color w:val="auto"/>
              </w:rPr>
              <w:t>North America</w:t>
            </w: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233,016</w:t>
            </w:r>
          </w:p>
        </w:tc>
        <w:tc>
          <w:tcPr>
            <w:tcW w:w="32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172,518</w:t>
            </w:r>
          </w:p>
        </w:tc>
        <w:tc>
          <w:tcPr>
            <w:tcW w:w="32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42,259</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447,793</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Arial" w:cs="Arial" w:eastAsia="Arial" w:hAnsi="Arial"/>
                <w:sz w:val="20"/>
                <w:szCs w:val="20"/>
                <w:color w:val="auto"/>
              </w:rPr>
              <w:t>EMEA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57,567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32,689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8,263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98,519</w:t>
            </w: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0"/>
                <w:szCs w:val="20"/>
                <w:color w:val="auto"/>
              </w:rPr>
            </w:pPr>
            <w:r>
              <w:rPr>
                <w:rFonts w:ascii="Arial" w:cs="Arial" w:eastAsia="Arial" w:hAnsi="Arial"/>
                <w:sz w:val="20"/>
                <w:szCs w:val="20"/>
                <w:color w:val="auto"/>
              </w:rPr>
              <w:t>Asia</w:t>
            </w: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23,522</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5,365</w:t>
            </w:r>
          </w:p>
        </w:tc>
        <w:tc>
          <w:tcPr>
            <w:tcW w:w="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64,614</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93,501</w:t>
            </w:r>
          </w:p>
        </w:tc>
        <w:tc>
          <w:tcPr>
            <w:tcW w:w="0" w:type="dxa"/>
            <w:vAlign w:val="bottom"/>
          </w:tcPr>
          <w:p>
            <w:pPr>
              <w:spacing w:after="0"/>
              <w:rPr>
                <w:sz w:val="1"/>
                <w:szCs w:val="1"/>
                <w:color w:val="auto"/>
              </w:rPr>
            </w:pPr>
          </w:p>
        </w:tc>
      </w:tr>
      <w:tr>
        <w:trPr>
          <w:trHeight w:val="259"/>
        </w:trPr>
        <w:tc>
          <w:tcPr>
            <w:tcW w:w="3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314,105</w:t>
            </w:r>
          </w:p>
        </w:tc>
        <w:tc>
          <w:tcPr>
            <w:tcW w:w="14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210,572</w:t>
            </w:r>
          </w:p>
        </w:tc>
        <w:tc>
          <w:tcPr>
            <w:tcW w:w="2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115,136</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639,813</w:t>
            </w:r>
          </w:p>
        </w:tc>
        <w:tc>
          <w:tcPr>
            <w:tcW w:w="0" w:type="dxa"/>
            <w:vAlign w:val="bottom"/>
          </w:tcPr>
          <w:p>
            <w:pPr>
              <w:spacing w:after="0"/>
              <w:rPr>
                <w:sz w:val="1"/>
                <w:szCs w:val="1"/>
                <w:color w:val="auto"/>
              </w:rPr>
            </w:pPr>
          </w:p>
        </w:tc>
      </w:tr>
      <w:tr>
        <w:trPr>
          <w:trHeight w:val="489"/>
        </w:trPr>
        <w:tc>
          <w:tcPr>
            <w:tcW w:w="3180" w:type="dxa"/>
            <w:vAlign w:val="bottom"/>
          </w:tcPr>
          <w:p>
            <w:pPr>
              <w:spacing w:after="0"/>
              <w:rPr>
                <w:sz w:val="20"/>
                <w:szCs w:val="20"/>
                <w:color w:val="auto"/>
              </w:rPr>
            </w:pPr>
            <w:r>
              <w:rPr>
                <w:rFonts w:ascii="Arial" w:cs="Arial" w:eastAsia="Arial" w:hAnsi="Arial"/>
                <w:sz w:val="20"/>
                <w:szCs w:val="20"/>
                <w:b w:val="1"/>
                <w:bCs w:val="1"/>
                <w:i w:val="1"/>
                <w:iCs w:val="1"/>
                <w:color w:val="auto"/>
              </w:rPr>
              <w:t>By Sales Channel: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Arial" w:cs="Arial" w:eastAsia="Arial" w:hAnsi="Arial"/>
                <w:sz w:val="20"/>
                <w:szCs w:val="20"/>
                <w:color w:val="auto"/>
              </w:rPr>
              <w:t>Direct to customer</w:t>
            </w: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221,828</w:t>
            </w:r>
          </w:p>
        </w:tc>
        <w:tc>
          <w:tcPr>
            <w:tcW w:w="32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130,893</w:t>
            </w:r>
          </w:p>
        </w:tc>
        <w:tc>
          <w:tcPr>
            <w:tcW w:w="32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86,608</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439,329</w:t>
            </w: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0"/>
                <w:szCs w:val="20"/>
                <w:color w:val="auto"/>
              </w:rPr>
            </w:pPr>
            <w:r>
              <w:rPr>
                <w:rFonts w:ascii="Arial" w:cs="Arial" w:eastAsia="Arial" w:hAnsi="Arial"/>
                <w:sz w:val="20"/>
                <w:szCs w:val="20"/>
                <w:color w:val="auto"/>
              </w:rPr>
              <w:t>Through distribution</w:t>
            </w: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92,277</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79,679</w:t>
            </w:r>
          </w:p>
        </w:tc>
        <w:tc>
          <w:tcPr>
            <w:tcW w:w="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28,528</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200,484</w:t>
            </w:r>
          </w:p>
        </w:tc>
        <w:tc>
          <w:tcPr>
            <w:tcW w:w="0" w:type="dxa"/>
            <w:vAlign w:val="bottom"/>
          </w:tcPr>
          <w:p>
            <w:pPr>
              <w:spacing w:after="0"/>
              <w:rPr>
                <w:sz w:val="1"/>
                <w:szCs w:val="1"/>
                <w:color w:val="auto"/>
              </w:rPr>
            </w:pPr>
          </w:p>
        </w:tc>
      </w:tr>
      <w:tr>
        <w:trPr>
          <w:trHeight w:val="247"/>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314,105</w:t>
            </w:r>
          </w:p>
        </w:tc>
        <w:tc>
          <w:tcPr>
            <w:tcW w:w="14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210,572</w:t>
            </w:r>
          </w:p>
        </w:tc>
        <w:tc>
          <w:tcPr>
            <w:tcW w:w="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115,136</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639,813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-5565140</wp:posOffset>
            </wp:positionV>
            <wp:extent cx="3445510" cy="52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45510" cy="52705"/>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-4931410</wp:posOffset>
            </wp:positionV>
            <wp:extent cx="3454400" cy="2222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54400" cy="22225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-3194685</wp:posOffset>
            </wp:positionV>
            <wp:extent cx="3445510" cy="52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45510" cy="52705"/>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-2560955</wp:posOffset>
            </wp:positionV>
            <wp:extent cx="3454400" cy="222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54400" cy="22225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-824865</wp:posOffset>
            </wp:positionV>
            <wp:extent cx="3443605" cy="52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43605" cy="52705"/>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-191135</wp:posOffset>
            </wp:positionV>
            <wp:extent cx="3453130" cy="222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53130" cy="2222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Contract Assets and Contract Liabilities</w:t>
      </w:r>
      <w:r>
        <w:rPr>
          <w:rFonts w:ascii="Arial" w:cs="Arial" w:eastAsia="Arial" w:hAnsi="Arial"/>
          <w:sz w:val="20"/>
          <w:szCs w:val="20"/>
          <w:color w:val="auto"/>
        </w:rPr>
        <w: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contract asset results when goods or services have been transferred to the customer but payment is contingent upon a future event, other than passage of time. In the case of our customer-controlled hub arrangements, we are unable to invoice the customer until product is pulled from the hub by the customer, which generates an unbilled receivable (a contract asset) when revenue is initially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2240" w:h="15840" w:orient="portrait"/>
          <w:cols w:equalWidth="0" w:num="1">
            <w:col w:w="10800"/>
          </w:cols>
          <w:pgMar w:left="720" w:top="555" w:right="720" w:bottom="0" w:gutter="0" w:footer="0" w:header="0"/>
        </w:sectPr>
      </w:pPr>
    </w:p>
    <w:bookmarkStart w:id="75" w:name="page76"/>
    <w:bookmarkEnd w:id="75"/>
    <w:p>
      <w:pPr>
        <w:jc w:val="both"/>
        <w:spacing w:after="0" w:line="332" w:lineRule="auto"/>
        <w:rPr>
          <w:sz w:val="20"/>
          <w:szCs w:val="20"/>
          <w:color w:val="auto"/>
        </w:rPr>
      </w:pPr>
      <w:r>
        <w:rPr>
          <w:rFonts w:ascii="Arial" w:cs="Arial" w:eastAsia="Arial" w:hAnsi="Arial"/>
          <w:sz w:val="18"/>
          <w:szCs w:val="18"/>
          <w:color w:val="auto"/>
        </w:rPr>
        <w:t>A contract liability results when cash payments are received or due in advance of our performance obligation being met. We have certain customers who provide payment in advance of product being shipped, which results in deferred revenue (a contract liability).</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The balances of the Company's contract assets and contract liabilities at December 31, 2025, 2024, and 2023 are as follows:</w:t>
      </w:r>
    </w:p>
    <w:p>
      <w:pPr>
        <w:spacing w:after="0" w:line="245" w:lineRule="exact"/>
        <w:rPr>
          <w:sz w:val="20"/>
          <w:szCs w:val="20"/>
          <w:color w:val="auto"/>
        </w:rPr>
      </w:pPr>
    </w:p>
    <w:tbl>
      <w:tblPr>
        <w:tblLayout w:type="fixed"/>
        <w:tblInd w:w="540" w:type="dxa"/>
        <w:tblCellMar>
          <w:top w:w="0" w:type="dxa"/>
          <w:left w:w="0" w:type="dxa"/>
          <w:bottom w:w="0" w:type="dxa"/>
          <w:right w:w="0" w:type="dxa"/>
        </w:tblCellMar>
      </w:tblPr>
      <w:tr>
        <w:trPr>
          <w:trHeight w:val="239"/>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w w:val="90"/>
              </w:rPr>
              <w:t>December 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w w:val="90"/>
              </w:rPr>
              <w:t>December 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54"/>
        </w:trPr>
        <w:tc>
          <w:tcPr>
            <w:tcW w:w="4860" w:type="dxa"/>
            <w:vAlign w:val="bottom"/>
            <w:vMerge w:val="restart"/>
          </w:tcPr>
          <w:p>
            <w:pPr>
              <w:spacing w:after="0"/>
              <w:rPr>
                <w:sz w:val="20"/>
                <w:szCs w:val="20"/>
                <w:color w:val="auto"/>
              </w:rPr>
            </w:pPr>
            <w:r>
              <w:rPr>
                <w:rFonts w:ascii="Arial" w:cs="Arial" w:eastAsia="Arial" w:hAnsi="Arial"/>
                <w:sz w:val="20"/>
                <w:szCs w:val="20"/>
                <w:color w:val="auto"/>
              </w:rPr>
              <w:t>Contract assets - current (unbilled receivables)</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line="215" w:lineRule="exact"/>
              <w:rPr>
                <w:sz w:val="20"/>
                <w:szCs w:val="20"/>
                <w:color w:val="auto"/>
              </w:rPr>
            </w:pPr>
            <w:r>
              <w:rPr>
                <w:rFonts w:ascii="Arial" w:cs="Arial" w:eastAsia="Arial" w:hAnsi="Arial"/>
                <w:sz w:val="20"/>
                <w:szCs w:val="20"/>
                <w:color w:val="auto"/>
              </w:rPr>
              <w:t>9,747</w:t>
            </w:r>
          </w:p>
        </w:tc>
        <w:tc>
          <w:tcPr>
            <w:tcW w:w="18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Arial" w:cs="Arial" w:eastAsia="Arial" w:hAnsi="Arial"/>
                <w:sz w:val="20"/>
                <w:szCs w:val="20"/>
                <w:color w:val="auto"/>
                <w:w w:val="89"/>
              </w:rPr>
              <w:t>$</w:t>
            </w:r>
          </w:p>
        </w:tc>
        <w:tc>
          <w:tcPr>
            <w:tcW w:w="1340" w:type="dxa"/>
            <w:vAlign w:val="bottom"/>
          </w:tcPr>
          <w:p>
            <w:pPr>
              <w:jc w:val="right"/>
              <w:spacing w:after="0" w:line="215" w:lineRule="exact"/>
              <w:rPr>
                <w:sz w:val="20"/>
                <w:szCs w:val="20"/>
                <w:color w:val="auto"/>
              </w:rPr>
            </w:pPr>
            <w:r>
              <w:rPr>
                <w:rFonts w:ascii="Arial" w:cs="Arial" w:eastAsia="Arial" w:hAnsi="Arial"/>
                <w:sz w:val="20"/>
                <w:szCs w:val="20"/>
                <w:color w:val="auto"/>
              </w:rPr>
              <w:t>4,994</w:t>
            </w:r>
          </w:p>
        </w:tc>
        <w:tc>
          <w:tcPr>
            <w:tcW w:w="18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line="215" w:lineRule="exact"/>
              <w:rPr>
                <w:sz w:val="20"/>
                <w:szCs w:val="20"/>
                <w:color w:val="auto"/>
              </w:rPr>
            </w:pPr>
            <w:r>
              <w:rPr>
                <w:rFonts w:ascii="Arial" w:cs="Arial" w:eastAsia="Arial" w:hAnsi="Arial"/>
                <w:sz w:val="20"/>
                <w:szCs w:val="20"/>
                <w:color w:val="auto"/>
              </w:rPr>
              <w:t>12,793</w:t>
            </w:r>
          </w:p>
        </w:tc>
        <w:tc>
          <w:tcPr>
            <w:tcW w:w="0" w:type="dxa"/>
            <w:vAlign w:val="bottom"/>
          </w:tcPr>
          <w:p>
            <w:pPr>
              <w:spacing w:after="0"/>
              <w:rPr>
                <w:sz w:val="1"/>
                <w:szCs w:val="1"/>
                <w:color w:val="auto"/>
              </w:rPr>
            </w:pPr>
          </w:p>
        </w:tc>
      </w:tr>
      <w:tr>
        <w:trPr>
          <w:trHeight w:val="239"/>
        </w:trPr>
        <w:tc>
          <w:tcPr>
            <w:tcW w:w="4860" w:type="dxa"/>
            <w:vAlign w:val="bottom"/>
          </w:tcPr>
          <w:p>
            <w:pPr>
              <w:spacing w:after="0"/>
              <w:rPr>
                <w:sz w:val="20"/>
                <w:szCs w:val="20"/>
                <w:color w:val="auto"/>
              </w:rPr>
            </w:pPr>
            <w:r>
              <w:rPr>
                <w:rFonts w:ascii="Arial" w:cs="Arial" w:eastAsia="Arial" w:hAnsi="Arial"/>
                <w:sz w:val="20"/>
                <w:szCs w:val="20"/>
                <w:color w:val="auto"/>
              </w:rPr>
              <w:t>Contract liabilities - current (deferred revenue)</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9,767</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6,120</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3,046</w:t>
            </w: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121,490</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111,376</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84,129</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change in balance of our unbilled receivables from December 31, 2024 to December 31, 2025 primarily relates to a timing difference between the Company's performance (i.e. when our product is shipped to a customer- controlled hub) and the point at which the Company can invoice the customer per the terms of the customer contract (i.e. when the customer pulls our product from the customer-controlled hub). The deferred revenue balance is included within other current liabilities on the accompanying balance sheets.</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 tabular presentation of the activity within the deferred revenue account for the years ended December 31, 2025 and December 31, 2024 are presented below:</w:t>
      </w:r>
    </w:p>
    <w:p>
      <w:pPr>
        <w:spacing w:after="0" w:line="168" w:lineRule="exact"/>
        <w:rPr>
          <w:sz w:val="20"/>
          <w:szCs w:val="20"/>
          <w:color w:val="auto"/>
        </w:rPr>
      </w:pPr>
    </w:p>
    <w:tbl>
      <w:tblPr>
        <w:tblLayout w:type="fixed"/>
        <w:tblInd w:w="540" w:type="dxa"/>
        <w:tblCellMar>
          <w:top w:w="0" w:type="dxa"/>
          <w:left w:w="0" w:type="dxa"/>
          <w:bottom w:w="0" w:type="dxa"/>
          <w:right w:w="0" w:type="dxa"/>
        </w:tblCellMar>
      </w:tblPr>
      <w:tr>
        <w:trPr>
          <w:trHeight w:val="254"/>
        </w:trPr>
        <w:tc>
          <w:tcPr>
            <w:tcW w:w="6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900" w:type="dxa"/>
            <w:vAlign w:val="bottom"/>
            <w:gridSpan w:val="6"/>
          </w:tcPr>
          <w:p>
            <w:pPr>
              <w:jc w:val="right"/>
              <w:ind w:right="540"/>
              <w:spacing w:after="0"/>
              <w:rPr>
                <w:sz w:val="20"/>
                <w:szCs w:val="20"/>
                <w:color w:val="auto"/>
              </w:rPr>
            </w:pPr>
            <w:r>
              <w:rPr>
                <w:rFonts w:ascii="Arial" w:cs="Arial" w:eastAsia="Arial" w:hAnsi="Arial"/>
                <w:sz w:val="20"/>
                <w:szCs w:val="20"/>
                <w:color w:val="auto"/>
                <w:w w:val="94"/>
              </w:rPr>
              <w:t>Years Ended December 31,</w:t>
            </w:r>
          </w:p>
        </w:tc>
        <w:tc>
          <w:tcPr>
            <w:tcW w:w="0" w:type="dxa"/>
            <w:vAlign w:val="bottom"/>
          </w:tcPr>
          <w:p>
            <w:pPr>
              <w:spacing w:after="0"/>
              <w:rPr>
                <w:sz w:val="1"/>
                <w:szCs w:val="1"/>
                <w:color w:val="auto"/>
              </w:rPr>
            </w:pPr>
          </w:p>
        </w:tc>
      </w:tr>
      <w:tr>
        <w:trPr>
          <w:trHeight w:val="231"/>
        </w:trPr>
        <w:tc>
          <w:tcPr>
            <w:tcW w:w="6500" w:type="dxa"/>
            <w:vAlign w:val="bottom"/>
            <w:vMerge w:val="restart"/>
          </w:tcPr>
          <w:p>
            <w:pPr>
              <w:spacing w:after="0"/>
              <w:rPr>
                <w:sz w:val="20"/>
                <w:szCs w:val="20"/>
                <w:color w:val="auto"/>
              </w:rPr>
            </w:pPr>
            <w:r>
              <w:rPr>
                <w:rFonts w:ascii="Arial" w:cs="Arial" w:eastAsia="Arial" w:hAnsi="Arial"/>
                <w:sz w:val="20"/>
                <w:szCs w:val="20"/>
                <w:color w:val="auto"/>
              </w:rPr>
              <w:t>Balance, January 1</w:t>
            </w:r>
          </w:p>
        </w:tc>
        <w:tc>
          <w:tcPr>
            <w:tcW w:w="3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gridSpan w:val="2"/>
          </w:tcPr>
          <w:p>
            <w:pPr>
              <w:jc w:val="right"/>
              <w:ind w:right="441"/>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500" w:type="dxa"/>
            <w:vAlign w:val="bottom"/>
            <w:vMerge w:val="continue"/>
          </w:tcPr>
          <w:p>
            <w:pPr>
              <w:spacing w:after="0"/>
              <w:rPr>
                <w:sz w:val="18"/>
                <w:szCs w:val="18"/>
                <w:color w:val="auto"/>
              </w:rPr>
            </w:pPr>
          </w:p>
        </w:tc>
        <w:tc>
          <w:tcPr>
            <w:tcW w:w="300" w:type="dxa"/>
            <w:vAlign w:val="bottom"/>
          </w:tcPr>
          <w:p>
            <w:pPr>
              <w:jc w:val="right"/>
              <w:ind w:right="81"/>
              <w:spacing w:after="0" w:line="215" w:lineRule="exact"/>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line="215" w:lineRule="exact"/>
              <w:rPr>
                <w:sz w:val="20"/>
                <w:szCs w:val="20"/>
                <w:color w:val="auto"/>
              </w:rPr>
            </w:pPr>
            <w:r>
              <w:rPr>
                <w:rFonts w:ascii="Arial" w:cs="Arial" w:eastAsia="Arial" w:hAnsi="Arial"/>
                <w:sz w:val="20"/>
                <w:szCs w:val="20"/>
                <w:color w:val="auto"/>
              </w:rPr>
              <w:t>6,120</w:t>
            </w:r>
          </w:p>
        </w:tc>
        <w:tc>
          <w:tcPr>
            <w:tcW w:w="18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3,046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500" w:type="dxa"/>
            <w:vAlign w:val="bottom"/>
          </w:tcPr>
          <w:p>
            <w:pPr>
              <w:spacing w:after="0"/>
              <w:rPr>
                <w:sz w:val="20"/>
                <w:szCs w:val="20"/>
                <w:color w:val="auto"/>
              </w:rPr>
            </w:pPr>
            <w:r>
              <w:rPr>
                <w:rFonts w:ascii="Arial" w:cs="Arial" w:eastAsia="Arial" w:hAnsi="Arial"/>
                <w:sz w:val="20"/>
                <w:szCs w:val="20"/>
                <w:color w:val="auto"/>
              </w:rPr>
              <w:t>New advance payments received</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94,624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17,551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00" w:type="dxa"/>
            <w:vAlign w:val="bottom"/>
          </w:tcPr>
          <w:p>
            <w:pPr>
              <w:spacing w:after="0"/>
              <w:rPr>
                <w:sz w:val="20"/>
                <w:szCs w:val="20"/>
                <w:color w:val="auto"/>
              </w:rPr>
            </w:pPr>
            <w:r>
              <w:rPr>
                <w:rFonts w:ascii="Arial" w:cs="Arial" w:eastAsia="Arial" w:hAnsi="Arial"/>
                <w:sz w:val="20"/>
                <w:szCs w:val="20"/>
                <w:color w:val="auto"/>
              </w:rPr>
              <w:t>Recognized as revenue during period</w:t>
            </w:r>
          </w:p>
        </w:tc>
        <w:tc>
          <w:tcPr>
            <w:tcW w:w="3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0"/>
                <w:szCs w:val="20"/>
                <w:color w:val="auto"/>
              </w:rPr>
              <w:t>(90,977)</w:t>
            </w:r>
          </w:p>
        </w:tc>
        <w:tc>
          <w:tcPr>
            <w:tcW w:w="1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(14,469)</w:t>
            </w:r>
          </w:p>
        </w:tc>
        <w:tc>
          <w:tcPr>
            <w:tcW w:w="0" w:type="dxa"/>
            <w:vAlign w:val="bottom"/>
          </w:tcPr>
          <w:p>
            <w:pPr>
              <w:spacing w:after="0"/>
              <w:rPr>
                <w:sz w:val="1"/>
                <w:szCs w:val="1"/>
                <w:color w:val="auto"/>
              </w:rPr>
            </w:pPr>
          </w:p>
        </w:tc>
      </w:tr>
      <w:tr>
        <w:trPr>
          <w:trHeight w:val="257"/>
        </w:trPr>
        <w:tc>
          <w:tcPr>
            <w:tcW w:w="6500" w:type="dxa"/>
            <w:vAlign w:val="bottom"/>
          </w:tcPr>
          <w:p>
            <w:pPr>
              <w:spacing w:after="0"/>
              <w:rPr>
                <w:sz w:val="20"/>
                <w:szCs w:val="20"/>
                <w:color w:val="auto"/>
              </w:rPr>
            </w:pPr>
            <w:r>
              <w:rPr>
                <w:rFonts w:ascii="Arial" w:cs="Arial" w:eastAsia="Arial" w:hAnsi="Arial"/>
                <w:sz w:val="20"/>
                <w:szCs w:val="20"/>
                <w:color w:val="auto"/>
              </w:rPr>
              <w:t>Currency translation</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47"/>
        </w:trPr>
        <w:tc>
          <w:tcPr>
            <w:tcW w:w="6500" w:type="dxa"/>
            <w:vAlign w:val="bottom"/>
          </w:tcPr>
          <w:p>
            <w:pPr>
              <w:spacing w:after="0"/>
              <w:rPr>
                <w:sz w:val="20"/>
                <w:szCs w:val="20"/>
                <w:color w:val="auto"/>
              </w:rPr>
            </w:pPr>
            <w:r>
              <w:rPr>
                <w:rFonts w:ascii="Arial" w:cs="Arial" w:eastAsia="Arial" w:hAnsi="Arial"/>
                <w:sz w:val="20"/>
                <w:szCs w:val="20"/>
                <w:color w:val="auto"/>
              </w:rPr>
              <w:t>Balance, December 31</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9,767</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-191135</wp:posOffset>
            </wp:positionV>
            <wp:extent cx="2020570" cy="2222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20570" cy="22225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Transaction Price Allocated to Future Obligations</w:t>
      </w:r>
      <w:r>
        <w:rPr>
          <w:rFonts w:ascii="Arial" w:cs="Arial" w:eastAsia="Arial" w:hAnsi="Arial"/>
          <w:sz w:val="20"/>
          <w:szCs w:val="20"/>
          <w:color w:val="auto"/>
        </w:rPr>
        <w:t>:</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aggregate amount of transaction price allocated to remaining performance obligations that have not been fully satisfied as of December 31, 2025 related to contracts that exceed one year in duration amounted to $20.2 million, with expected contract expiration dates that range largely from 2027 – 2030</w:t>
      </w:r>
      <w:r>
        <w:rPr>
          <w:rFonts w:ascii="Arial" w:cs="Arial" w:eastAsia="Arial" w:hAnsi="Arial"/>
          <w:sz w:val="19"/>
          <w:szCs w:val="19"/>
          <w:b w:val="1"/>
          <w:bCs w:val="1"/>
          <w:color w:val="auto"/>
        </w:rPr>
        <w:t>.</w:t>
      </w:r>
      <w:r>
        <w:rPr>
          <w:rFonts w:ascii="Arial" w:cs="Arial" w:eastAsia="Arial" w:hAnsi="Arial"/>
          <w:sz w:val="19"/>
          <w:szCs w:val="19"/>
          <w:color w:val="auto"/>
        </w:rPr>
        <w:t xml:space="preserve"> It is expected that $2.7 million of this aggregate amount will be recognized in 2027, $0.5 million will be recognized in 2028 and the remainder will be recognized in years beyond 2028. The majority of the Company's orders received (but not yet shipped) at December 31, 2025 is related to contracts that have an original expected duration of one year or less, for which the Company is electing to utilize the practical expedient available within the guidance, and are excluded from the transaction price related to these future obligations. The Company will generally satisfy the remaining performance obligations as we transfer control of the products ordered to our customers.</w:t>
      </w:r>
    </w:p>
    <w:p>
      <w:pPr>
        <w:spacing w:after="0" w:line="200" w:lineRule="exact"/>
        <w:rPr>
          <w:sz w:val="20"/>
          <w:szCs w:val="20"/>
          <w:color w:val="auto"/>
        </w:rPr>
      </w:pPr>
    </w:p>
    <w:p>
      <w:pPr>
        <w:spacing w:after="0" w:line="214" w:lineRule="exact"/>
        <w:rPr>
          <w:sz w:val="20"/>
          <w:szCs w:val="20"/>
          <w:color w:val="auto"/>
        </w:rPr>
      </w:pPr>
    </w:p>
    <w:p>
      <w:pPr>
        <w:ind w:right="6160" w:firstLine="5"/>
        <w:spacing w:after="0" w:line="480" w:lineRule="auto"/>
        <w:tabs>
          <w:tab w:leader="none" w:pos="329" w:val="left"/>
        </w:tabs>
        <w:numPr>
          <w:ilvl w:val="0"/>
          <w:numId w:val="28"/>
        </w:numPr>
        <w:rPr>
          <w:rFonts w:ascii="Arial" w:cs="Arial" w:eastAsia="Arial" w:hAnsi="Arial"/>
          <w:sz w:val="20"/>
          <w:szCs w:val="20"/>
          <w:color w:val="auto"/>
        </w:rPr>
      </w:pPr>
      <w:r>
        <w:rPr>
          <w:rFonts w:ascii="Arial" w:cs="Arial" w:eastAsia="Arial" w:hAnsi="Arial"/>
          <w:sz w:val="20"/>
          <w:szCs w:val="20"/>
          <w:color w:val="auto"/>
        </w:rPr>
        <w:t xml:space="preserve">GOODWILL AND OTHER INTANGIBLE ASSETS </w:t>
      </w:r>
      <w:r>
        <w:rPr>
          <w:rFonts w:ascii="Arial" w:cs="Arial" w:eastAsia="Arial" w:hAnsi="Arial"/>
          <w:sz w:val="20"/>
          <w:szCs w:val="20"/>
          <w:u w:val="single" w:color="auto"/>
          <w:color w:val="auto"/>
        </w:rPr>
        <w:t>Goodwill</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Goodwill represents the excess of the purchase price and related acquisition costs over the fair value assigned to the net tangible and other intangible assets acquired in a business acquisition. At December 31, 2025 and 2024, the Company's reportable operating segments were as follows:</w:t>
      </w:r>
    </w:p>
    <w:p>
      <w:pPr>
        <w:spacing w:after="0" w:line="182" w:lineRule="exact"/>
        <w:rPr>
          <w:sz w:val="20"/>
          <w:szCs w:val="20"/>
          <w:color w:val="auto"/>
        </w:rPr>
      </w:pPr>
    </w:p>
    <w:p>
      <w:pPr>
        <w:jc w:val="both"/>
        <w:ind w:left="720" w:hanging="355"/>
        <w:spacing w:after="0" w:line="289"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Power Solutions and Protection</w:t>
      </w:r>
      <w:r>
        <w:rPr>
          <w:rFonts w:ascii="Arial" w:cs="Arial" w:eastAsia="Arial" w:hAnsi="Arial"/>
          <w:sz w:val="18"/>
          <w:szCs w:val="18"/>
          <w:color w:val="auto"/>
        </w:rPr>
        <w:t>: includes the 2012 acquisition of Powerbox Italia, the 2014 acquisition of ABB's Power</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business, the 2019 acquisition of the majority of CUI Inc.'s power products business, the 2021 acquisition of EOS, the 2023 equity method investment in innolectric, the 2024 acquisition of Enercon, in addition to sales and an estimated allocation of expenses related to power products manufactured at Bel sites that are not product group specific.</w:t>
      </w:r>
    </w:p>
    <w:p>
      <w:pPr>
        <w:spacing w:after="0" w:line="168" w:lineRule="exact"/>
        <w:rPr>
          <w:rFonts w:ascii="Arial" w:cs="Arial" w:eastAsia="Arial" w:hAnsi="Arial"/>
          <w:sz w:val="18"/>
          <w:szCs w:val="18"/>
          <w:color w:val="auto"/>
        </w:rPr>
      </w:pPr>
    </w:p>
    <w:p>
      <w:pPr>
        <w:jc w:val="both"/>
        <w:ind w:left="720" w:hanging="355"/>
        <w:spacing w:after="0" w:line="269" w:lineRule="auto"/>
        <w:tabs>
          <w:tab w:leader="none" w:pos="720"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Connectivity Solutions</w:t>
      </w:r>
      <w:r>
        <w:rPr>
          <w:rFonts w:ascii="Arial" w:cs="Arial" w:eastAsia="Arial" w:hAnsi="Arial"/>
          <w:sz w:val="19"/>
          <w:szCs w:val="19"/>
          <w:color w:val="auto"/>
        </w:rPr>
        <w:t>: includes the 2010 acquisition of Cinch Connectors, the 2012 acquisitions of Fibreco Limited and</w:t>
      </w:r>
      <w:r>
        <w:rPr>
          <w:rFonts w:ascii="Arial" w:cs="Arial" w:eastAsia="Arial" w:hAnsi="Arial"/>
          <w:sz w:val="19"/>
          <w:szCs w:val="19"/>
          <w:b w:val="1"/>
          <w:bCs w:val="1"/>
          <w:color w:val="auto"/>
        </w:rPr>
        <w:t xml:space="preserve"> </w:t>
      </w:r>
      <w:r>
        <w:rPr>
          <w:rFonts w:ascii="Arial" w:cs="Arial" w:eastAsia="Arial" w:hAnsi="Arial"/>
          <w:sz w:val="19"/>
          <w:szCs w:val="19"/>
          <w:color w:val="auto"/>
        </w:rPr>
        <w:t>GigaCom Interconnect, the 2013 acquisition of Array Connector, the 2014 acquisition of Emerson Network Power Connectivity Solutions, the 2021 acquisition of rms Connectors, in addition to sales and an estimated allocation of expenses related to connectivity products manufactured at Bel sites that are not product group specific.</w:t>
      </w:r>
    </w:p>
    <w:p>
      <w:pPr>
        <w:spacing w:after="0" w:line="183" w:lineRule="exact"/>
        <w:rPr>
          <w:rFonts w:ascii="Arial" w:cs="Arial" w:eastAsia="Arial" w:hAnsi="Arial"/>
          <w:sz w:val="19"/>
          <w:szCs w:val="19"/>
          <w:color w:val="auto"/>
        </w:rPr>
      </w:pPr>
    </w:p>
    <w:p>
      <w:pPr>
        <w:jc w:val="both"/>
        <w:ind w:left="720" w:hanging="355"/>
        <w:spacing w:after="0" w:line="259"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 xml:space="preserve">Magnetic Solutions: </w:t>
      </w:r>
      <w:r>
        <w:rPr>
          <w:rFonts w:ascii="Arial" w:cs="Arial" w:eastAsia="Arial" w:hAnsi="Arial"/>
          <w:sz w:val="20"/>
          <w:szCs w:val="20"/>
          <w:color w:val="auto"/>
        </w:rPr>
        <w:t>includes the 2013 acquisition of TE Connectivity's Coil Wound Magnetics business, our Signal</w:t>
      </w:r>
      <w:r>
        <w:rPr>
          <w:rFonts w:ascii="Arial" w:cs="Arial" w:eastAsia="Arial" w:hAnsi="Arial"/>
          <w:sz w:val="20"/>
          <w:szCs w:val="20"/>
          <w:b w:val="1"/>
          <w:bCs w:val="1"/>
          <w:color w:val="auto"/>
        </w:rPr>
        <w:t xml:space="preserve"> </w:t>
      </w:r>
      <w:r>
        <w:rPr>
          <w:rFonts w:ascii="Arial" w:cs="Arial" w:eastAsia="Arial" w:hAnsi="Arial"/>
          <w:sz w:val="20"/>
          <w:szCs w:val="20"/>
          <w:color w:val="auto"/>
        </w:rPr>
        <w:t>Transformer business, in addition to sales and an estimated allocation of expenses related to Bel's ICM and discrete magnetic products that are manufactured at Bel sites that are not product group specific.</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2240" w:h="15840" w:orient="portrait"/>
          <w:cols w:equalWidth="0" w:num="1">
            <w:col w:w="10800"/>
          </w:cols>
          <w:pgMar w:left="720" w:top="555" w:right="720" w:bottom="0" w:gutter="0" w:footer="0" w:header="0"/>
        </w:sectPr>
      </w:pPr>
    </w:p>
    <w:bookmarkStart w:id="76" w:name="page77"/>
    <w:bookmarkEnd w:id="76"/>
    <w:p>
      <w:pPr>
        <w:jc w:val="both"/>
        <w:spacing w:after="0" w:line="274" w:lineRule="auto"/>
        <w:rPr>
          <w:sz w:val="20"/>
          <w:szCs w:val="20"/>
          <w:color w:val="auto"/>
        </w:rPr>
      </w:pPr>
      <w:r>
        <w:rPr>
          <w:rFonts w:ascii="Arial" w:cs="Arial" w:eastAsia="Arial" w:hAnsi="Arial"/>
          <w:sz w:val="20"/>
          <w:szCs w:val="20"/>
          <w:color w:val="auto"/>
        </w:rPr>
        <w:t>The changes in the carrying value of goodwill classified by our segment reporting structure for the year ended December 31, 2025 are as noted in the table below.</w:t>
      </w:r>
    </w:p>
    <w:p>
      <w:pPr>
        <w:spacing w:after="0" w:line="164"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20"/>
                <w:szCs w:val="20"/>
                <w:color w:val="auto"/>
                <w:w w:val="91"/>
              </w:rPr>
              <w:t>Power</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20"/>
                <w:szCs w:val="20"/>
                <w:color w:val="auto"/>
                <w:w w:val="94"/>
              </w:rPr>
              <w:t>Solutions &amp;</w:t>
            </w:r>
          </w:p>
        </w:tc>
        <w:tc>
          <w:tcPr>
            <w:tcW w:w="1380" w:type="dxa"/>
            <w:vAlign w:val="bottom"/>
            <w:gridSpan w:val="3"/>
          </w:tcPr>
          <w:p>
            <w:pPr>
              <w:jc w:val="right"/>
              <w:ind w:right="260"/>
              <w:spacing w:after="0"/>
              <w:rPr>
                <w:sz w:val="20"/>
                <w:szCs w:val="20"/>
                <w:color w:val="auto"/>
              </w:rPr>
            </w:pPr>
            <w:r>
              <w:rPr>
                <w:rFonts w:ascii="Arial" w:cs="Arial" w:eastAsia="Arial" w:hAnsi="Arial"/>
                <w:sz w:val="20"/>
                <w:szCs w:val="20"/>
                <w:color w:val="auto"/>
              </w:rPr>
              <w:t>Connectivity</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ind w:right="121"/>
              <w:spacing w:after="0"/>
              <w:rPr>
                <w:sz w:val="20"/>
                <w:szCs w:val="20"/>
                <w:color w:val="auto"/>
              </w:rPr>
            </w:pPr>
            <w:r>
              <w:rPr>
                <w:rFonts w:ascii="Arial" w:cs="Arial" w:eastAsia="Arial" w:hAnsi="Arial"/>
                <w:sz w:val="20"/>
                <w:szCs w:val="20"/>
                <w:color w:val="auto"/>
              </w:rPr>
              <w:t>Magnetic</w:t>
            </w:r>
          </w:p>
        </w:tc>
        <w:tc>
          <w:tcPr>
            <w:tcW w:w="0" w:type="dxa"/>
            <w:vAlign w:val="bottom"/>
          </w:tcPr>
          <w:p>
            <w:pPr>
              <w:spacing w:after="0"/>
              <w:rPr>
                <w:sz w:val="1"/>
                <w:szCs w:val="1"/>
                <w:color w:val="auto"/>
              </w:rPr>
            </w:pPr>
          </w:p>
        </w:tc>
      </w:tr>
      <w:tr>
        <w:trPr>
          <w:trHeight w:val="254"/>
        </w:trPr>
        <w:tc>
          <w:tcPr>
            <w:tcW w:w="3740" w:type="dxa"/>
            <w:vAlign w:val="bottom"/>
            <w:vMerge w:val="restart"/>
          </w:tcPr>
          <w:p>
            <w:pPr>
              <w:spacing w:after="0"/>
              <w:rPr>
                <w:sz w:val="20"/>
                <w:szCs w:val="20"/>
                <w:color w:val="auto"/>
              </w:rPr>
            </w:pPr>
            <w:r>
              <w:rPr>
                <w:rFonts w:ascii="Arial" w:cs="Arial" w:eastAsia="Arial" w:hAnsi="Arial"/>
                <w:sz w:val="20"/>
                <w:szCs w:val="20"/>
                <w:color w:val="auto"/>
              </w:rPr>
              <w:t>Balance at January 1, 2024:</w:t>
            </w:r>
          </w:p>
        </w:tc>
        <w:tc>
          <w:tcPr>
            <w:tcW w:w="260" w:type="dxa"/>
            <w:vAlign w:val="bottom"/>
          </w:tcPr>
          <w:p>
            <w:pPr>
              <w:spacing w:after="0"/>
              <w:rPr>
                <w:sz w:val="22"/>
                <w:szCs w:val="22"/>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20"/>
                <w:szCs w:val="20"/>
                <w:color w:val="auto"/>
              </w:rPr>
              <w:t>Total</w:t>
            </w:r>
          </w:p>
        </w:tc>
        <w:tc>
          <w:tcPr>
            <w:tcW w:w="120" w:type="dxa"/>
            <w:vAlign w:val="bottom"/>
          </w:tcPr>
          <w:p>
            <w:pPr>
              <w:spacing w:after="0"/>
              <w:rPr>
                <w:sz w:val="22"/>
                <w:szCs w:val="2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20"/>
                <w:szCs w:val="20"/>
                <w:color w:val="auto"/>
                <w:w w:val="91"/>
              </w:rPr>
              <w:t>Protection</w:t>
            </w:r>
          </w:p>
        </w:tc>
        <w:tc>
          <w:tcPr>
            <w:tcW w:w="160" w:type="dxa"/>
            <w:vAlign w:val="bottom"/>
          </w:tcPr>
          <w:p>
            <w:pPr>
              <w:spacing w:after="0"/>
              <w:rPr>
                <w:sz w:val="22"/>
                <w:szCs w:val="22"/>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20"/>
                <w:szCs w:val="20"/>
                <w:color w:val="auto"/>
                <w:w w:val="97"/>
              </w:rPr>
              <w:t>Solutions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jc w:val="right"/>
              <w:ind w:right="121"/>
              <w:spacing w:after="0"/>
              <w:rPr>
                <w:sz w:val="20"/>
                <w:szCs w:val="20"/>
                <w:color w:val="auto"/>
              </w:rPr>
            </w:pPr>
            <w:r>
              <w:rPr>
                <w:rFonts w:ascii="Arial" w:cs="Arial" w:eastAsia="Arial" w:hAnsi="Arial"/>
                <w:sz w:val="20"/>
                <w:szCs w:val="20"/>
                <w:color w:val="auto"/>
                <w:w w:val="99"/>
              </w:rPr>
              <w:t>Solutions</w:t>
            </w:r>
          </w:p>
        </w:tc>
        <w:tc>
          <w:tcPr>
            <w:tcW w:w="0" w:type="dxa"/>
            <w:vAlign w:val="bottom"/>
          </w:tcPr>
          <w:p>
            <w:pPr>
              <w:spacing w:after="0"/>
              <w:rPr>
                <w:sz w:val="1"/>
                <w:szCs w:val="1"/>
                <w:color w:val="auto"/>
              </w:rPr>
            </w:pPr>
          </w:p>
        </w:tc>
      </w:tr>
      <w:tr>
        <w:trPr>
          <w:trHeight w:val="215"/>
        </w:trPr>
        <w:tc>
          <w:tcPr>
            <w:tcW w:w="374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20"/>
                <w:szCs w:val="20"/>
                <w:color w:val="auto"/>
              </w:rPr>
              <w:t>Goodwill, gross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26,642</w:t>
            </w:r>
          </w:p>
        </w:tc>
        <w:tc>
          <w:tcPr>
            <w:tcW w:w="1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18,623</w:t>
            </w: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8,019</w:t>
            </w:r>
          </w:p>
        </w:tc>
        <w:tc>
          <w:tcPr>
            <w:tcW w:w="1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1"/>
        </w:trPr>
        <w:tc>
          <w:tcPr>
            <w:tcW w:w="3740" w:type="dxa"/>
            <w:vAlign w:val="bottom"/>
          </w:tcPr>
          <w:p>
            <w:pPr>
              <w:spacing w:after="0"/>
              <w:rPr>
                <w:sz w:val="20"/>
                <w:szCs w:val="20"/>
                <w:color w:val="auto"/>
              </w:rPr>
            </w:pPr>
            <w:r>
              <w:rPr>
                <w:rFonts w:ascii="Arial" w:cs="Arial" w:eastAsia="Arial" w:hAnsi="Arial"/>
                <w:sz w:val="20"/>
                <w:szCs w:val="20"/>
                <w:color w:val="auto"/>
              </w:rPr>
              <w:t>Goodwill, net</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26,642</w:t>
            </w: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18,623</w:t>
            </w:r>
          </w:p>
        </w:tc>
        <w:tc>
          <w:tcPr>
            <w:tcW w:w="1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8,019</w:t>
            </w: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54"/>
        </w:trPr>
        <w:tc>
          <w:tcPr>
            <w:tcW w:w="3740" w:type="dxa"/>
            <w:vAlign w:val="bottom"/>
          </w:tcPr>
          <w:p>
            <w:pPr>
              <w:spacing w:after="0"/>
              <w:rPr>
                <w:sz w:val="20"/>
                <w:szCs w:val="20"/>
                <w:color w:val="auto"/>
              </w:rPr>
            </w:pPr>
            <w:r>
              <w:rPr>
                <w:rFonts w:ascii="Arial" w:cs="Arial" w:eastAsia="Arial" w:hAnsi="Arial"/>
                <w:sz w:val="20"/>
                <w:szCs w:val="20"/>
                <w:color w:val="auto"/>
              </w:rPr>
              <w:t>Goodwill allocation related to acquisition</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182,905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182,905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0"/>
                <w:szCs w:val="20"/>
                <w:color w:val="auto"/>
              </w:rPr>
            </w:pPr>
            <w:r>
              <w:rPr>
                <w:rFonts w:ascii="Arial" w:cs="Arial" w:eastAsia="Arial" w:hAnsi="Arial"/>
                <w:sz w:val="20"/>
                <w:szCs w:val="20"/>
                <w:color w:val="auto"/>
              </w:rPr>
              <w:t>Foreign currency translation</w:t>
            </w:r>
          </w:p>
        </w:tc>
        <w:tc>
          <w:tcPr>
            <w:tcW w:w="26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(1,511)</w:t>
            </w: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(1,441)</w:t>
            </w:r>
          </w:p>
        </w:tc>
        <w:tc>
          <w:tcPr>
            <w:tcW w:w="16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(70)</w:t>
            </w: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52"/>
        </w:trPr>
        <w:tc>
          <w:tcPr>
            <w:tcW w:w="3740" w:type="dxa"/>
            <w:vAlign w:val="bottom"/>
          </w:tcPr>
          <w:p>
            <w:pPr>
              <w:spacing w:after="0"/>
              <w:rPr>
                <w:sz w:val="20"/>
                <w:szCs w:val="20"/>
                <w:color w:val="auto"/>
              </w:rPr>
            </w:pPr>
            <w:r>
              <w:rPr>
                <w:rFonts w:ascii="Arial" w:cs="Arial" w:eastAsia="Arial" w:hAnsi="Arial"/>
                <w:sz w:val="20"/>
                <w:szCs w:val="20"/>
                <w:color w:val="auto"/>
              </w:rPr>
              <w:t>Balance at December 31, 2024:</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20"/>
                <w:szCs w:val="20"/>
                <w:color w:val="auto"/>
              </w:rPr>
              <w:t>Goodwill, gross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208,036</w:t>
            </w:r>
          </w:p>
        </w:tc>
        <w:tc>
          <w:tcPr>
            <w:tcW w:w="1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200,087</w:t>
            </w: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7,949</w:t>
            </w:r>
          </w:p>
        </w:tc>
        <w:tc>
          <w:tcPr>
            <w:tcW w:w="1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3740" w:type="dxa"/>
            <w:vAlign w:val="bottom"/>
          </w:tcPr>
          <w:p>
            <w:pPr>
              <w:spacing w:after="0"/>
              <w:rPr>
                <w:sz w:val="20"/>
                <w:szCs w:val="20"/>
                <w:color w:val="auto"/>
              </w:rPr>
            </w:pPr>
            <w:r>
              <w:rPr>
                <w:rFonts w:ascii="Arial" w:cs="Arial" w:eastAsia="Arial" w:hAnsi="Arial"/>
                <w:sz w:val="20"/>
                <w:szCs w:val="20"/>
                <w:color w:val="auto"/>
              </w:rPr>
              <w:t>Goodwill, net</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208,036</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200,087</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7,949</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89"/>
        </w:trPr>
        <w:tc>
          <w:tcPr>
            <w:tcW w:w="3740" w:type="dxa"/>
            <w:vAlign w:val="bottom"/>
          </w:tcPr>
          <w:p>
            <w:pPr>
              <w:spacing w:after="0"/>
              <w:rPr>
                <w:sz w:val="20"/>
                <w:szCs w:val="20"/>
                <w:color w:val="auto"/>
              </w:rPr>
            </w:pPr>
            <w:r>
              <w:rPr>
                <w:rFonts w:ascii="Arial" w:cs="Arial" w:eastAsia="Arial" w:hAnsi="Arial"/>
                <w:sz w:val="20"/>
                <w:szCs w:val="20"/>
                <w:color w:val="auto"/>
              </w:rPr>
              <w:t>Goodwill allocation related to acquisition</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3,809</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3,809</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0"/>
                <w:szCs w:val="20"/>
                <w:color w:val="auto"/>
              </w:rPr>
            </w:pPr>
            <w:r>
              <w:rPr>
                <w:rFonts w:ascii="Arial" w:cs="Arial" w:eastAsia="Arial" w:hAnsi="Arial"/>
                <w:sz w:val="20"/>
                <w:szCs w:val="20"/>
                <w:color w:val="auto"/>
              </w:rPr>
              <w:t>Foreign currency translation</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2,976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2,581</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395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52"/>
        </w:trPr>
        <w:tc>
          <w:tcPr>
            <w:tcW w:w="3740" w:type="dxa"/>
            <w:vAlign w:val="bottom"/>
          </w:tcPr>
          <w:p>
            <w:pPr>
              <w:spacing w:after="0"/>
              <w:rPr>
                <w:sz w:val="20"/>
                <w:szCs w:val="20"/>
                <w:color w:val="auto"/>
              </w:rPr>
            </w:pPr>
            <w:r>
              <w:rPr>
                <w:rFonts w:ascii="Arial" w:cs="Arial" w:eastAsia="Arial" w:hAnsi="Arial"/>
                <w:sz w:val="20"/>
                <w:szCs w:val="20"/>
                <w:color w:val="auto"/>
              </w:rPr>
              <w:t>Balance at December 31, 2025:</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20"/>
                <w:szCs w:val="20"/>
                <w:color w:val="auto"/>
              </w:rPr>
              <w:t>Goodwill, gross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214,821</w:t>
            </w:r>
          </w:p>
        </w:tc>
        <w:tc>
          <w:tcPr>
            <w:tcW w:w="1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206,477</w:t>
            </w: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8,344</w:t>
            </w:r>
          </w:p>
        </w:tc>
        <w:tc>
          <w:tcPr>
            <w:tcW w:w="1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3740" w:type="dxa"/>
            <w:vAlign w:val="bottom"/>
          </w:tcPr>
          <w:p>
            <w:pPr>
              <w:spacing w:after="0"/>
              <w:rPr>
                <w:sz w:val="20"/>
                <w:szCs w:val="20"/>
                <w:color w:val="auto"/>
              </w:rPr>
            </w:pPr>
            <w:r>
              <w:rPr>
                <w:rFonts w:ascii="Arial" w:cs="Arial" w:eastAsia="Arial" w:hAnsi="Arial"/>
                <w:sz w:val="20"/>
                <w:szCs w:val="20"/>
                <w:color w:val="auto"/>
              </w:rPr>
              <w:t>Goodwill, net</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214,821</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206,477</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8,344</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-1128395</wp:posOffset>
            </wp:positionV>
            <wp:extent cx="3420745" cy="52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0745" cy="52705"/>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-191135</wp:posOffset>
            </wp:positionV>
            <wp:extent cx="3430270" cy="2222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30270" cy="222250"/>
                    </a:xfrm>
                    <a:prstGeom prst="rect">
                      <a:avLst/>
                    </a:prstGeom>
                    <a:noFill/>
                  </pic:spPr>
                </pic:pic>
              </a:graphicData>
            </a:graphic>
          </wp:anchor>
        </w:drawing>
      </w: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During the year ended December 31, 2025, the Company recorded a measurement period adjustment of $3.8 million attributable to tax liabilities, with a corresponding increase to goodwill. This adjustment resulted from the finalization of the purchase price allocation following the filing of the Company's tax return on October 15, 2025. The adjustment reflects a refinement to estimated amounts previously recognized at the Enercon acquisition date and impacted only the balance sheet, with no effect on the current-period statement of comprehensive income. During the year ended December 31, 2024, the Company recognized $182.9 million of goodwill related to the Enercon acquisition, as further discussed in Note 3, "</w:t>
      </w:r>
      <w:r>
        <w:rPr>
          <w:rFonts w:ascii="Arial" w:cs="Arial" w:eastAsia="Arial" w:hAnsi="Arial"/>
          <w:sz w:val="20"/>
          <w:szCs w:val="20"/>
          <w:i w:val="1"/>
          <w:iCs w:val="1"/>
          <w:color w:val="auto"/>
        </w:rPr>
        <w:t>Acquisition</w:t>
      </w:r>
      <w:r>
        <w:rPr>
          <w:rFonts w:ascii="Arial" w:cs="Arial" w:eastAsia="Arial" w:hAnsi="Arial"/>
          <w:sz w:val="20"/>
          <w:szCs w:val="20"/>
          <w:color w:val="auto"/>
        </w:rPr>
        <w:t>". The Company has accumulated impairment charges totaling $137.5 million, which were incurred under a former segment and reporting unit structure which was in place prior to October 1, 2019.</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As discussed in Note 6,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 goodwill is reviewed for impairment on a reporting unit basis annually during the fourth quarter of each year and whenever events or changes in circumstances indicate the carrying value of goodwill may not be recoverable. In testing goodwill for impairment, we may perform both a qualitative assessment and quantitative assessment. For the qualitative test, the assessment is based on a review of general macroeconomic conditions, industry and market conditions, changes in cost factors, overall financial performance (both actual and expected performance) and other reporting unit-specific events such as significant changes in management, customers, litigation or a change in the carrying amount of net assets. If it is determined that a potential impairment may exist, we would proceed with a quantitative assessment. In cases where we elect to perform a quantitative assessment, we estimate the fair value of these reporting units using a weighting of fair values derived from income and market approaches. Under the income approach, we determine the fair value of a reporting unit based on the present value of estimated future cash flows. Cash flow projections are based on management's estimates of revenue growth rates and operating margins, taking into consideration industry and market conditions. The discount rate used is based on a weighted average cost of capital adjusted for the relevant risk associated with the characteristics of the business and the projected cash flows. The market approach estimates fair value based on market multiples of revenue and earnings derived from comparable publicly traded companies with similar operating and investment characteristics as the reporting unit.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2025 Annual Impairment Test</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On October 1, 2025, the Company completed a quantitative assessment of our annual goodwill impairment test for our four existing reporting units. We concluded that the fair value of the Company's Power Solutions and Protection (excluding Enercon and CUI), Connectivity Solutions, Enercon and CUI reporting units exceeded the carrying value and that there was no indication of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2240" w:h="15840" w:orient="portrait"/>
          <w:cols w:equalWidth="0" w:num="1">
            <w:col w:w="10800"/>
          </w:cols>
          <w:pgMar w:left="720" w:top="555" w:right="720" w:bottom="0" w:gutter="0" w:footer="0" w:header="0"/>
        </w:sectPr>
      </w:pPr>
    </w:p>
    <w:bookmarkStart w:id="77" w:name="page78"/>
    <w:bookmarkEnd w:id="77"/>
    <w:p>
      <w:pPr>
        <w:spacing w:after="0" w:line="274" w:lineRule="auto"/>
        <w:rPr>
          <w:sz w:val="20"/>
          <w:szCs w:val="20"/>
          <w:color w:val="auto"/>
        </w:rPr>
      </w:pPr>
      <w:r>
        <w:rPr>
          <w:rFonts w:ascii="Arial" w:cs="Arial" w:eastAsia="Arial" w:hAnsi="Arial"/>
          <w:sz w:val="20"/>
          <w:szCs w:val="20"/>
          <w:color w:val="auto"/>
        </w:rPr>
        <w:t>The excess of estimated fair values over carrying value, including goodwill for each of our reporting units that had goodwill as of the 2025 annual impairment test were as follows:</w:t>
      </w:r>
    </w:p>
    <w:p>
      <w:pPr>
        <w:spacing w:after="0" w:line="164" w:lineRule="exact"/>
        <w:rPr>
          <w:sz w:val="20"/>
          <w:szCs w:val="20"/>
          <w:color w:val="auto"/>
        </w:rPr>
      </w:pPr>
    </w:p>
    <w:tbl>
      <w:tblPr>
        <w:tblLayout w:type="fixed"/>
        <w:tblInd w:w="222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1680" w:type="dxa"/>
            <w:vAlign w:val="bottom"/>
          </w:tcPr>
          <w:p>
            <w:pPr>
              <w:jc w:val="center"/>
              <w:ind w:left="581"/>
              <w:spacing w:after="0"/>
              <w:rPr>
                <w:sz w:val="20"/>
                <w:szCs w:val="20"/>
                <w:color w:val="auto"/>
              </w:rPr>
            </w:pPr>
            <w:r>
              <w:rPr>
                <w:rFonts w:ascii="Arial" w:cs="Arial" w:eastAsia="Arial" w:hAnsi="Arial"/>
                <w:sz w:val="20"/>
                <w:szCs w:val="20"/>
                <w:color w:val="auto"/>
                <w:w w:val="94"/>
              </w:rPr>
              <w:t>% by Which</w:t>
            </w:r>
          </w:p>
        </w:tc>
      </w:tr>
      <w:tr>
        <w:trPr>
          <w:trHeight w:val="229"/>
        </w:trPr>
        <w:tc>
          <w:tcPr>
            <w:tcW w:w="4560" w:type="dxa"/>
            <w:vAlign w:val="bottom"/>
          </w:tcPr>
          <w:p>
            <w:pPr>
              <w:spacing w:after="0"/>
              <w:rPr>
                <w:sz w:val="19"/>
                <w:szCs w:val="19"/>
                <w:color w:val="auto"/>
              </w:rPr>
            </w:pPr>
          </w:p>
        </w:tc>
        <w:tc>
          <w:tcPr>
            <w:tcW w:w="1680" w:type="dxa"/>
            <w:vAlign w:val="bottom"/>
          </w:tcPr>
          <w:p>
            <w:pPr>
              <w:jc w:val="center"/>
              <w:ind w:left="581"/>
              <w:spacing w:after="0"/>
              <w:rPr>
                <w:sz w:val="20"/>
                <w:szCs w:val="20"/>
                <w:color w:val="auto"/>
              </w:rPr>
            </w:pPr>
            <w:r>
              <w:rPr>
                <w:rFonts w:ascii="Arial" w:cs="Arial" w:eastAsia="Arial" w:hAnsi="Arial"/>
                <w:sz w:val="20"/>
                <w:szCs w:val="20"/>
                <w:color w:val="auto"/>
                <w:w w:val="89"/>
              </w:rPr>
              <w:t>Estimated</w:t>
            </w:r>
          </w:p>
        </w:tc>
      </w:tr>
      <w:tr>
        <w:trPr>
          <w:trHeight w:val="229"/>
        </w:trPr>
        <w:tc>
          <w:tcPr>
            <w:tcW w:w="4560" w:type="dxa"/>
            <w:vAlign w:val="bottom"/>
          </w:tcPr>
          <w:p>
            <w:pPr>
              <w:spacing w:after="0"/>
              <w:rPr>
                <w:sz w:val="19"/>
                <w:szCs w:val="19"/>
                <w:color w:val="auto"/>
              </w:rPr>
            </w:pPr>
          </w:p>
        </w:tc>
        <w:tc>
          <w:tcPr>
            <w:tcW w:w="1680" w:type="dxa"/>
            <w:vAlign w:val="bottom"/>
          </w:tcPr>
          <w:p>
            <w:pPr>
              <w:jc w:val="center"/>
              <w:ind w:left="561"/>
              <w:spacing w:after="0"/>
              <w:rPr>
                <w:sz w:val="20"/>
                <w:szCs w:val="20"/>
                <w:color w:val="auto"/>
              </w:rPr>
            </w:pPr>
            <w:r>
              <w:rPr>
                <w:rFonts w:ascii="Arial" w:cs="Arial" w:eastAsia="Arial" w:hAnsi="Arial"/>
                <w:sz w:val="20"/>
                <w:szCs w:val="20"/>
                <w:color w:val="auto"/>
                <w:w w:val="94"/>
              </w:rPr>
              <w:t>Fair Value</w:t>
            </w:r>
          </w:p>
        </w:tc>
      </w:tr>
      <w:tr>
        <w:trPr>
          <w:trHeight w:val="229"/>
        </w:trPr>
        <w:tc>
          <w:tcPr>
            <w:tcW w:w="4560" w:type="dxa"/>
            <w:vAlign w:val="bottom"/>
          </w:tcPr>
          <w:p>
            <w:pPr>
              <w:spacing w:after="0"/>
              <w:rPr>
                <w:sz w:val="19"/>
                <w:szCs w:val="19"/>
                <w:color w:val="auto"/>
              </w:rPr>
            </w:pPr>
          </w:p>
        </w:tc>
        <w:tc>
          <w:tcPr>
            <w:tcW w:w="1680" w:type="dxa"/>
            <w:vAlign w:val="bottom"/>
          </w:tcPr>
          <w:p>
            <w:pPr>
              <w:jc w:val="center"/>
              <w:ind w:left="561"/>
              <w:spacing w:after="0"/>
              <w:rPr>
                <w:sz w:val="20"/>
                <w:szCs w:val="20"/>
                <w:color w:val="auto"/>
              </w:rPr>
            </w:pPr>
            <w:r>
              <w:rPr>
                <w:rFonts w:ascii="Arial" w:cs="Arial" w:eastAsia="Arial" w:hAnsi="Arial"/>
                <w:sz w:val="20"/>
                <w:szCs w:val="20"/>
                <w:color w:val="auto"/>
                <w:w w:val="85"/>
              </w:rPr>
              <w:t>Exceeds</w:t>
            </w:r>
          </w:p>
        </w:tc>
      </w:tr>
      <w:tr>
        <w:trPr>
          <w:trHeight w:val="229"/>
        </w:trPr>
        <w:tc>
          <w:tcPr>
            <w:tcW w:w="4560" w:type="dxa"/>
            <w:vAlign w:val="bottom"/>
          </w:tcPr>
          <w:p>
            <w:pPr>
              <w:spacing w:after="0"/>
              <w:rPr>
                <w:sz w:val="19"/>
                <w:szCs w:val="19"/>
                <w:color w:val="auto"/>
              </w:rPr>
            </w:pPr>
          </w:p>
        </w:tc>
        <w:tc>
          <w:tcPr>
            <w:tcW w:w="1680" w:type="dxa"/>
            <w:vAlign w:val="bottom"/>
          </w:tcPr>
          <w:p>
            <w:pPr>
              <w:jc w:val="center"/>
              <w:ind w:left="561"/>
              <w:spacing w:after="0"/>
              <w:rPr>
                <w:sz w:val="20"/>
                <w:szCs w:val="20"/>
                <w:color w:val="auto"/>
              </w:rPr>
            </w:pPr>
            <w:r>
              <w:rPr>
                <w:rFonts w:ascii="Arial" w:cs="Arial" w:eastAsia="Arial" w:hAnsi="Arial"/>
                <w:sz w:val="20"/>
                <w:szCs w:val="20"/>
                <w:color w:val="auto"/>
                <w:w w:val="92"/>
              </w:rPr>
              <w:t>Carrying</w:t>
            </w:r>
          </w:p>
        </w:tc>
      </w:tr>
      <w:tr>
        <w:trPr>
          <w:trHeight w:val="264"/>
        </w:trPr>
        <w:tc>
          <w:tcPr>
            <w:tcW w:w="4560" w:type="dxa"/>
            <w:vAlign w:val="bottom"/>
          </w:tcPr>
          <w:p>
            <w:pPr>
              <w:spacing w:after="0"/>
              <w:rPr>
                <w:sz w:val="20"/>
                <w:szCs w:val="20"/>
                <w:color w:val="auto"/>
              </w:rPr>
            </w:pPr>
            <w:r>
              <w:rPr>
                <w:rFonts w:ascii="Arial" w:cs="Arial" w:eastAsia="Arial" w:hAnsi="Arial"/>
                <w:sz w:val="20"/>
                <w:szCs w:val="20"/>
                <w:color w:val="auto"/>
              </w:rPr>
              <w:t>Reporting Unit</w:t>
            </w:r>
          </w:p>
        </w:tc>
        <w:tc>
          <w:tcPr>
            <w:tcW w:w="1680" w:type="dxa"/>
            <w:vAlign w:val="bottom"/>
          </w:tcPr>
          <w:p>
            <w:pPr>
              <w:jc w:val="center"/>
              <w:ind w:left="581"/>
              <w:spacing w:after="0"/>
              <w:rPr>
                <w:sz w:val="20"/>
                <w:szCs w:val="20"/>
                <w:color w:val="auto"/>
              </w:rPr>
            </w:pPr>
            <w:r>
              <w:rPr>
                <w:rFonts w:ascii="Arial" w:cs="Arial" w:eastAsia="Arial" w:hAnsi="Arial"/>
                <w:sz w:val="20"/>
                <w:szCs w:val="20"/>
                <w:color w:val="auto"/>
                <w:w w:val="93"/>
              </w:rPr>
              <w:t>Value</w:t>
            </w:r>
          </w:p>
        </w:tc>
      </w:tr>
      <w:tr>
        <w:trPr>
          <w:trHeight w:val="242"/>
        </w:trPr>
        <w:tc>
          <w:tcPr>
            <w:tcW w:w="4560" w:type="dxa"/>
            <w:vAlign w:val="bottom"/>
          </w:tcPr>
          <w:p>
            <w:pPr>
              <w:spacing w:after="0"/>
              <w:rPr>
                <w:sz w:val="20"/>
                <w:szCs w:val="20"/>
                <w:color w:val="auto"/>
              </w:rPr>
            </w:pPr>
            <w:r>
              <w:rPr>
                <w:rFonts w:ascii="Arial" w:cs="Arial" w:eastAsia="Arial" w:hAnsi="Arial"/>
                <w:sz w:val="20"/>
                <w:szCs w:val="20"/>
                <w:color w:val="auto"/>
              </w:rPr>
              <w:t>Power Solutions and Protection (excluding CUI)</w:t>
            </w:r>
          </w:p>
        </w:tc>
        <w:tc>
          <w:tcPr>
            <w:tcW w:w="1680" w:type="dxa"/>
            <w:vAlign w:val="bottom"/>
          </w:tcPr>
          <w:p>
            <w:pPr>
              <w:jc w:val="center"/>
              <w:ind w:left="561"/>
              <w:spacing w:after="0"/>
              <w:rPr>
                <w:sz w:val="20"/>
                <w:szCs w:val="20"/>
                <w:color w:val="auto"/>
              </w:rPr>
            </w:pPr>
            <w:r>
              <w:rPr>
                <w:rFonts w:ascii="Arial" w:cs="Arial" w:eastAsia="Arial" w:hAnsi="Arial"/>
                <w:sz w:val="20"/>
                <w:szCs w:val="20"/>
                <w:color w:val="auto"/>
                <w:w w:val="89"/>
              </w:rPr>
              <w:t>540%</w:t>
            </w:r>
          </w:p>
        </w:tc>
      </w:tr>
      <w:tr>
        <w:trPr>
          <w:trHeight w:val="253"/>
        </w:trPr>
        <w:tc>
          <w:tcPr>
            <w:tcW w:w="4560" w:type="dxa"/>
            <w:vAlign w:val="bottom"/>
          </w:tcPr>
          <w:p>
            <w:pPr>
              <w:spacing w:after="0"/>
              <w:rPr>
                <w:sz w:val="20"/>
                <w:szCs w:val="20"/>
                <w:color w:val="auto"/>
              </w:rPr>
            </w:pPr>
            <w:r>
              <w:rPr>
                <w:rFonts w:ascii="Arial" w:cs="Arial" w:eastAsia="Arial" w:hAnsi="Arial"/>
                <w:sz w:val="20"/>
                <w:szCs w:val="20"/>
                <w:color w:val="auto"/>
              </w:rPr>
              <w:t>Connectivity Solutions</w:t>
            </w:r>
          </w:p>
        </w:tc>
        <w:tc>
          <w:tcPr>
            <w:tcW w:w="1680" w:type="dxa"/>
            <w:vAlign w:val="bottom"/>
          </w:tcPr>
          <w:p>
            <w:pPr>
              <w:jc w:val="center"/>
              <w:ind w:left="561"/>
              <w:spacing w:after="0"/>
              <w:rPr>
                <w:sz w:val="20"/>
                <w:szCs w:val="20"/>
                <w:color w:val="auto"/>
              </w:rPr>
            </w:pPr>
            <w:r>
              <w:rPr>
                <w:rFonts w:ascii="Arial" w:cs="Arial" w:eastAsia="Arial" w:hAnsi="Arial"/>
                <w:sz w:val="20"/>
                <w:szCs w:val="20"/>
                <w:color w:val="auto"/>
                <w:w w:val="89"/>
              </w:rPr>
              <w:t>391%</w:t>
            </w:r>
          </w:p>
        </w:tc>
      </w:tr>
      <w:tr>
        <w:trPr>
          <w:trHeight w:val="241"/>
        </w:trPr>
        <w:tc>
          <w:tcPr>
            <w:tcW w:w="4560" w:type="dxa"/>
            <w:vAlign w:val="bottom"/>
          </w:tcPr>
          <w:p>
            <w:pPr>
              <w:spacing w:after="0"/>
              <w:rPr>
                <w:sz w:val="20"/>
                <w:szCs w:val="20"/>
                <w:color w:val="auto"/>
              </w:rPr>
            </w:pPr>
            <w:r>
              <w:rPr>
                <w:rFonts w:ascii="Arial" w:cs="Arial" w:eastAsia="Arial" w:hAnsi="Arial"/>
                <w:sz w:val="20"/>
                <w:szCs w:val="20"/>
                <w:color w:val="auto"/>
              </w:rPr>
              <w:t>CUI</w:t>
            </w:r>
          </w:p>
        </w:tc>
        <w:tc>
          <w:tcPr>
            <w:tcW w:w="1680" w:type="dxa"/>
            <w:vAlign w:val="bottom"/>
          </w:tcPr>
          <w:p>
            <w:pPr>
              <w:jc w:val="center"/>
              <w:ind w:left="561"/>
              <w:spacing w:after="0"/>
              <w:rPr>
                <w:sz w:val="20"/>
                <w:szCs w:val="20"/>
                <w:color w:val="auto"/>
              </w:rPr>
            </w:pPr>
            <w:r>
              <w:rPr>
                <w:rFonts w:ascii="Arial" w:cs="Arial" w:eastAsia="Arial" w:hAnsi="Arial"/>
                <w:sz w:val="20"/>
                <w:szCs w:val="20"/>
                <w:color w:val="auto"/>
                <w:w w:val="94"/>
              </w:rPr>
              <w:t>72%</w:t>
            </w:r>
          </w:p>
        </w:tc>
      </w:tr>
      <w:tr>
        <w:trPr>
          <w:trHeight w:val="264"/>
        </w:trPr>
        <w:tc>
          <w:tcPr>
            <w:tcW w:w="4560" w:type="dxa"/>
            <w:vAlign w:val="bottom"/>
          </w:tcPr>
          <w:p>
            <w:pPr>
              <w:spacing w:after="0"/>
              <w:rPr>
                <w:sz w:val="20"/>
                <w:szCs w:val="20"/>
                <w:color w:val="auto"/>
              </w:rPr>
            </w:pPr>
            <w:r>
              <w:rPr>
                <w:rFonts w:ascii="Arial" w:cs="Arial" w:eastAsia="Arial" w:hAnsi="Arial"/>
                <w:sz w:val="20"/>
                <w:szCs w:val="20"/>
                <w:color w:val="auto"/>
              </w:rPr>
              <w:t>Enercon</w:t>
            </w:r>
          </w:p>
        </w:tc>
        <w:tc>
          <w:tcPr>
            <w:tcW w:w="1680" w:type="dxa"/>
            <w:vAlign w:val="bottom"/>
          </w:tcPr>
          <w:p>
            <w:pPr>
              <w:jc w:val="center"/>
              <w:ind w:left="561"/>
              <w:spacing w:after="0"/>
              <w:rPr>
                <w:sz w:val="20"/>
                <w:szCs w:val="20"/>
                <w:color w:val="auto"/>
              </w:rPr>
            </w:pPr>
            <w:r>
              <w:rPr>
                <w:rFonts w:ascii="Arial" w:cs="Arial" w:eastAsia="Arial" w:hAnsi="Arial"/>
                <w:sz w:val="20"/>
                <w:szCs w:val="20"/>
                <w:color w:val="auto"/>
                <w:w w:val="94"/>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-653415</wp:posOffset>
            </wp:positionV>
            <wp:extent cx="403225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32250" cy="342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2024 Annual Impairment Test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October 1, 2024, the Company completed a quantitative assessment of our annual goodwill impairment test for our Power Solutions and Protection (excluding CUI), Connectivity Solutions, and CUI reporting units. The Company performed a qualitative analysis (Step 0) on the reporting units as of the October 1, 2024 testing date and concluded that the fair value these reporting units exceeded the carrying value and that there was no indication of impairment.</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As noted above, the fair value determined in connection with the goodwill impairment test completed in the fourth quarter of 2025 exceeded the carrying value for each reporting unit. Therefore, there was no impairment of goodwill. However, if the fair value decreases in future periods, the Company may need to complete an interim goodwill impairment test and any potential goodwill impairment charge would be dependent upon the estimated fair value of the reporting unit at that time and the outcome of the impairment test. The fair values of the assets and liabilities of the reporting unit, including the intangible assets, could vary depending on various factors.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future occurrence of a potential indicator of impairment, such as a decrease in expected net earnings, adverse equity market conditions, a decline in current market multiples, a sustained decrease in the price of our common stock, a significant adverse change in legal factors or business climates, an adverse action or assessment by a regulator, unanticipated competition, strategic decisions made in response to economic or competitive conditions, or a more-likely-than-not expectation that a reporting unit or a significant portion of a reporting unit will be sold or disposed of, could require an interim assessment for some or all of the reporting units before the next required annual assessment. In the event of significant adverse changes of the nature described above, it may be necessary for us to recognize an additional non-cash impairment of goodwill, which could have a material adverse effect on our consolidated financial condition and consolidated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Intangible Assets</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Other identifiable intangible assets include patents, technology, license agreements, non-compete agreements and trademarks. Amounts assigned to these intangible assets have been determined by management. Management considered a number of factors in determining the allocations, including valuations and independent appraisals. Trademarks have indefinite lives and are reviewed for impairment on an annual basis, or when there is a triggering event. Other intangible assets, excluding trademarks, are being amortized over 1 to 17 years.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tests indefinite-lived intangible assets for impairment using a fair value approach, the relief-from -royalty method (a form of the income approach). At December 31, 2025, the Company's indefinite-lived intangible assets related to the trademarks acquired in the Enercon, CUI, Power Solutions, Connectivity Solutions, Cinch and Fibreco acquisitions.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definite and indefinite-lived intangible assets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6"/>
          </w:tcPr>
          <w:p>
            <w:pPr>
              <w:ind w:left="940"/>
              <w:spacing w:after="0"/>
              <w:rPr>
                <w:sz w:val="20"/>
                <w:szCs w:val="20"/>
                <w:color w:val="auto"/>
              </w:rPr>
            </w:pPr>
            <w:r>
              <w:rPr>
                <w:rFonts w:ascii="Arial" w:cs="Arial" w:eastAsia="Arial" w:hAnsi="Arial"/>
                <w:sz w:val="20"/>
                <w:szCs w:val="20"/>
                <w:color w:val="auto"/>
                <w:w w:val="95"/>
              </w:rPr>
              <w:t>December 31, 2025</w:t>
            </w:r>
          </w:p>
        </w:tc>
        <w:tc>
          <w:tcPr>
            <w:tcW w:w="9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ind w:left="860"/>
              <w:spacing w:after="0"/>
              <w:rPr>
                <w:sz w:val="20"/>
                <w:szCs w:val="20"/>
                <w:color w:val="auto"/>
              </w:rPr>
            </w:pPr>
            <w:r>
              <w:rPr>
                <w:rFonts w:ascii="Arial" w:cs="Arial" w:eastAsia="Arial" w:hAnsi="Arial"/>
                <w:sz w:val="20"/>
                <w:szCs w:val="20"/>
                <w:color w:val="auto"/>
                <w:w w:val="95"/>
              </w:rPr>
              <w:t>December 31, 2024</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spacing w:after="0" w:line="215" w:lineRule="exact"/>
              <w:rPr>
                <w:sz w:val="20"/>
                <w:szCs w:val="20"/>
                <w:color w:val="auto"/>
              </w:rPr>
            </w:pPr>
            <w:r>
              <w:rPr>
                <w:rFonts w:ascii="Arial" w:cs="Arial" w:eastAsia="Arial" w:hAnsi="Arial"/>
                <w:sz w:val="20"/>
                <w:szCs w:val="20"/>
                <w:color w:val="auto"/>
                <w:w w:val="90"/>
              </w:rPr>
              <w:t>Gross Carrying</w:t>
            </w:r>
          </w:p>
        </w:tc>
        <w:tc>
          <w:tcPr>
            <w:tcW w:w="140" w:type="dxa"/>
            <w:vAlign w:val="bottom"/>
          </w:tcPr>
          <w:p>
            <w:pPr>
              <w:spacing w:after="0"/>
              <w:rPr>
                <w:sz w:val="18"/>
                <w:szCs w:val="18"/>
                <w:color w:val="auto"/>
              </w:rPr>
            </w:pPr>
          </w:p>
        </w:tc>
        <w:tc>
          <w:tcPr>
            <w:tcW w:w="1080" w:type="dxa"/>
            <w:vAlign w:val="bottom"/>
            <w:gridSpan w:val="2"/>
          </w:tcPr>
          <w:p>
            <w:pPr>
              <w:spacing w:after="0" w:line="215" w:lineRule="exact"/>
              <w:rPr>
                <w:sz w:val="20"/>
                <w:szCs w:val="20"/>
                <w:color w:val="auto"/>
              </w:rPr>
            </w:pPr>
            <w:r>
              <w:rPr>
                <w:rFonts w:ascii="Arial" w:cs="Arial" w:eastAsia="Arial" w:hAnsi="Arial"/>
                <w:sz w:val="20"/>
                <w:szCs w:val="20"/>
                <w:color w:val="auto"/>
                <w:w w:val="91"/>
              </w:rPr>
              <w:t>Accumulated</w:t>
            </w:r>
          </w:p>
        </w:tc>
        <w:tc>
          <w:tcPr>
            <w:tcW w:w="140" w:type="dxa"/>
            <w:vAlign w:val="bottom"/>
          </w:tcPr>
          <w:p>
            <w:pPr>
              <w:spacing w:after="0"/>
              <w:rPr>
                <w:sz w:val="18"/>
                <w:szCs w:val="18"/>
                <w:color w:val="auto"/>
              </w:rPr>
            </w:pPr>
          </w:p>
        </w:tc>
        <w:tc>
          <w:tcPr>
            <w:tcW w:w="1080" w:type="dxa"/>
            <w:vAlign w:val="bottom"/>
            <w:gridSpan w:val="2"/>
          </w:tcPr>
          <w:p>
            <w:pPr>
              <w:ind w:left="20"/>
              <w:spacing w:after="0" w:line="215" w:lineRule="exact"/>
              <w:rPr>
                <w:sz w:val="20"/>
                <w:szCs w:val="20"/>
                <w:color w:val="auto"/>
              </w:rPr>
            </w:pPr>
            <w:r>
              <w:rPr>
                <w:rFonts w:ascii="Arial" w:cs="Arial" w:eastAsia="Arial" w:hAnsi="Arial"/>
                <w:sz w:val="20"/>
                <w:szCs w:val="20"/>
                <w:color w:val="auto"/>
                <w:w w:val="92"/>
              </w:rPr>
              <w:t>Net Carrying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line="215" w:lineRule="exact"/>
              <w:rPr>
                <w:sz w:val="20"/>
                <w:szCs w:val="20"/>
                <w:color w:val="auto"/>
              </w:rPr>
            </w:pPr>
            <w:r>
              <w:rPr>
                <w:rFonts w:ascii="Arial" w:cs="Arial" w:eastAsia="Arial" w:hAnsi="Arial"/>
                <w:sz w:val="20"/>
                <w:szCs w:val="20"/>
                <w:color w:val="auto"/>
                <w:w w:val="90"/>
              </w:rPr>
              <w:t>Gross Carrying</w:t>
            </w:r>
          </w:p>
        </w:tc>
        <w:tc>
          <w:tcPr>
            <w:tcW w:w="140" w:type="dxa"/>
            <w:vAlign w:val="bottom"/>
          </w:tcPr>
          <w:p>
            <w:pPr>
              <w:spacing w:after="0"/>
              <w:rPr>
                <w:sz w:val="18"/>
                <w:szCs w:val="18"/>
                <w:color w:val="auto"/>
              </w:rPr>
            </w:pPr>
          </w:p>
        </w:tc>
        <w:tc>
          <w:tcPr>
            <w:tcW w:w="1100" w:type="dxa"/>
            <w:vAlign w:val="bottom"/>
            <w:gridSpan w:val="2"/>
          </w:tcPr>
          <w:p>
            <w:pPr>
              <w:ind w:left="20"/>
              <w:spacing w:after="0" w:line="215" w:lineRule="exact"/>
              <w:rPr>
                <w:sz w:val="20"/>
                <w:szCs w:val="20"/>
                <w:color w:val="auto"/>
              </w:rPr>
            </w:pPr>
            <w:r>
              <w:rPr>
                <w:rFonts w:ascii="Arial" w:cs="Arial" w:eastAsia="Arial" w:hAnsi="Arial"/>
                <w:sz w:val="20"/>
                <w:szCs w:val="20"/>
                <w:color w:val="auto"/>
                <w:w w:val="91"/>
              </w:rPr>
              <w:t>Accumulated</w:t>
            </w:r>
          </w:p>
        </w:tc>
        <w:tc>
          <w:tcPr>
            <w:tcW w:w="140" w:type="dxa"/>
            <w:vAlign w:val="bottom"/>
          </w:tcPr>
          <w:p>
            <w:pPr>
              <w:spacing w:after="0"/>
              <w:rPr>
                <w:sz w:val="18"/>
                <w:szCs w:val="18"/>
                <w:color w:val="auto"/>
              </w:rPr>
            </w:pPr>
          </w:p>
        </w:tc>
        <w:tc>
          <w:tcPr>
            <w:tcW w:w="1060" w:type="dxa"/>
            <w:vAlign w:val="bottom"/>
            <w:gridSpan w:val="2"/>
          </w:tcPr>
          <w:p>
            <w:pPr>
              <w:spacing w:after="0" w:line="215" w:lineRule="exact"/>
              <w:rPr>
                <w:sz w:val="20"/>
                <w:szCs w:val="20"/>
                <w:color w:val="auto"/>
              </w:rPr>
            </w:pPr>
            <w:r>
              <w:rPr>
                <w:rFonts w:ascii="Arial" w:cs="Arial" w:eastAsia="Arial" w:hAnsi="Arial"/>
                <w:sz w:val="20"/>
                <w:szCs w:val="20"/>
                <w:color w:val="auto"/>
                <w:w w:val="92"/>
              </w:rPr>
              <w:t>Net Carrying</w:t>
            </w:r>
          </w:p>
        </w:tc>
        <w:tc>
          <w:tcPr>
            <w:tcW w:w="0" w:type="dxa"/>
            <w:vAlign w:val="bottom"/>
          </w:tcPr>
          <w:p>
            <w:pPr>
              <w:spacing w:after="0"/>
              <w:rPr>
                <w:sz w:val="1"/>
                <w:szCs w:val="1"/>
                <w:color w:val="auto"/>
              </w:rPr>
            </w:pPr>
          </w:p>
        </w:tc>
      </w:tr>
      <w:tr>
        <w:trPr>
          <w:trHeight w:val="254"/>
        </w:trPr>
        <w:tc>
          <w:tcPr>
            <w:tcW w:w="2180" w:type="dxa"/>
            <w:vAlign w:val="bottom"/>
            <w:gridSpan w:val="2"/>
            <w:vMerge w:val="restart"/>
          </w:tcPr>
          <w:p>
            <w:pPr>
              <w:spacing w:after="0"/>
              <w:rPr>
                <w:sz w:val="20"/>
                <w:szCs w:val="20"/>
                <w:color w:val="auto"/>
              </w:rPr>
            </w:pPr>
            <w:r>
              <w:rPr>
                <w:rFonts w:ascii="Arial" w:cs="Arial" w:eastAsia="Arial" w:hAnsi="Arial"/>
                <w:sz w:val="20"/>
                <w:szCs w:val="20"/>
                <w:color w:val="auto"/>
              </w:rPr>
              <w:t>Patents, licenses and</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Amount</w:t>
            </w:r>
          </w:p>
        </w:tc>
        <w:tc>
          <w:tcPr>
            <w:tcW w:w="140" w:type="dxa"/>
            <w:vAlign w:val="bottom"/>
          </w:tcPr>
          <w:p>
            <w:pPr>
              <w:spacing w:after="0"/>
              <w:rPr>
                <w:sz w:val="22"/>
                <w:szCs w:val="22"/>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5"/>
              </w:rPr>
              <w:t>Amortization</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Amount</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Amount</w:t>
            </w:r>
          </w:p>
        </w:tc>
        <w:tc>
          <w:tcPr>
            <w:tcW w:w="140" w:type="dxa"/>
            <w:vAlign w:val="bottom"/>
          </w:tcPr>
          <w:p>
            <w:pPr>
              <w:spacing w:after="0"/>
              <w:rPr>
                <w:sz w:val="22"/>
                <w:szCs w:val="22"/>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w w:val="95"/>
              </w:rPr>
              <w:t>Amortization</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Amount</w:t>
            </w:r>
          </w:p>
        </w:tc>
        <w:tc>
          <w:tcPr>
            <w:tcW w:w="0" w:type="dxa"/>
            <w:vAlign w:val="bottom"/>
          </w:tcPr>
          <w:p>
            <w:pPr>
              <w:spacing w:after="0"/>
              <w:rPr>
                <w:sz w:val="1"/>
                <w:szCs w:val="1"/>
                <w:color w:val="auto"/>
              </w:rPr>
            </w:pPr>
          </w:p>
        </w:tc>
      </w:tr>
      <w:tr>
        <w:trPr>
          <w:trHeight w:val="206"/>
        </w:trPr>
        <w:tc>
          <w:tcPr>
            <w:tcW w:w="2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80" w:type="dxa"/>
            <w:vAlign w:val="bottom"/>
            <w:gridSpan w:val="2"/>
          </w:tcPr>
          <w:p>
            <w:pPr>
              <w:ind w:left="180"/>
              <w:spacing w:after="0"/>
              <w:rPr>
                <w:sz w:val="20"/>
                <w:szCs w:val="20"/>
                <w:color w:val="auto"/>
              </w:rPr>
            </w:pPr>
            <w:r>
              <w:rPr>
                <w:rFonts w:ascii="Arial" w:cs="Arial" w:eastAsia="Arial" w:hAnsi="Arial"/>
                <w:sz w:val="20"/>
                <w:szCs w:val="20"/>
                <w:color w:val="auto"/>
              </w:rPr>
              <w:t>technology</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56,417</w:t>
            </w:r>
          </w:p>
        </w:tc>
        <w:tc>
          <w:tcPr>
            <w:tcW w:w="4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15,642</w:t>
            </w:r>
          </w:p>
        </w:tc>
        <w:tc>
          <w:tcPr>
            <w:tcW w:w="30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40,775</w:t>
            </w:r>
          </w:p>
        </w:tc>
        <w:tc>
          <w:tcPr>
            <w:tcW w:w="320" w:type="dxa"/>
            <w:vAlign w:val="bottom"/>
            <w:gridSpan w:val="3"/>
          </w:tcPr>
          <w:p>
            <w:pPr>
              <w:ind w:lef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56,628</w:t>
            </w:r>
          </w:p>
        </w:tc>
        <w:tc>
          <w:tcPr>
            <w:tcW w:w="4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12,589</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44,039</w:t>
            </w:r>
          </w:p>
        </w:tc>
        <w:tc>
          <w:tcPr>
            <w:tcW w:w="0" w:type="dxa"/>
            <w:vAlign w:val="bottom"/>
          </w:tcPr>
          <w:p>
            <w:pPr>
              <w:spacing w:after="0"/>
              <w:rPr>
                <w:sz w:val="1"/>
                <w:szCs w:val="1"/>
                <w:color w:val="auto"/>
              </w:rPr>
            </w:pPr>
          </w:p>
        </w:tc>
      </w:tr>
      <w:tr>
        <w:trPr>
          <w:trHeight w:val="239"/>
        </w:trPr>
        <w:tc>
          <w:tcPr>
            <w:tcW w:w="2180" w:type="dxa"/>
            <w:vAlign w:val="bottom"/>
            <w:gridSpan w:val="2"/>
          </w:tcPr>
          <w:p>
            <w:pPr>
              <w:spacing w:after="0"/>
              <w:rPr>
                <w:sz w:val="20"/>
                <w:szCs w:val="20"/>
                <w:color w:val="auto"/>
              </w:rPr>
            </w:pPr>
            <w:r>
              <w:rPr>
                <w:rFonts w:ascii="Arial" w:cs="Arial" w:eastAsia="Arial" w:hAnsi="Arial"/>
                <w:sz w:val="20"/>
                <w:szCs w:val="20"/>
                <w:color w:val="auto"/>
              </w:rPr>
              <w:t>Customer relationships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187,723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48,936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138,787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186,683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36,953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149,730</w:t>
            </w:r>
          </w:p>
        </w:tc>
        <w:tc>
          <w:tcPr>
            <w:tcW w:w="0" w:type="dxa"/>
            <w:vAlign w:val="bottom"/>
          </w:tcPr>
          <w:p>
            <w:pPr>
              <w:spacing w:after="0"/>
              <w:rPr>
                <w:sz w:val="1"/>
                <w:szCs w:val="1"/>
                <w:color w:val="auto"/>
              </w:rPr>
            </w:pPr>
          </w:p>
        </w:tc>
      </w:tr>
      <w:tr>
        <w:trPr>
          <w:trHeight w:val="254"/>
        </w:trPr>
        <w:tc>
          <w:tcPr>
            <w:tcW w:w="2180" w:type="dxa"/>
            <w:vAlign w:val="bottom"/>
            <w:gridSpan w:val="2"/>
          </w:tcPr>
          <w:p>
            <w:pPr>
              <w:spacing w:after="0"/>
              <w:rPr>
                <w:sz w:val="20"/>
                <w:szCs w:val="20"/>
                <w:color w:val="auto"/>
              </w:rPr>
            </w:pPr>
            <w:r>
              <w:rPr>
                <w:rFonts w:ascii="Arial" w:cs="Arial" w:eastAsia="Arial" w:hAnsi="Arial"/>
                <w:sz w:val="20"/>
                <w:szCs w:val="20"/>
                <w:color w:val="auto"/>
              </w:rPr>
              <w:t>Trademarks</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38,563</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38,404</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38,337</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38,179</w:t>
            </w:r>
          </w:p>
        </w:tc>
        <w:tc>
          <w:tcPr>
            <w:tcW w:w="0" w:type="dxa"/>
            <w:vAlign w:val="bottom"/>
          </w:tcPr>
          <w:p>
            <w:pPr>
              <w:spacing w:after="0"/>
              <w:rPr>
                <w:sz w:val="1"/>
                <w:szCs w:val="1"/>
                <w:color w:val="auto"/>
              </w:rPr>
            </w:pPr>
          </w:p>
        </w:tc>
      </w:tr>
      <w:tr>
        <w:trPr>
          <w:trHeight w:val="482"/>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282,703</w:t>
            </w:r>
          </w:p>
        </w:tc>
        <w:tc>
          <w:tcPr>
            <w:tcW w:w="4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64,737</w:t>
            </w:r>
          </w:p>
        </w:tc>
        <w:tc>
          <w:tcPr>
            <w:tcW w:w="30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217,966</w:t>
            </w:r>
          </w:p>
        </w:tc>
        <w:tc>
          <w:tcPr>
            <w:tcW w:w="320" w:type="dxa"/>
            <w:vAlign w:val="bottom"/>
            <w:gridSpan w:val="3"/>
          </w:tcPr>
          <w:p>
            <w:pPr>
              <w:ind w:lef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281,648</w:t>
            </w:r>
          </w:p>
        </w:tc>
        <w:tc>
          <w:tcPr>
            <w:tcW w:w="4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49,700</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231,948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vMerge w:val="restart"/>
          </w:tcPr>
          <w:p>
            <w:pPr>
              <w:jc w:val="right"/>
              <w:ind w:right="261"/>
              <w:spacing w:after="0"/>
              <w:rPr>
                <w:sz w:val="20"/>
                <w:szCs w:val="20"/>
                <w:color w:val="auto"/>
              </w:rPr>
            </w:pPr>
            <w:r>
              <w:rPr>
                <w:rFonts w:ascii="Arial" w:cs="Arial" w:eastAsia="Arial" w:hAnsi="Arial"/>
                <w:sz w:val="20"/>
                <w:szCs w:val="20"/>
                <w:color w:val="auto"/>
              </w:rPr>
              <w:t>68</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-563880</wp:posOffset>
            </wp:positionV>
            <wp:extent cx="4789170" cy="52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89170" cy="52705"/>
                    </a:xfrm>
                    <a:prstGeom prst="rect">
                      <a:avLst/>
                    </a:prstGeom>
                    <a:noFill/>
                  </pic:spPr>
                </pic:pic>
              </a:graphicData>
            </a:graphic>
          </wp:anchor>
        </w:drawing>
      </w:r>
    </w:p>
    <w:p>
      <w:pPr>
        <w:sectPr>
          <w:pgSz w:w="12240" w:h="15840" w:orient="portrait"/>
          <w:cols w:equalWidth="0" w:num="1">
            <w:col w:w="10800"/>
          </w:cols>
          <w:pgMar w:left="720" w:top="555" w:right="720" w:bottom="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20"/>
          <w:szCs w:val="20"/>
          <w:color w:val="auto"/>
        </w:rPr>
        <w:t>The increases in gross carrying amounts noted above as of December 31, 2025 related intangibles acquired in connection with the Enercon transaction, as further detailed in Note 3, "</w:t>
      </w:r>
      <w:r>
        <w:rPr>
          <w:rFonts w:ascii="Arial" w:cs="Arial" w:eastAsia="Arial" w:hAnsi="Arial"/>
          <w:sz w:val="20"/>
          <w:szCs w:val="20"/>
          <w:i w:val="1"/>
          <w:iCs w:val="1"/>
          <w:color w:val="auto"/>
        </w:rPr>
        <w:t>Acquisition</w:t>
      </w:r>
      <w:r>
        <w:rPr>
          <w:rFonts w:ascii="Arial" w:cs="Arial" w:eastAsia="Arial" w:hAnsi="Arial"/>
          <w:sz w:val="20"/>
          <w:szCs w:val="20"/>
          <w:color w:val="auto"/>
        </w:rPr>
        <w:t>". Amortization expense was $14.8 million, $6.5 million and $4.7 million during each of 2025, 2024 and 2023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80" w:type="dxa"/>
            <w:vAlign w:val="bottom"/>
            <w:gridSpan w:val="2"/>
          </w:tcPr>
          <w:p>
            <w:pPr>
              <w:spacing w:after="0"/>
              <w:rPr>
                <w:sz w:val="20"/>
                <w:szCs w:val="20"/>
                <w:color w:val="auto"/>
              </w:rPr>
            </w:pPr>
            <w:r>
              <w:rPr>
                <w:rFonts w:ascii="Arial" w:cs="Arial" w:eastAsia="Arial" w:hAnsi="Arial"/>
                <w:sz w:val="20"/>
                <w:szCs w:val="20"/>
                <w:color w:val="auto"/>
                <w:w w:val="95"/>
              </w:rPr>
              <w:t>Estimated amortization expense for intangible assets for the next five years is as follows: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63"/>
        </w:trPr>
        <w:tc>
          <w:tcPr>
            <w:tcW w:w="1080" w:type="dxa"/>
            <w:vAlign w:val="bottom"/>
          </w:tcPr>
          <w:p>
            <w:pPr>
              <w:spacing w:after="0"/>
              <w:rPr>
                <w:sz w:val="24"/>
                <w:szCs w:val="24"/>
                <w:color w:val="auto"/>
              </w:rPr>
            </w:pPr>
          </w:p>
        </w:tc>
        <w:tc>
          <w:tcPr>
            <w:tcW w:w="6400" w:type="dxa"/>
            <w:vAlign w:val="bottom"/>
            <w:tcBorders>
              <w:bottom w:val="single" w:sz="8" w:color="auto"/>
            </w:tcBorders>
          </w:tcPr>
          <w:p>
            <w:pPr>
              <w:jc w:val="center"/>
              <w:ind w:left="221"/>
              <w:spacing w:after="0"/>
              <w:rPr>
                <w:sz w:val="20"/>
                <w:szCs w:val="20"/>
                <w:color w:val="auto"/>
              </w:rPr>
            </w:pPr>
            <w:r>
              <w:rPr>
                <w:rFonts w:ascii="Arial" w:cs="Arial" w:eastAsia="Arial" w:hAnsi="Arial"/>
                <w:sz w:val="20"/>
                <w:szCs w:val="20"/>
                <w:color w:val="auto"/>
                <w:w w:val="89"/>
              </w:rPr>
              <w:t>December 31,</w:t>
            </w:r>
          </w:p>
        </w:tc>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Amortization Expense</w:t>
            </w:r>
          </w:p>
        </w:tc>
      </w:tr>
      <w:tr>
        <w:trPr>
          <w:trHeight w:val="220"/>
        </w:trPr>
        <w:tc>
          <w:tcPr>
            <w:tcW w:w="1080" w:type="dxa"/>
            <w:vAlign w:val="bottom"/>
          </w:tcPr>
          <w:p>
            <w:pPr>
              <w:spacing w:after="0"/>
              <w:rPr>
                <w:sz w:val="19"/>
                <w:szCs w:val="19"/>
                <w:color w:val="auto"/>
              </w:rPr>
            </w:pPr>
          </w:p>
        </w:tc>
        <w:tc>
          <w:tcPr>
            <w:tcW w:w="6400" w:type="dxa"/>
            <w:vAlign w:val="bottom"/>
          </w:tcPr>
          <w:p>
            <w:pPr>
              <w:jc w:val="center"/>
              <w:ind w:left="221"/>
              <w:spacing w:after="0" w:line="220" w:lineRule="exact"/>
              <w:rPr>
                <w:sz w:val="20"/>
                <w:szCs w:val="20"/>
                <w:color w:val="auto"/>
              </w:rPr>
            </w:pPr>
            <w:r>
              <w:rPr>
                <w:rFonts w:ascii="Arial" w:cs="Arial" w:eastAsia="Arial" w:hAnsi="Arial"/>
                <w:sz w:val="20"/>
                <w:szCs w:val="20"/>
                <w:color w:val="auto"/>
                <w:w w:val="89"/>
              </w:rPr>
              <w:t>2026</w:t>
            </w:r>
          </w:p>
        </w:tc>
        <w:tc>
          <w:tcPr>
            <w:tcW w:w="1060" w:type="dxa"/>
            <w:vAlign w:val="bottom"/>
          </w:tcPr>
          <w:p>
            <w:pPr>
              <w:jc w:val="right"/>
              <w:ind w:right="481"/>
              <w:spacing w:after="0" w:line="220"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0" w:lineRule="exact"/>
              <w:rPr>
                <w:sz w:val="20"/>
                <w:szCs w:val="20"/>
                <w:color w:val="auto"/>
              </w:rPr>
            </w:pPr>
            <w:r>
              <w:rPr>
                <w:rFonts w:ascii="Arial" w:cs="Arial" w:eastAsia="Arial" w:hAnsi="Arial"/>
                <w:sz w:val="20"/>
                <w:szCs w:val="20"/>
                <w:color w:val="auto"/>
              </w:rPr>
              <w:t>14,781</w:t>
            </w:r>
          </w:p>
        </w:tc>
      </w:tr>
      <w:tr>
        <w:trPr>
          <w:trHeight w:val="239"/>
        </w:trPr>
        <w:tc>
          <w:tcPr>
            <w:tcW w:w="7480" w:type="dxa"/>
            <w:vAlign w:val="bottom"/>
            <w:gridSpan w:val="2"/>
          </w:tcPr>
          <w:p>
            <w:pPr>
              <w:jc w:val="center"/>
              <w:ind w:left="1301"/>
              <w:spacing w:after="0"/>
              <w:rPr>
                <w:sz w:val="20"/>
                <w:szCs w:val="20"/>
                <w:color w:val="auto"/>
              </w:rPr>
            </w:pPr>
            <w:r>
              <w:rPr>
                <w:rFonts w:ascii="Arial" w:cs="Arial" w:eastAsia="Arial" w:hAnsi="Arial"/>
                <w:sz w:val="20"/>
                <w:szCs w:val="20"/>
                <w:color w:val="auto"/>
                <w:w w:val="89"/>
              </w:rPr>
              <w:t>2027</w:t>
            </w:r>
          </w:p>
        </w:tc>
        <w:tc>
          <w:tcPr>
            <w:tcW w:w="10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14,781</w:t>
            </w:r>
          </w:p>
        </w:tc>
      </w:tr>
      <w:tr>
        <w:trPr>
          <w:trHeight w:val="239"/>
        </w:trPr>
        <w:tc>
          <w:tcPr>
            <w:tcW w:w="7480" w:type="dxa"/>
            <w:vAlign w:val="bottom"/>
            <w:gridSpan w:val="2"/>
          </w:tcPr>
          <w:p>
            <w:pPr>
              <w:jc w:val="center"/>
              <w:ind w:left="1301"/>
              <w:spacing w:after="0"/>
              <w:rPr>
                <w:sz w:val="20"/>
                <w:szCs w:val="20"/>
                <w:color w:val="auto"/>
              </w:rPr>
            </w:pPr>
            <w:r>
              <w:rPr>
                <w:rFonts w:ascii="Arial" w:cs="Arial" w:eastAsia="Arial" w:hAnsi="Arial"/>
                <w:sz w:val="20"/>
                <w:szCs w:val="20"/>
                <w:color w:val="auto"/>
                <w:w w:val="89"/>
              </w:rPr>
              <w:t>2028</w:t>
            </w:r>
          </w:p>
        </w:tc>
        <w:tc>
          <w:tcPr>
            <w:tcW w:w="10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14,715</w:t>
            </w:r>
          </w:p>
        </w:tc>
      </w:tr>
      <w:tr>
        <w:trPr>
          <w:trHeight w:val="239"/>
        </w:trPr>
        <w:tc>
          <w:tcPr>
            <w:tcW w:w="7480" w:type="dxa"/>
            <w:vAlign w:val="bottom"/>
            <w:gridSpan w:val="2"/>
          </w:tcPr>
          <w:p>
            <w:pPr>
              <w:jc w:val="center"/>
              <w:ind w:left="1301"/>
              <w:spacing w:after="0"/>
              <w:rPr>
                <w:sz w:val="20"/>
                <w:szCs w:val="20"/>
                <w:color w:val="auto"/>
              </w:rPr>
            </w:pPr>
            <w:r>
              <w:rPr>
                <w:rFonts w:ascii="Arial" w:cs="Arial" w:eastAsia="Arial" w:hAnsi="Arial"/>
                <w:sz w:val="20"/>
                <w:szCs w:val="20"/>
                <w:color w:val="auto"/>
                <w:w w:val="89"/>
              </w:rPr>
              <w:t>2029</w:t>
            </w:r>
          </w:p>
        </w:tc>
        <w:tc>
          <w:tcPr>
            <w:tcW w:w="10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13,612</w:t>
            </w:r>
          </w:p>
        </w:tc>
      </w:tr>
      <w:tr>
        <w:trPr>
          <w:trHeight w:val="264"/>
        </w:trPr>
        <w:tc>
          <w:tcPr>
            <w:tcW w:w="7480" w:type="dxa"/>
            <w:vAlign w:val="bottom"/>
            <w:gridSpan w:val="2"/>
          </w:tcPr>
          <w:p>
            <w:pPr>
              <w:jc w:val="center"/>
              <w:ind w:left="1301"/>
              <w:spacing w:after="0"/>
              <w:rPr>
                <w:sz w:val="20"/>
                <w:szCs w:val="20"/>
                <w:color w:val="auto"/>
              </w:rPr>
            </w:pPr>
            <w:r>
              <w:rPr>
                <w:rFonts w:ascii="Arial" w:cs="Arial" w:eastAsia="Arial" w:hAnsi="Arial"/>
                <w:sz w:val="20"/>
                <w:szCs w:val="20"/>
                <w:color w:val="auto"/>
                <w:w w:val="89"/>
              </w:rPr>
              <w:t>2030</w:t>
            </w:r>
          </w:p>
        </w:tc>
        <w:tc>
          <w:tcPr>
            <w:tcW w:w="10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12,259</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2025 and 2024 Impairment Tests</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Company completed its annual indefinite-lived intangible assets impairment test as of October 1, 2025 and October 1, 2024. At the October 1, 2025 testing date, it was concluded that no indication of impairment was evident at the October 1, 2025 test date for the Company's indefinite-lived intangible assets. At the October 1, 2024 testing date, it was concluded that an impairment existed related to the Company's CUI tradename given the trade restrictions with one of its large suppliers in the PRC. In connection with the trade restriction, and the resulting loss of sales to our customers, the Company recorded a $0.4 million impairment charge related to the CUI tradename within the Company's Power Solutions and Protection segment during the year ended December 31, 2024. Management has concluded that the fair value of these trademarks exceeded the related carrying values at December 31, 2025 and December 31, 2024, with no indication of impairment at either date.</w:t>
      </w:r>
    </w:p>
    <w:p>
      <w:pPr>
        <w:spacing w:after="0" w:line="200" w:lineRule="exact"/>
        <w:rPr>
          <w:sz w:val="20"/>
          <w:szCs w:val="20"/>
          <w:color w:val="auto"/>
        </w:rPr>
      </w:pPr>
    </w:p>
    <w:p>
      <w:pPr>
        <w:spacing w:after="0" w:line="261"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9"/>
          <w:szCs w:val="19"/>
          <w:color w:val="auto"/>
        </w:rPr>
        <w:t>FAIR VALUE MEASUREMENTS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following tables show the Company's cash, cash equivalents and other marketable and held to maturity securities by significant investment category as of December 31, 2025 and 2024:</w:t>
      </w:r>
    </w:p>
    <w:p>
      <w:pPr>
        <w:spacing w:after="0" w:line="165" w:lineRule="exact"/>
        <w:rPr>
          <w:sz w:val="20"/>
          <w:szCs w:val="20"/>
          <w:color w:val="auto"/>
        </w:rPr>
      </w:pPr>
    </w:p>
    <w:tbl>
      <w:tblPr>
        <w:tblLayout w:type="fixed"/>
        <w:tblInd w:w="1080" w:type="dxa"/>
        <w:tblCellMar>
          <w:top w:w="0" w:type="dxa"/>
          <w:left w:w="0" w:type="dxa"/>
          <w:bottom w:w="0" w:type="dxa"/>
          <w:right w:w="0" w:type="dxa"/>
        </w:tblCellMar>
      </w:tblPr>
      <w:tr>
        <w:trPr>
          <w:trHeight w:val="257"/>
        </w:trPr>
        <w:tc>
          <w:tcPr>
            <w:tcW w:w="4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20"/>
                <w:szCs w:val="20"/>
                <w:color w:val="auto"/>
                <w:w w:val="91"/>
              </w:rPr>
              <w:t>December 31, 2025</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spacing w:after="0" w:line="204" w:lineRule="exact"/>
              <w:rPr>
                <w:sz w:val="20"/>
                <w:szCs w:val="20"/>
                <w:color w:val="auto"/>
              </w:rPr>
            </w:pPr>
            <w:r>
              <w:rPr>
                <w:rFonts w:ascii="Arial" w:cs="Arial" w:eastAsia="Arial" w:hAnsi="Arial"/>
                <w:sz w:val="20"/>
                <w:szCs w:val="20"/>
                <w:color w:val="auto"/>
                <w:w w:val="86"/>
              </w:rPr>
              <w:t>Cash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center"/>
              <w:ind w:right="41"/>
              <w:spacing w:after="0" w:line="204" w:lineRule="exact"/>
              <w:rPr>
                <w:sz w:val="20"/>
                <w:szCs w:val="20"/>
                <w:color w:val="auto"/>
              </w:rPr>
            </w:pPr>
            <w:r>
              <w:rPr>
                <w:rFonts w:ascii="Arial" w:cs="Arial" w:eastAsia="Arial" w:hAnsi="Arial"/>
                <w:sz w:val="20"/>
                <w:szCs w:val="20"/>
                <w:color w:val="auto"/>
                <w:w w:val="91"/>
              </w:rPr>
              <w:t>Other</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92"/>
              </w:rPr>
              <w:t>Carrying</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0"/>
              </w:rPr>
              <w:t>cash</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center"/>
              <w:ind w:right="21"/>
              <w:spacing w:after="0"/>
              <w:rPr>
                <w:sz w:val="20"/>
                <w:szCs w:val="20"/>
                <w:color w:val="auto"/>
              </w:rPr>
            </w:pPr>
            <w:r>
              <w:rPr>
                <w:rFonts w:ascii="Arial" w:cs="Arial" w:eastAsia="Arial" w:hAnsi="Arial"/>
                <w:sz w:val="20"/>
                <w:szCs w:val="20"/>
                <w:color w:val="auto"/>
                <w:w w:val="92"/>
              </w:rPr>
              <w:t>Current</w:t>
            </w:r>
          </w:p>
        </w:tc>
        <w:tc>
          <w:tcPr>
            <w:tcW w:w="0" w:type="dxa"/>
            <w:vAlign w:val="bottom"/>
          </w:tcPr>
          <w:p>
            <w:pPr>
              <w:spacing w:after="0"/>
              <w:rPr>
                <w:sz w:val="1"/>
                <w:szCs w:val="1"/>
                <w:color w:val="auto"/>
              </w:rPr>
            </w:pPr>
          </w:p>
        </w:tc>
      </w:tr>
      <w:tr>
        <w:trPr>
          <w:trHeight w:val="257"/>
        </w:trPr>
        <w:tc>
          <w:tcPr>
            <w:tcW w:w="4560" w:type="dxa"/>
            <w:vAlign w:val="bottom"/>
            <w:vMerge w:val="restart"/>
          </w:tcPr>
          <w:p>
            <w:pPr>
              <w:spacing w:after="0"/>
              <w:rPr>
                <w:sz w:val="20"/>
                <w:szCs w:val="20"/>
                <w:color w:val="auto"/>
              </w:rPr>
            </w:pPr>
            <w:r>
              <w:rPr>
                <w:rFonts w:ascii="Arial" w:cs="Arial" w:eastAsia="Arial" w:hAnsi="Arial"/>
                <w:sz w:val="20"/>
                <w:szCs w:val="20"/>
                <w:color w:val="auto"/>
              </w:rPr>
              <w:t>Cash</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color w:val="auto"/>
                <w:w w:val="87"/>
              </w:rPr>
              <w:t>value</w:t>
            </w:r>
          </w:p>
        </w:tc>
        <w:tc>
          <w:tcPr>
            <w:tcW w:w="140" w:type="dxa"/>
            <w:vAlign w:val="bottom"/>
          </w:tcPr>
          <w:p>
            <w:pPr>
              <w:spacing w:after="0"/>
              <w:rPr>
                <w:sz w:val="22"/>
                <w:szCs w:val="2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3"/>
              </w:rPr>
              <w:t>Fair value</w:t>
            </w:r>
          </w:p>
        </w:tc>
        <w:tc>
          <w:tcPr>
            <w:tcW w:w="140" w:type="dxa"/>
            <w:vAlign w:val="bottom"/>
          </w:tcPr>
          <w:p>
            <w:pPr>
              <w:spacing w:after="0"/>
              <w:rPr>
                <w:sz w:val="22"/>
                <w:szCs w:val="22"/>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w w:val="88"/>
              </w:rPr>
              <w:t>equivalents</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9"/>
              </w:rPr>
              <w:t>Assets</w:t>
            </w:r>
          </w:p>
        </w:tc>
        <w:tc>
          <w:tcPr>
            <w:tcW w:w="0" w:type="dxa"/>
            <w:vAlign w:val="bottom"/>
          </w:tcPr>
          <w:p>
            <w:pPr>
              <w:spacing w:after="0"/>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line="215" w:lineRule="exact"/>
              <w:rPr>
                <w:sz w:val="20"/>
                <w:szCs w:val="20"/>
                <w:color w:val="auto"/>
              </w:rPr>
            </w:pPr>
            <w:r>
              <w:rPr>
                <w:rFonts w:ascii="Arial" w:cs="Arial" w:eastAsia="Arial" w:hAnsi="Arial"/>
                <w:sz w:val="20"/>
                <w:szCs w:val="20"/>
                <w:color w:val="auto"/>
              </w:rPr>
              <w:t>57,531</w:t>
            </w:r>
          </w:p>
        </w:tc>
        <w:tc>
          <w:tcPr>
            <w:tcW w:w="14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line="215" w:lineRule="exact"/>
              <w:rPr>
                <w:sz w:val="20"/>
                <w:szCs w:val="20"/>
                <w:color w:val="auto"/>
              </w:rPr>
            </w:pPr>
            <w:r>
              <w:rPr>
                <w:rFonts w:ascii="Arial" w:cs="Arial" w:eastAsia="Arial" w:hAnsi="Arial"/>
                <w:sz w:val="20"/>
                <w:szCs w:val="20"/>
                <w:color w:val="auto"/>
              </w:rPr>
              <w:t>57,531</w:t>
            </w:r>
          </w:p>
        </w:tc>
        <w:tc>
          <w:tcPr>
            <w:tcW w:w="140" w:type="dxa"/>
            <w:vAlign w:val="bottom"/>
          </w:tcPr>
          <w:p>
            <w:pPr>
              <w:spacing w:after="0"/>
              <w:rPr>
                <w:sz w:val="18"/>
                <w:szCs w:val="18"/>
                <w:color w:val="auto"/>
              </w:rPr>
            </w:pPr>
          </w:p>
        </w:tc>
        <w:tc>
          <w:tcPr>
            <w:tcW w:w="200" w:type="dxa"/>
            <w:vAlign w:val="bottom"/>
          </w:tcPr>
          <w:p>
            <w:pPr>
              <w:spacing w:after="0" w:line="215" w:lineRule="exact"/>
              <w:rPr>
                <w:sz w:val="20"/>
                <w:szCs w:val="20"/>
                <w:color w:val="auto"/>
              </w:rPr>
            </w:pPr>
            <w:r>
              <w:rPr>
                <w:rFonts w:ascii="Arial" w:cs="Arial" w:eastAsia="Arial" w:hAnsi="Arial"/>
                <w:sz w:val="20"/>
                <w:szCs w:val="20"/>
                <w:color w:val="auto"/>
              </w:rPr>
              <w:t>$</w:t>
            </w:r>
          </w:p>
        </w:tc>
        <w:tc>
          <w:tcPr>
            <w:tcW w:w="740" w:type="dxa"/>
            <w:vAlign w:val="bottom"/>
          </w:tcPr>
          <w:p>
            <w:pPr>
              <w:jc w:val="right"/>
              <w:spacing w:after="0" w:line="215" w:lineRule="exact"/>
              <w:rPr>
                <w:sz w:val="20"/>
                <w:szCs w:val="20"/>
                <w:color w:val="auto"/>
              </w:rPr>
            </w:pPr>
            <w:r>
              <w:rPr>
                <w:rFonts w:ascii="Arial" w:cs="Arial" w:eastAsia="Arial" w:hAnsi="Arial"/>
                <w:sz w:val="20"/>
                <w:szCs w:val="20"/>
                <w:color w:val="auto"/>
              </w:rPr>
              <w:t>57,531</w:t>
            </w:r>
          </w:p>
        </w:tc>
        <w:tc>
          <w:tcPr>
            <w:tcW w:w="16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74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r>
              <w:rPr>
                <w:rFonts w:ascii="Arial" w:cs="Arial" w:eastAsia="Arial" w:hAnsi="Arial"/>
                <w:sz w:val="20"/>
                <w:szCs w:val="20"/>
                <w:color w:val="auto"/>
              </w:rPr>
              <w:t>Level 1:</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r>
              <w:rPr>
                <w:rFonts w:ascii="Arial" w:cs="Arial" w:eastAsia="Arial" w:hAnsi="Arial"/>
                <w:sz w:val="20"/>
                <w:szCs w:val="20"/>
                <w:color w:val="auto"/>
              </w:rPr>
              <w:t>Money market funds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4560" w:type="dxa"/>
            <w:vAlign w:val="bottom"/>
          </w:tcPr>
          <w:p>
            <w:pPr>
              <w:spacing w:after="0"/>
              <w:rPr>
                <w:sz w:val="20"/>
                <w:szCs w:val="20"/>
                <w:color w:val="auto"/>
              </w:rPr>
            </w:pPr>
            <w:r>
              <w:rPr>
                <w:rFonts w:ascii="Arial" w:cs="Arial" w:eastAsia="Arial" w:hAnsi="Arial"/>
                <w:sz w:val="20"/>
                <w:szCs w:val="20"/>
                <w:color w:val="auto"/>
              </w:rPr>
              <w:t>Money market funds (Rabbi Trust)</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586</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586</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586</w:t>
            </w:r>
          </w:p>
        </w:tc>
        <w:tc>
          <w:tcPr>
            <w:tcW w:w="0" w:type="dxa"/>
            <w:vAlign w:val="bottom"/>
          </w:tcPr>
          <w:p>
            <w:pPr>
              <w:spacing w:after="0"/>
              <w:rPr>
                <w:sz w:val="1"/>
                <w:szCs w:val="1"/>
                <w:color w:val="auto"/>
              </w:rPr>
            </w:pPr>
          </w:p>
        </w:tc>
      </w:tr>
      <w:tr>
        <w:trPr>
          <w:trHeight w:val="231"/>
        </w:trPr>
        <w:tc>
          <w:tcPr>
            <w:tcW w:w="4560" w:type="dxa"/>
            <w:vAlign w:val="bottom"/>
          </w:tcPr>
          <w:p>
            <w:pPr>
              <w:spacing w:after="0"/>
              <w:rPr>
                <w:sz w:val="20"/>
                <w:szCs w:val="20"/>
                <w:color w:val="auto"/>
              </w:rPr>
            </w:pPr>
            <w:r>
              <w:rPr>
                <w:rFonts w:ascii="Arial" w:cs="Arial" w:eastAsia="Arial" w:hAnsi="Arial"/>
                <w:sz w:val="20"/>
                <w:szCs w:val="20"/>
                <w:color w:val="auto"/>
              </w:rPr>
              <w:t>Subtotal</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587</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586</w:t>
            </w:r>
          </w:p>
        </w:tc>
        <w:tc>
          <w:tcPr>
            <w:tcW w:w="0" w:type="dxa"/>
            <w:vAlign w:val="bottom"/>
          </w:tcPr>
          <w:p>
            <w:pPr>
              <w:spacing w:after="0"/>
              <w:rPr>
                <w:sz w:val="1"/>
                <w:szCs w:val="1"/>
                <w:color w:val="auto"/>
              </w:rPr>
            </w:pPr>
          </w:p>
        </w:tc>
      </w:tr>
      <w:tr>
        <w:trPr>
          <w:trHeight w:val="215"/>
        </w:trPr>
        <w:tc>
          <w:tcPr>
            <w:tcW w:w="4560" w:type="dxa"/>
            <w:vAlign w:val="bottom"/>
          </w:tcPr>
          <w:p>
            <w:pPr>
              <w:spacing w:after="0" w:line="215" w:lineRule="exact"/>
              <w:rPr>
                <w:sz w:val="20"/>
                <w:szCs w:val="20"/>
                <w:color w:val="auto"/>
              </w:rPr>
            </w:pPr>
            <w:r>
              <w:rPr>
                <w:rFonts w:ascii="Arial" w:cs="Arial" w:eastAsia="Arial" w:hAnsi="Arial"/>
                <w:sz w:val="20"/>
                <w:szCs w:val="20"/>
                <w:color w:val="auto"/>
              </w:rPr>
              <w:t>Level 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rPr>
                <w:sz w:val="20"/>
                <w:szCs w:val="20"/>
                <w:color w:val="auto"/>
              </w:rPr>
            </w:pPr>
            <w:r>
              <w:rPr>
                <w:rFonts w:ascii="Arial" w:cs="Arial" w:eastAsia="Arial" w:hAnsi="Arial"/>
                <w:sz w:val="20"/>
                <w:szCs w:val="20"/>
                <w:color w:val="auto"/>
              </w:rPr>
              <w:t>Certificates of deposit and time deposits</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1,859</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2,121</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1,591</w:t>
            </w:r>
          </w:p>
        </w:tc>
        <w:tc>
          <w:tcPr>
            <w:tcW w:w="0" w:type="dxa"/>
            <w:vAlign w:val="bottom"/>
          </w:tcPr>
          <w:p>
            <w:pPr>
              <w:spacing w:after="0"/>
              <w:rPr>
                <w:sz w:val="1"/>
                <w:szCs w:val="1"/>
                <w:color w:val="auto"/>
              </w:rPr>
            </w:pPr>
          </w:p>
        </w:tc>
      </w:tr>
      <w:tr>
        <w:trPr>
          <w:trHeight w:val="231"/>
        </w:trPr>
        <w:tc>
          <w:tcPr>
            <w:tcW w:w="4560" w:type="dxa"/>
            <w:vAlign w:val="bottom"/>
          </w:tcPr>
          <w:p>
            <w:pPr>
              <w:spacing w:after="0"/>
              <w:rPr>
                <w:sz w:val="20"/>
                <w:szCs w:val="20"/>
                <w:color w:val="auto"/>
              </w:rPr>
            </w:pPr>
            <w:r>
              <w:rPr>
                <w:rFonts w:ascii="Arial" w:cs="Arial" w:eastAsia="Arial" w:hAnsi="Arial"/>
                <w:sz w:val="20"/>
                <w:szCs w:val="20"/>
                <w:color w:val="auto"/>
              </w:rPr>
              <w:t>Subtotal</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1,859</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2,121</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1,591</w:t>
            </w:r>
          </w:p>
        </w:tc>
        <w:tc>
          <w:tcPr>
            <w:tcW w:w="0" w:type="dxa"/>
            <w:vAlign w:val="bottom"/>
          </w:tcPr>
          <w:p>
            <w:pPr>
              <w:spacing w:after="0"/>
              <w:rPr>
                <w:sz w:val="1"/>
                <w:szCs w:val="1"/>
                <w:color w:val="auto"/>
              </w:rPr>
            </w:pPr>
          </w:p>
        </w:tc>
      </w:tr>
      <w:tr>
        <w:trPr>
          <w:trHeight w:val="247"/>
        </w:trPr>
        <w:tc>
          <w:tcPr>
            <w:tcW w:w="4560" w:type="dxa"/>
            <w:vAlign w:val="bottom"/>
          </w:tcPr>
          <w:p>
            <w:pPr>
              <w:spacing w:after="0"/>
              <w:rPr>
                <w:sz w:val="20"/>
                <w:szCs w:val="20"/>
                <w:color w:val="auto"/>
              </w:rPr>
            </w:pPr>
            <w:r>
              <w:rPr>
                <w:rFonts w:ascii="Arial" w:cs="Arial" w:eastAsia="Arial" w:hAnsi="Arial"/>
                <w:sz w:val="20"/>
                <w:szCs w:val="20"/>
                <w:color w:val="auto"/>
              </w:rPr>
              <w:t>Total</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59,977</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60,239</w:t>
            </w:r>
          </w:p>
        </w:tc>
        <w:tc>
          <w:tcPr>
            <w:tcW w:w="1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57,800</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2,177</w:t>
            </w:r>
          </w:p>
        </w:tc>
        <w:tc>
          <w:tcPr>
            <w:tcW w:w="0" w:type="dxa"/>
            <w:vAlign w:val="bottom"/>
          </w:tcPr>
          <w:p>
            <w:pPr>
              <w:spacing w:after="0"/>
              <w:rPr>
                <w:sz w:val="1"/>
                <w:szCs w:val="1"/>
                <w:color w:val="auto"/>
              </w:rPr>
            </w:pPr>
          </w:p>
        </w:tc>
      </w:tr>
      <w:tr>
        <w:trPr>
          <w:trHeight w:val="493"/>
        </w:trPr>
        <w:tc>
          <w:tcPr>
            <w:tcW w:w="4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20"/>
                <w:szCs w:val="20"/>
                <w:color w:val="auto"/>
                <w:w w:val="91"/>
              </w:rPr>
              <w:t>December 31, 2024</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spacing w:after="0" w:line="206" w:lineRule="exact"/>
              <w:rPr>
                <w:sz w:val="20"/>
                <w:szCs w:val="20"/>
                <w:color w:val="auto"/>
              </w:rPr>
            </w:pPr>
            <w:r>
              <w:rPr>
                <w:rFonts w:ascii="Arial" w:cs="Arial" w:eastAsia="Arial" w:hAnsi="Arial"/>
                <w:sz w:val="20"/>
                <w:szCs w:val="20"/>
                <w:color w:val="auto"/>
                <w:w w:val="86"/>
              </w:rPr>
              <w:t>Cash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center"/>
              <w:ind w:right="41"/>
              <w:spacing w:after="0" w:line="206" w:lineRule="exact"/>
              <w:rPr>
                <w:sz w:val="20"/>
                <w:szCs w:val="20"/>
                <w:color w:val="auto"/>
              </w:rPr>
            </w:pPr>
            <w:r>
              <w:rPr>
                <w:rFonts w:ascii="Arial" w:cs="Arial" w:eastAsia="Arial" w:hAnsi="Arial"/>
                <w:sz w:val="20"/>
                <w:szCs w:val="20"/>
                <w:color w:val="auto"/>
                <w:w w:val="91"/>
              </w:rPr>
              <w:t>Other</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92"/>
              </w:rPr>
              <w:t>Carrying</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0"/>
              </w:rPr>
              <w:t>cash</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center"/>
              <w:ind w:right="21"/>
              <w:spacing w:after="0"/>
              <w:rPr>
                <w:sz w:val="20"/>
                <w:szCs w:val="20"/>
                <w:color w:val="auto"/>
              </w:rPr>
            </w:pPr>
            <w:r>
              <w:rPr>
                <w:rFonts w:ascii="Arial" w:cs="Arial" w:eastAsia="Arial" w:hAnsi="Arial"/>
                <w:sz w:val="20"/>
                <w:szCs w:val="20"/>
                <w:color w:val="auto"/>
                <w:w w:val="92"/>
              </w:rPr>
              <w:t>Current</w:t>
            </w:r>
          </w:p>
        </w:tc>
        <w:tc>
          <w:tcPr>
            <w:tcW w:w="0" w:type="dxa"/>
            <w:vAlign w:val="bottom"/>
          </w:tcPr>
          <w:p>
            <w:pPr>
              <w:spacing w:after="0"/>
              <w:rPr>
                <w:sz w:val="1"/>
                <w:szCs w:val="1"/>
                <w:color w:val="auto"/>
              </w:rPr>
            </w:pPr>
          </w:p>
        </w:tc>
      </w:tr>
      <w:tr>
        <w:trPr>
          <w:trHeight w:val="254"/>
        </w:trPr>
        <w:tc>
          <w:tcPr>
            <w:tcW w:w="4560" w:type="dxa"/>
            <w:vAlign w:val="bottom"/>
            <w:vMerge w:val="restart"/>
          </w:tcPr>
          <w:p>
            <w:pPr>
              <w:spacing w:after="0"/>
              <w:rPr>
                <w:sz w:val="20"/>
                <w:szCs w:val="20"/>
                <w:color w:val="auto"/>
              </w:rPr>
            </w:pPr>
            <w:r>
              <w:rPr>
                <w:rFonts w:ascii="Arial" w:cs="Arial" w:eastAsia="Arial" w:hAnsi="Arial"/>
                <w:sz w:val="20"/>
                <w:szCs w:val="20"/>
                <w:color w:val="auto"/>
              </w:rPr>
              <w:t>Cash</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color w:val="auto"/>
                <w:w w:val="87"/>
              </w:rPr>
              <w:t>value</w:t>
            </w:r>
          </w:p>
        </w:tc>
        <w:tc>
          <w:tcPr>
            <w:tcW w:w="140" w:type="dxa"/>
            <w:vAlign w:val="bottom"/>
          </w:tcPr>
          <w:p>
            <w:pPr>
              <w:spacing w:after="0"/>
              <w:rPr>
                <w:sz w:val="22"/>
                <w:szCs w:val="2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3"/>
              </w:rPr>
              <w:t>Fair value</w:t>
            </w:r>
          </w:p>
        </w:tc>
        <w:tc>
          <w:tcPr>
            <w:tcW w:w="140" w:type="dxa"/>
            <w:vAlign w:val="bottom"/>
          </w:tcPr>
          <w:p>
            <w:pPr>
              <w:spacing w:after="0"/>
              <w:rPr>
                <w:sz w:val="22"/>
                <w:szCs w:val="22"/>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w w:val="88"/>
              </w:rPr>
              <w:t>equivalents</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9"/>
              </w:rPr>
              <w:t>Assets</w:t>
            </w:r>
          </w:p>
        </w:tc>
        <w:tc>
          <w:tcPr>
            <w:tcW w:w="0" w:type="dxa"/>
            <w:vAlign w:val="bottom"/>
          </w:tcPr>
          <w:p>
            <w:pPr>
              <w:spacing w:after="0"/>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line="215" w:lineRule="exact"/>
              <w:rPr>
                <w:sz w:val="20"/>
                <w:szCs w:val="20"/>
                <w:color w:val="auto"/>
              </w:rPr>
            </w:pPr>
            <w:r>
              <w:rPr>
                <w:rFonts w:ascii="Arial" w:cs="Arial" w:eastAsia="Arial" w:hAnsi="Arial"/>
                <w:sz w:val="20"/>
                <w:szCs w:val="20"/>
                <w:color w:val="auto"/>
              </w:rPr>
              <w:t>66,917</w:t>
            </w:r>
          </w:p>
        </w:tc>
        <w:tc>
          <w:tcPr>
            <w:tcW w:w="14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line="215" w:lineRule="exact"/>
              <w:rPr>
                <w:sz w:val="20"/>
                <w:szCs w:val="20"/>
                <w:color w:val="auto"/>
              </w:rPr>
            </w:pPr>
            <w:r>
              <w:rPr>
                <w:rFonts w:ascii="Arial" w:cs="Arial" w:eastAsia="Arial" w:hAnsi="Arial"/>
                <w:sz w:val="20"/>
                <w:szCs w:val="20"/>
                <w:color w:val="auto"/>
              </w:rPr>
              <w:t>66,917</w:t>
            </w:r>
          </w:p>
        </w:tc>
        <w:tc>
          <w:tcPr>
            <w:tcW w:w="140" w:type="dxa"/>
            <w:vAlign w:val="bottom"/>
          </w:tcPr>
          <w:p>
            <w:pPr>
              <w:spacing w:after="0"/>
              <w:rPr>
                <w:sz w:val="18"/>
                <w:szCs w:val="18"/>
                <w:color w:val="auto"/>
              </w:rPr>
            </w:pPr>
          </w:p>
        </w:tc>
        <w:tc>
          <w:tcPr>
            <w:tcW w:w="200" w:type="dxa"/>
            <w:vAlign w:val="bottom"/>
          </w:tcPr>
          <w:p>
            <w:pPr>
              <w:spacing w:after="0" w:line="215" w:lineRule="exact"/>
              <w:rPr>
                <w:sz w:val="20"/>
                <w:szCs w:val="20"/>
                <w:color w:val="auto"/>
              </w:rPr>
            </w:pPr>
            <w:r>
              <w:rPr>
                <w:rFonts w:ascii="Arial" w:cs="Arial" w:eastAsia="Arial" w:hAnsi="Arial"/>
                <w:sz w:val="20"/>
                <w:szCs w:val="20"/>
                <w:color w:val="auto"/>
              </w:rPr>
              <w:t>$</w:t>
            </w:r>
          </w:p>
        </w:tc>
        <w:tc>
          <w:tcPr>
            <w:tcW w:w="740" w:type="dxa"/>
            <w:vAlign w:val="bottom"/>
          </w:tcPr>
          <w:p>
            <w:pPr>
              <w:jc w:val="right"/>
              <w:spacing w:after="0" w:line="215" w:lineRule="exact"/>
              <w:rPr>
                <w:sz w:val="20"/>
                <w:szCs w:val="20"/>
                <w:color w:val="auto"/>
              </w:rPr>
            </w:pPr>
            <w:r>
              <w:rPr>
                <w:rFonts w:ascii="Arial" w:cs="Arial" w:eastAsia="Arial" w:hAnsi="Arial"/>
                <w:sz w:val="20"/>
                <w:szCs w:val="20"/>
                <w:color w:val="auto"/>
              </w:rPr>
              <w:t>66,917</w:t>
            </w:r>
          </w:p>
        </w:tc>
        <w:tc>
          <w:tcPr>
            <w:tcW w:w="16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74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r>
              <w:rPr>
                <w:rFonts w:ascii="Arial" w:cs="Arial" w:eastAsia="Arial" w:hAnsi="Arial"/>
                <w:sz w:val="20"/>
                <w:szCs w:val="20"/>
                <w:color w:val="auto"/>
              </w:rPr>
              <w:t>Level 1:</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r>
              <w:rPr>
                <w:rFonts w:ascii="Arial" w:cs="Arial" w:eastAsia="Arial" w:hAnsi="Arial"/>
                <w:sz w:val="20"/>
                <w:szCs w:val="20"/>
                <w:color w:val="auto"/>
              </w:rPr>
              <w:t>Money market funds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4560" w:type="dxa"/>
            <w:vAlign w:val="bottom"/>
          </w:tcPr>
          <w:p>
            <w:pPr>
              <w:spacing w:after="0"/>
              <w:rPr>
                <w:sz w:val="20"/>
                <w:szCs w:val="20"/>
                <w:color w:val="auto"/>
              </w:rPr>
            </w:pPr>
            <w:r>
              <w:rPr>
                <w:rFonts w:ascii="Arial" w:cs="Arial" w:eastAsia="Arial" w:hAnsi="Arial"/>
                <w:sz w:val="20"/>
                <w:szCs w:val="20"/>
                <w:color w:val="auto"/>
              </w:rPr>
              <w:t>Money market funds (Rabbi Trust)</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566</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566</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566</w:t>
            </w:r>
          </w:p>
        </w:tc>
        <w:tc>
          <w:tcPr>
            <w:tcW w:w="0" w:type="dxa"/>
            <w:vAlign w:val="bottom"/>
          </w:tcPr>
          <w:p>
            <w:pPr>
              <w:spacing w:after="0"/>
              <w:rPr>
                <w:sz w:val="1"/>
                <w:szCs w:val="1"/>
                <w:color w:val="auto"/>
              </w:rPr>
            </w:pPr>
          </w:p>
        </w:tc>
      </w:tr>
      <w:tr>
        <w:trPr>
          <w:trHeight w:val="231"/>
        </w:trPr>
        <w:tc>
          <w:tcPr>
            <w:tcW w:w="4560" w:type="dxa"/>
            <w:vAlign w:val="bottom"/>
          </w:tcPr>
          <w:p>
            <w:pPr>
              <w:spacing w:after="0"/>
              <w:rPr>
                <w:sz w:val="20"/>
                <w:szCs w:val="20"/>
                <w:color w:val="auto"/>
              </w:rPr>
            </w:pPr>
            <w:r>
              <w:rPr>
                <w:rFonts w:ascii="Arial" w:cs="Arial" w:eastAsia="Arial" w:hAnsi="Arial"/>
                <w:sz w:val="20"/>
                <w:szCs w:val="20"/>
                <w:color w:val="auto"/>
              </w:rPr>
              <w:t>Subtotal</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567</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566</w:t>
            </w:r>
          </w:p>
        </w:tc>
        <w:tc>
          <w:tcPr>
            <w:tcW w:w="0" w:type="dxa"/>
            <w:vAlign w:val="bottom"/>
          </w:tcPr>
          <w:p>
            <w:pPr>
              <w:spacing w:after="0"/>
              <w:rPr>
                <w:sz w:val="1"/>
                <w:szCs w:val="1"/>
                <w:color w:val="auto"/>
              </w:rPr>
            </w:pPr>
          </w:p>
        </w:tc>
      </w:tr>
      <w:tr>
        <w:trPr>
          <w:trHeight w:val="215"/>
        </w:trPr>
        <w:tc>
          <w:tcPr>
            <w:tcW w:w="4560" w:type="dxa"/>
            <w:vAlign w:val="bottom"/>
          </w:tcPr>
          <w:p>
            <w:pPr>
              <w:spacing w:after="0" w:line="215" w:lineRule="exact"/>
              <w:rPr>
                <w:sz w:val="20"/>
                <w:szCs w:val="20"/>
                <w:color w:val="auto"/>
              </w:rPr>
            </w:pPr>
            <w:r>
              <w:rPr>
                <w:rFonts w:ascii="Arial" w:cs="Arial" w:eastAsia="Arial" w:hAnsi="Arial"/>
                <w:sz w:val="20"/>
                <w:szCs w:val="20"/>
                <w:color w:val="auto"/>
              </w:rPr>
              <w:t>Level 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rPr>
                <w:sz w:val="20"/>
                <w:szCs w:val="20"/>
                <w:color w:val="auto"/>
              </w:rPr>
            </w:pPr>
            <w:r>
              <w:rPr>
                <w:rFonts w:ascii="Arial" w:cs="Arial" w:eastAsia="Arial" w:hAnsi="Arial"/>
                <w:sz w:val="20"/>
                <w:szCs w:val="20"/>
                <w:color w:val="auto"/>
              </w:rPr>
              <w:t>Certificates of deposit and time deposits</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2,938</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3,348</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1,335</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1,602</w:t>
            </w:r>
          </w:p>
        </w:tc>
        <w:tc>
          <w:tcPr>
            <w:tcW w:w="0" w:type="dxa"/>
            <w:vAlign w:val="bottom"/>
          </w:tcPr>
          <w:p>
            <w:pPr>
              <w:spacing w:after="0"/>
              <w:rPr>
                <w:sz w:val="1"/>
                <w:szCs w:val="1"/>
                <w:color w:val="auto"/>
              </w:rPr>
            </w:pPr>
          </w:p>
        </w:tc>
      </w:tr>
      <w:tr>
        <w:trPr>
          <w:trHeight w:val="231"/>
        </w:trPr>
        <w:tc>
          <w:tcPr>
            <w:tcW w:w="4560" w:type="dxa"/>
            <w:vAlign w:val="bottom"/>
          </w:tcPr>
          <w:p>
            <w:pPr>
              <w:spacing w:after="0"/>
              <w:rPr>
                <w:sz w:val="20"/>
                <w:szCs w:val="20"/>
                <w:color w:val="auto"/>
              </w:rPr>
            </w:pPr>
            <w:r>
              <w:rPr>
                <w:rFonts w:ascii="Arial" w:cs="Arial" w:eastAsia="Arial" w:hAnsi="Arial"/>
                <w:sz w:val="20"/>
                <w:szCs w:val="20"/>
                <w:color w:val="auto"/>
              </w:rPr>
              <w:t>Subtotal</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2,938</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3,348</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1,335</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1,602</w:t>
            </w:r>
          </w:p>
        </w:tc>
        <w:tc>
          <w:tcPr>
            <w:tcW w:w="0" w:type="dxa"/>
            <w:vAlign w:val="bottom"/>
          </w:tcPr>
          <w:p>
            <w:pPr>
              <w:spacing w:after="0"/>
              <w:rPr>
                <w:sz w:val="1"/>
                <w:szCs w:val="1"/>
                <w:color w:val="auto"/>
              </w:rPr>
            </w:pPr>
          </w:p>
        </w:tc>
      </w:tr>
      <w:tr>
        <w:trPr>
          <w:trHeight w:val="247"/>
        </w:trPr>
        <w:tc>
          <w:tcPr>
            <w:tcW w:w="4560" w:type="dxa"/>
            <w:vAlign w:val="bottom"/>
          </w:tcPr>
          <w:p>
            <w:pPr>
              <w:spacing w:after="0"/>
              <w:rPr>
                <w:sz w:val="20"/>
                <w:szCs w:val="20"/>
                <w:color w:val="auto"/>
              </w:rPr>
            </w:pPr>
            <w:r>
              <w:rPr>
                <w:rFonts w:ascii="Arial" w:cs="Arial" w:eastAsia="Arial" w:hAnsi="Arial"/>
                <w:sz w:val="20"/>
                <w:szCs w:val="20"/>
                <w:color w:val="auto"/>
              </w:rPr>
              <w:t>Total</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70,422</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70,832</w:t>
            </w:r>
          </w:p>
        </w:tc>
        <w:tc>
          <w:tcPr>
            <w:tcW w:w="1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68,253</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-2383790</wp:posOffset>
            </wp:positionV>
            <wp:extent cx="2582545" cy="2222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82545" cy="22225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-191135</wp:posOffset>
            </wp:positionV>
            <wp:extent cx="2582545" cy="2222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82545"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2240" w:h="15840" w:orient="portrait"/>
          <w:cols w:equalWidth="0" w:num="1">
            <w:col w:w="10800"/>
          </w:cols>
          <w:pgMar w:left="720" w:top="556" w:right="720" w:bottom="0" w:gutter="0" w:footer="0" w:header="0"/>
        </w:sectPr>
      </w:pPr>
    </w:p>
    <w:bookmarkStart w:id="79" w:name="page80"/>
    <w:bookmarkEnd w:id="79"/>
    <w:p>
      <w:pPr>
        <w:jc w:val="both"/>
        <w:spacing w:after="0" w:line="250" w:lineRule="auto"/>
        <w:rPr>
          <w:sz w:val="20"/>
          <w:szCs w:val="20"/>
          <w:color w:val="auto"/>
        </w:rPr>
      </w:pPr>
      <w:r>
        <w:rPr>
          <w:rFonts w:ascii="Arial" w:cs="Arial" w:eastAsia="Arial" w:hAnsi="Arial"/>
          <w:sz w:val="20"/>
          <w:szCs w:val="20"/>
          <w:color w:val="auto"/>
        </w:rPr>
        <w:t>As of December 31, 2025 and 2024, our available-for-sale securities primarily consisted of investments held in a rabbi trust which are intended to fund the Company’s Supplemental Executive Retirement Plan (“SERP”) obligations. These securities are measured at fair value using quoted prices in active markets for identical assets (Level 1) inputs and amounted to $0.6 million at December 31, 2025 and $0.6 million at December 31, 2024.</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Throughout 2025 and 2024, the Company entered into a series of foreign currency forward contracts, the fair value of which was $1.8 million at December 31, 2025 and ($1.0) million at December 31, 2024. The estimated fair value of foreign currency forward contracts is based on quotes received from the applicable counterparty, and represents the estimated amount we would receive or pay to settle the contracts, taking into consideration current exchange rates which can be validated through readily observable data from external sources (Level 2).</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The Company is a party to two interest rate swap agreements as further described in Note 13, </w:t>
      </w:r>
      <w:r>
        <w:rPr>
          <w:rFonts w:ascii="Arial" w:cs="Arial" w:eastAsia="Arial" w:hAnsi="Arial"/>
          <w:sz w:val="19"/>
          <w:szCs w:val="19"/>
          <w:i w:val="1"/>
          <w:iCs w:val="1"/>
          <w:color w:val="auto"/>
        </w:rPr>
        <w:t>"Derivative Instruments and Hedging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Activities". </w:t>
      </w:r>
      <w:r>
        <w:rPr>
          <w:rFonts w:ascii="Arial" w:cs="Arial" w:eastAsia="Arial" w:hAnsi="Arial"/>
          <w:sz w:val="19"/>
          <w:szCs w:val="19"/>
          <w:color w:val="auto"/>
        </w:rPr>
        <w:t>The fair value of the interest rate swap agreements was $0.9 million and $2.7 million at December 31, 2025 and 2024,</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respectively, which was based on data received from the counterparty, and represents the estimated amount we would receive or pay to settle the agreements, taking into consideration current and projected future interest rates as well as the creditworthiness of the parties, all of which can be validated through readily observable data from external sources.</w:t>
      </w:r>
    </w:p>
    <w:p>
      <w:pPr>
        <w:spacing w:after="0" w:line="176"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color w:val="auto"/>
        </w:rPr>
        <w:t>The fair values of our derivative financial instruments (which are measured using Level 2 fair value inputs) and their classifications in our consolidated balance sheets as of December 31, 2025 and 2024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w w:val="90"/>
              </w:rPr>
              <w:t>December 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57"/>
        </w:trPr>
        <w:tc>
          <w:tcPr>
            <w:tcW w:w="3720" w:type="dxa"/>
            <w:vAlign w:val="bottom"/>
            <w:vMerge w:val="restart"/>
          </w:tcPr>
          <w:p>
            <w:pPr>
              <w:spacing w:after="0"/>
              <w:rPr>
                <w:sz w:val="20"/>
                <w:szCs w:val="20"/>
                <w:color w:val="auto"/>
              </w:rPr>
            </w:pPr>
            <w:r>
              <w:rPr>
                <w:rFonts w:ascii="Arial" w:cs="Arial" w:eastAsia="Arial" w:hAnsi="Arial"/>
                <w:sz w:val="20"/>
                <w:szCs w:val="20"/>
                <w:b w:val="1"/>
                <w:bCs w:val="1"/>
                <w:color w:val="auto"/>
              </w:rPr>
              <w:t>Derivative assets:</w:t>
            </w:r>
          </w:p>
        </w:tc>
        <w:tc>
          <w:tcPr>
            <w:tcW w:w="268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w w:val="97"/>
              </w:rPr>
              <w:t>Balance Sheet Classification</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15"/>
        </w:trPr>
        <w:tc>
          <w:tcPr>
            <w:tcW w:w="372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20" w:type="dxa"/>
            <w:vAlign w:val="bottom"/>
          </w:tcPr>
          <w:p>
            <w:pPr>
              <w:spacing w:after="0"/>
              <w:rPr>
                <w:sz w:val="20"/>
                <w:szCs w:val="20"/>
                <w:color w:val="auto"/>
              </w:rPr>
            </w:pPr>
            <w:r>
              <w:rPr>
                <w:rFonts w:ascii="Arial" w:cs="Arial" w:eastAsia="Arial" w:hAnsi="Arial"/>
                <w:sz w:val="20"/>
                <w:szCs w:val="20"/>
                <w:color w:val="auto"/>
              </w:rPr>
              <w:t>Foreign currency forward contracts:</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20" w:type="dxa"/>
            <w:vAlign w:val="bottom"/>
          </w:tcPr>
          <w:p>
            <w:pPr>
              <w:ind w:left="180"/>
              <w:spacing w:after="0"/>
              <w:rPr>
                <w:sz w:val="20"/>
                <w:szCs w:val="20"/>
                <w:color w:val="auto"/>
              </w:rPr>
            </w:pPr>
            <w:r>
              <w:rPr>
                <w:rFonts w:ascii="Arial" w:cs="Arial" w:eastAsia="Arial" w:hAnsi="Arial"/>
                <w:sz w:val="20"/>
                <w:szCs w:val="20"/>
                <w:color w:val="auto"/>
              </w:rPr>
              <w:t>Designated as cash flow hedges</w:t>
            </w:r>
          </w:p>
        </w:tc>
        <w:tc>
          <w:tcPr>
            <w:tcW w:w="2680" w:type="dxa"/>
            <w:vAlign w:val="bottom"/>
          </w:tcPr>
          <w:p>
            <w:pPr>
              <w:spacing w:after="0"/>
              <w:rPr>
                <w:sz w:val="20"/>
                <w:szCs w:val="20"/>
                <w:color w:val="auto"/>
              </w:rPr>
            </w:pPr>
            <w:r>
              <w:rPr>
                <w:rFonts w:ascii="Arial" w:cs="Arial" w:eastAsia="Arial" w:hAnsi="Arial"/>
                <w:sz w:val="20"/>
                <w:szCs w:val="20"/>
                <w:color w:val="auto"/>
              </w:rPr>
              <w:t>Other current assets</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294</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3720" w:type="dxa"/>
            <w:vAlign w:val="bottom"/>
          </w:tcPr>
          <w:p>
            <w:pPr>
              <w:ind w:left="180"/>
              <w:spacing w:after="0"/>
              <w:rPr>
                <w:sz w:val="20"/>
                <w:szCs w:val="20"/>
                <w:color w:val="auto"/>
              </w:rPr>
            </w:pPr>
            <w:r>
              <w:rPr>
                <w:rFonts w:ascii="Arial" w:cs="Arial" w:eastAsia="Arial" w:hAnsi="Arial"/>
                <w:sz w:val="20"/>
                <w:szCs w:val="20"/>
                <w:color w:val="auto"/>
                <w:w w:val="99"/>
              </w:rPr>
              <w:t>Non designated as hedging instruments</w:t>
            </w:r>
          </w:p>
        </w:tc>
        <w:tc>
          <w:tcPr>
            <w:tcW w:w="2680" w:type="dxa"/>
            <w:vAlign w:val="bottom"/>
          </w:tcPr>
          <w:p>
            <w:pPr>
              <w:spacing w:after="0"/>
              <w:rPr>
                <w:sz w:val="20"/>
                <w:szCs w:val="20"/>
                <w:color w:val="auto"/>
              </w:rPr>
            </w:pPr>
            <w:r>
              <w:rPr>
                <w:rFonts w:ascii="Arial" w:cs="Arial" w:eastAsia="Arial" w:hAnsi="Arial"/>
                <w:sz w:val="20"/>
                <w:szCs w:val="20"/>
                <w:color w:val="auto"/>
              </w:rPr>
              <w:t>Other current assets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1,504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3720" w:type="dxa"/>
            <w:vAlign w:val="bottom"/>
          </w:tcPr>
          <w:p>
            <w:pPr>
              <w:spacing w:after="0"/>
              <w:rPr>
                <w:sz w:val="20"/>
                <w:szCs w:val="20"/>
                <w:color w:val="auto"/>
              </w:rPr>
            </w:pPr>
            <w:r>
              <w:rPr>
                <w:rFonts w:ascii="Arial" w:cs="Arial" w:eastAsia="Arial" w:hAnsi="Arial"/>
                <w:sz w:val="20"/>
                <w:szCs w:val="20"/>
                <w:color w:val="auto"/>
              </w:rPr>
              <w:t>Interest rate swap agreements:</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720" w:type="dxa"/>
            <w:vAlign w:val="bottom"/>
          </w:tcPr>
          <w:p>
            <w:pPr>
              <w:ind w:left="180"/>
              <w:spacing w:after="0"/>
              <w:rPr>
                <w:sz w:val="20"/>
                <w:szCs w:val="20"/>
                <w:color w:val="auto"/>
              </w:rPr>
            </w:pPr>
            <w:r>
              <w:rPr>
                <w:rFonts w:ascii="Arial" w:cs="Arial" w:eastAsia="Arial" w:hAnsi="Arial"/>
                <w:sz w:val="20"/>
                <w:szCs w:val="20"/>
                <w:color w:val="auto"/>
              </w:rPr>
              <w:t>Designated as a cash flow hedge</w:t>
            </w:r>
          </w:p>
        </w:tc>
        <w:tc>
          <w:tcPr>
            <w:tcW w:w="2680" w:type="dxa"/>
            <w:vAlign w:val="bottom"/>
          </w:tcPr>
          <w:p>
            <w:pPr>
              <w:spacing w:after="0"/>
              <w:rPr>
                <w:sz w:val="20"/>
                <w:szCs w:val="20"/>
                <w:color w:val="auto"/>
              </w:rPr>
            </w:pPr>
            <w:r>
              <w:rPr>
                <w:rFonts w:ascii="Arial" w:cs="Arial" w:eastAsia="Arial" w:hAnsi="Arial"/>
                <w:sz w:val="20"/>
                <w:szCs w:val="20"/>
                <w:color w:val="auto"/>
              </w:rPr>
              <w:t>Other assets</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905</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2,730</w:t>
            </w:r>
          </w:p>
        </w:tc>
        <w:tc>
          <w:tcPr>
            <w:tcW w:w="0" w:type="dxa"/>
            <w:vAlign w:val="bottom"/>
          </w:tcPr>
          <w:p>
            <w:pPr>
              <w:spacing w:after="0"/>
              <w:rPr>
                <w:sz w:val="1"/>
                <w:szCs w:val="1"/>
                <w:color w:val="auto"/>
              </w:rPr>
            </w:pPr>
          </w:p>
        </w:tc>
      </w:tr>
      <w:tr>
        <w:trPr>
          <w:trHeight w:val="259"/>
        </w:trPr>
        <w:tc>
          <w:tcPr>
            <w:tcW w:w="3720" w:type="dxa"/>
            <w:vAlign w:val="bottom"/>
          </w:tcPr>
          <w:p>
            <w:pPr>
              <w:ind w:left="360"/>
              <w:spacing w:after="0"/>
              <w:rPr>
                <w:sz w:val="20"/>
                <w:szCs w:val="20"/>
                <w:color w:val="auto"/>
              </w:rPr>
            </w:pPr>
            <w:r>
              <w:rPr>
                <w:rFonts w:ascii="Arial" w:cs="Arial" w:eastAsia="Arial" w:hAnsi="Arial"/>
                <w:sz w:val="20"/>
                <w:szCs w:val="20"/>
                <w:color w:val="auto"/>
              </w:rPr>
              <w:t>Total derivative assets</w:t>
            </w:r>
          </w:p>
        </w:tc>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2,703</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2,730</w:t>
            </w:r>
          </w:p>
        </w:tc>
        <w:tc>
          <w:tcPr>
            <w:tcW w:w="0" w:type="dxa"/>
            <w:vAlign w:val="bottom"/>
          </w:tcPr>
          <w:p>
            <w:pPr>
              <w:spacing w:after="0"/>
              <w:rPr>
                <w:sz w:val="1"/>
                <w:szCs w:val="1"/>
                <w:color w:val="auto"/>
              </w:rPr>
            </w:pPr>
          </w:p>
        </w:tc>
      </w:tr>
      <w:tr>
        <w:trPr>
          <w:trHeight w:val="491"/>
        </w:trPr>
        <w:tc>
          <w:tcPr>
            <w:tcW w:w="3720" w:type="dxa"/>
            <w:vAlign w:val="bottom"/>
          </w:tcPr>
          <w:p>
            <w:pPr>
              <w:spacing w:after="0"/>
              <w:rPr>
                <w:sz w:val="20"/>
                <w:szCs w:val="20"/>
                <w:color w:val="auto"/>
              </w:rPr>
            </w:pPr>
            <w:r>
              <w:rPr>
                <w:rFonts w:ascii="Arial" w:cs="Arial" w:eastAsia="Arial" w:hAnsi="Arial"/>
                <w:sz w:val="20"/>
                <w:szCs w:val="20"/>
                <w:b w:val="1"/>
                <w:bCs w:val="1"/>
                <w:color w:val="auto"/>
              </w:rPr>
              <w:t>Derivative liabilities:</w:t>
            </w: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720" w:type="dxa"/>
            <w:vAlign w:val="bottom"/>
          </w:tcPr>
          <w:p>
            <w:pPr>
              <w:spacing w:after="0"/>
              <w:rPr>
                <w:sz w:val="20"/>
                <w:szCs w:val="20"/>
                <w:color w:val="auto"/>
              </w:rPr>
            </w:pPr>
            <w:r>
              <w:rPr>
                <w:rFonts w:ascii="Arial" w:cs="Arial" w:eastAsia="Arial" w:hAnsi="Arial"/>
                <w:sz w:val="20"/>
                <w:szCs w:val="20"/>
                <w:color w:val="auto"/>
              </w:rPr>
              <w:t>Foreign currency forward contracts:</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20" w:type="dxa"/>
            <w:vAlign w:val="bottom"/>
          </w:tcPr>
          <w:p>
            <w:pPr>
              <w:ind w:left="180"/>
              <w:spacing w:after="0"/>
              <w:rPr>
                <w:sz w:val="20"/>
                <w:szCs w:val="20"/>
                <w:color w:val="auto"/>
              </w:rPr>
            </w:pPr>
            <w:r>
              <w:rPr>
                <w:rFonts w:ascii="Arial" w:cs="Arial" w:eastAsia="Arial" w:hAnsi="Arial"/>
                <w:sz w:val="20"/>
                <w:szCs w:val="20"/>
                <w:color w:val="auto"/>
              </w:rPr>
              <w:t>Designated as cash flow hedges</w:t>
            </w:r>
          </w:p>
        </w:tc>
        <w:tc>
          <w:tcPr>
            <w:tcW w:w="2680" w:type="dxa"/>
            <w:vAlign w:val="bottom"/>
          </w:tcPr>
          <w:p>
            <w:pPr>
              <w:spacing w:after="0"/>
              <w:rPr>
                <w:sz w:val="20"/>
                <w:szCs w:val="20"/>
                <w:color w:val="auto"/>
              </w:rPr>
            </w:pPr>
            <w:r>
              <w:rPr>
                <w:rFonts w:ascii="Arial" w:cs="Arial" w:eastAsia="Arial" w:hAnsi="Arial"/>
                <w:sz w:val="20"/>
                <w:szCs w:val="20"/>
                <w:color w:val="auto"/>
              </w:rPr>
              <w:t>Other current liabilities</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254"/>
        </w:trPr>
        <w:tc>
          <w:tcPr>
            <w:tcW w:w="3720" w:type="dxa"/>
            <w:vAlign w:val="bottom"/>
          </w:tcPr>
          <w:p>
            <w:pPr>
              <w:ind w:left="180"/>
              <w:spacing w:after="0"/>
              <w:rPr>
                <w:sz w:val="20"/>
                <w:szCs w:val="20"/>
                <w:color w:val="auto"/>
              </w:rPr>
            </w:pPr>
            <w:r>
              <w:rPr>
                <w:rFonts w:ascii="Arial" w:cs="Arial" w:eastAsia="Arial" w:hAnsi="Arial"/>
                <w:sz w:val="20"/>
                <w:szCs w:val="20"/>
                <w:color w:val="auto"/>
              </w:rPr>
              <w:t>Not designated as hedging instruments</w:t>
            </w:r>
          </w:p>
        </w:tc>
        <w:tc>
          <w:tcPr>
            <w:tcW w:w="2680" w:type="dxa"/>
            <w:vAlign w:val="bottom"/>
          </w:tcPr>
          <w:p>
            <w:pPr>
              <w:spacing w:after="0"/>
              <w:rPr>
                <w:sz w:val="20"/>
                <w:szCs w:val="20"/>
                <w:color w:val="auto"/>
              </w:rPr>
            </w:pPr>
            <w:r>
              <w:rPr>
                <w:rFonts w:ascii="Arial" w:cs="Arial" w:eastAsia="Arial" w:hAnsi="Arial"/>
                <w:sz w:val="20"/>
                <w:szCs w:val="20"/>
                <w:color w:val="auto"/>
              </w:rPr>
              <w:t>Other current liabilities</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919</w:t>
            </w:r>
          </w:p>
        </w:tc>
        <w:tc>
          <w:tcPr>
            <w:tcW w:w="0" w:type="dxa"/>
            <w:vAlign w:val="bottom"/>
          </w:tcPr>
          <w:p>
            <w:pPr>
              <w:spacing w:after="0"/>
              <w:rPr>
                <w:sz w:val="1"/>
                <w:szCs w:val="1"/>
                <w:color w:val="auto"/>
              </w:rPr>
            </w:pPr>
          </w:p>
        </w:tc>
      </w:tr>
      <w:tr>
        <w:trPr>
          <w:trHeight w:val="247"/>
        </w:trPr>
        <w:tc>
          <w:tcPr>
            <w:tcW w:w="3720" w:type="dxa"/>
            <w:vAlign w:val="bottom"/>
          </w:tcPr>
          <w:p>
            <w:pPr>
              <w:ind w:left="360"/>
              <w:spacing w:after="0"/>
              <w:rPr>
                <w:sz w:val="20"/>
                <w:szCs w:val="20"/>
                <w:color w:val="auto"/>
              </w:rPr>
            </w:pPr>
            <w:r>
              <w:rPr>
                <w:rFonts w:ascii="Arial" w:cs="Arial" w:eastAsia="Arial" w:hAnsi="Arial"/>
                <w:sz w:val="20"/>
                <w:szCs w:val="20"/>
                <w:color w:val="auto"/>
              </w:rPr>
              <w:t>Total derivative liabilities</w:t>
            </w: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-976630</wp:posOffset>
            </wp:positionV>
            <wp:extent cx="2012950" cy="52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12950" cy="5270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-191135</wp:posOffset>
            </wp:positionV>
            <wp:extent cx="2021840" cy="2222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21840" cy="222250"/>
                    </a:xfrm>
                    <a:prstGeom prst="rect">
                      <a:avLst/>
                    </a:prstGeom>
                    <a:noFill/>
                  </pic:spPr>
                </pic:pic>
              </a:graphicData>
            </a:graphic>
          </wp:anchor>
        </w:drawing>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In connection with the acquisition of Enercon as further described in Note 3, </w:t>
      </w:r>
      <w:r>
        <w:rPr>
          <w:rFonts w:ascii="Arial" w:cs="Arial" w:eastAsia="Arial" w:hAnsi="Arial"/>
          <w:sz w:val="18"/>
          <w:szCs w:val="18"/>
          <w:i w:val="1"/>
          <w:iCs w:val="1"/>
          <w:color w:val="auto"/>
        </w:rPr>
        <w:t>"Acquisition"</w:t>
      </w:r>
      <w:r>
        <w:rPr>
          <w:rFonts w:ascii="Arial" w:cs="Arial" w:eastAsia="Arial" w:hAnsi="Arial"/>
          <w:sz w:val="18"/>
          <w:szCs w:val="18"/>
          <w:color w:val="auto"/>
        </w:rPr>
        <w:t>, the Sellers are eligible to receive the potential Earnout Payments based on the achievement of certain financial metrics in 2025 and 2026 Earnout Periods. As this contingent consideration will be settled in cash by Bel if the related metrics are achieved, this contingent consideration has been classified as a liability on the accompanying balance sheets at December 31, 2025 and December 31, 2024. The earnout liabilities were initially recorded at a fair value of $ 3.3 million at the acquisition date, with subsequent remeasurement to fair value as of the balance sheet dates calculated using Level 3 unobservable inputs. At December 31, 2025 and 2024, inputs to the valuation approach for the contingent earnout liabilities include the Company's forecasted Enercon EBITDA (as defined under the terms of the Purchase Agreement) for each of 2025 and 2026, an estimated EBITDA volatility measure of 52.1%, an expected term of 2 years and a discount rate on the Earnout Payments of 6.66%. The fair value of the earnout liabilities as of December 31, 2025 and 2024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8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5"/>
          </w:tcPr>
          <w:p>
            <w:pPr>
              <w:jc w:val="right"/>
              <w:ind w:right="1121"/>
              <w:spacing w:after="0"/>
              <w:rPr>
                <w:sz w:val="20"/>
                <w:szCs w:val="20"/>
                <w:color w:val="auto"/>
              </w:rPr>
            </w:pPr>
            <w:r>
              <w:rPr>
                <w:rFonts w:ascii="Arial" w:cs="Arial" w:eastAsia="Arial" w:hAnsi="Arial"/>
                <w:sz w:val="20"/>
                <w:szCs w:val="20"/>
                <w:color w:val="auto"/>
              </w:rPr>
              <w:t>Level 3</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41"/>
              <w:spacing w:after="0" w:line="206" w:lineRule="exact"/>
              <w:rPr>
                <w:sz w:val="20"/>
                <w:szCs w:val="20"/>
                <w:color w:val="auto"/>
              </w:rPr>
            </w:pPr>
            <w:r>
              <w:rPr>
                <w:rFonts w:ascii="Arial" w:cs="Arial" w:eastAsia="Arial" w:hAnsi="Arial"/>
                <w:sz w:val="20"/>
                <w:szCs w:val="20"/>
                <w:color w:val="auto"/>
                <w:w w:val="89"/>
              </w:rPr>
              <w:t>December 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ind w:right="41"/>
              <w:spacing w:after="0" w:line="206" w:lineRule="exact"/>
              <w:rPr>
                <w:sz w:val="20"/>
                <w:szCs w:val="20"/>
                <w:color w:val="auto"/>
              </w:rPr>
            </w:pPr>
            <w:r>
              <w:rPr>
                <w:rFonts w:ascii="Arial" w:cs="Arial" w:eastAsia="Arial" w:hAnsi="Arial"/>
                <w:sz w:val="20"/>
                <w:szCs w:val="20"/>
                <w:color w:val="auto"/>
                <w:w w:val="87"/>
              </w:rPr>
              <w:t>December 31,</w:t>
            </w:r>
          </w:p>
        </w:tc>
        <w:tc>
          <w:tcPr>
            <w:tcW w:w="0" w:type="dxa"/>
            <w:vAlign w:val="bottom"/>
          </w:tcPr>
          <w:p>
            <w:pPr>
              <w:spacing w:after="0"/>
              <w:rPr>
                <w:sz w:val="1"/>
                <w:szCs w:val="1"/>
                <w:color w:val="auto"/>
              </w:rPr>
            </w:pPr>
          </w:p>
        </w:tc>
      </w:tr>
      <w:tr>
        <w:trPr>
          <w:trHeight w:val="257"/>
        </w:trPr>
        <w:tc>
          <w:tcPr>
            <w:tcW w:w="3860" w:type="dxa"/>
            <w:vAlign w:val="bottom"/>
            <w:vMerge w:val="restart"/>
          </w:tcPr>
          <w:p>
            <w:pPr>
              <w:spacing w:after="0"/>
              <w:rPr>
                <w:sz w:val="20"/>
                <w:szCs w:val="20"/>
                <w:color w:val="auto"/>
              </w:rPr>
            </w:pPr>
            <w:r>
              <w:rPr>
                <w:rFonts w:ascii="Arial" w:cs="Arial" w:eastAsia="Arial" w:hAnsi="Arial"/>
                <w:sz w:val="20"/>
                <w:szCs w:val="20"/>
                <w:color w:val="auto"/>
              </w:rPr>
              <w:t>Contingent Liabilities:</w:t>
            </w:r>
          </w:p>
        </w:tc>
        <w:tc>
          <w:tcPr>
            <w:tcW w:w="3820" w:type="dxa"/>
            <w:vAlign w:val="bottom"/>
            <w:gridSpan w:val="2"/>
          </w:tcPr>
          <w:p>
            <w:pPr>
              <w:ind w:left="700"/>
              <w:spacing w:after="0"/>
              <w:rPr>
                <w:sz w:val="20"/>
                <w:szCs w:val="20"/>
                <w:color w:val="auto"/>
              </w:rPr>
            </w:pPr>
            <w:r>
              <w:rPr>
                <w:rFonts w:ascii="Arial" w:cs="Arial" w:eastAsia="Arial" w:hAnsi="Arial"/>
                <w:sz w:val="20"/>
                <w:szCs w:val="20"/>
                <w:color w:val="auto"/>
              </w:rPr>
              <w:t>Balance Sheet Classification</w:t>
            </w:r>
          </w:p>
        </w:tc>
        <w:tc>
          <w:tcPr>
            <w:tcW w:w="120" w:type="dxa"/>
            <w:vAlign w:val="bottom"/>
          </w:tcPr>
          <w:p>
            <w:pPr>
              <w:spacing w:after="0"/>
              <w:rPr>
                <w:sz w:val="22"/>
                <w:szCs w:val="22"/>
                <w:color w:val="auto"/>
              </w:rPr>
            </w:pPr>
          </w:p>
        </w:tc>
        <w:tc>
          <w:tcPr>
            <w:tcW w:w="1280" w:type="dxa"/>
            <w:vAlign w:val="bottom"/>
          </w:tcPr>
          <w:p>
            <w:pPr>
              <w:jc w:val="right"/>
              <w:ind w:right="401"/>
              <w:spacing w:after="0"/>
              <w:rPr>
                <w:sz w:val="20"/>
                <w:szCs w:val="20"/>
                <w:color w:val="auto"/>
              </w:rPr>
            </w:pPr>
            <w:r>
              <w:rPr>
                <w:rFonts w:ascii="Arial" w:cs="Arial" w:eastAsia="Arial" w:hAnsi="Arial"/>
                <w:sz w:val="20"/>
                <w:szCs w:val="20"/>
                <w:color w:val="auto"/>
              </w:rPr>
              <w:t>2025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401"/>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15"/>
        </w:trPr>
        <w:tc>
          <w:tcPr>
            <w:tcW w:w="3860" w:type="dxa"/>
            <w:vAlign w:val="bottom"/>
            <w:vMerge w:val="continue"/>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Arial" w:cs="Arial" w:eastAsia="Arial" w:hAnsi="Arial"/>
                <w:sz w:val="20"/>
                <w:szCs w:val="20"/>
                <w:color w:val="auto"/>
              </w:rPr>
              <w:t>Earnout Payment liability - 2025</w:t>
            </w:r>
          </w:p>
        </w:tc>
        <w:tc>
          <w:tcPr>
            <w:tcW w:w="3820" w:type="dxa"/>
            <w:vAlign w:val="bottom"/>
            <w:gridSpan w:val="2"/>
          </w:tcPr>
          <w:p>
            <w:pPr>
              <w:spacing w:after="0"/>
              <w:rPr>
                <w:sz w:val="20"/>
                <w:szCs w:val="20"/>
                <w:color w:val="auto"/>
              </w:rPr>
            </w:pPr>
            <w:r>
              <w:rPr>
                <w:rFonts w:ascii="Arial" w:cs="Arial" w:eastAsia="Arial" w:hAnsi="Arial"/>
                <w:sz w:val="20"/>
                <w:szCs w:val="20"/>
                <w:color w:val="auto"/>
              </w:rPr>
              <w:t>Other current liabilities</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4,916</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2,041</w:t>
            </w:r>
          </w:p>
        </w:tc>
        <w:tc>
          <w:tcPr>
            <w:tcW w:w="0" w:type="dxa"/>
            <w:vAlign w:val="bottom"/>
          </w:tcPr>
          <w:p>
            <w:pPr>
              <w:spacing w:after="0"/>
              <w:rPr>
                <w:sz w:val="1"/>
                <w:szCs w:val="1"/>
                <w:color w:val="auto"/>
              </w:rPr>
            </w:pPr>
          </w:p>
        </w:tc>
      </w:tr>
      <w:tr>
        <w:trPr>
          <w:trHeight w:val="254"/>
        </w:trPr>
        <w:tc>
          <w:tcPr>
            <w:tcW w:w="3860" w:type="dxa"/>
            <w:vAlign w:val="bottom"/>
          </w:tcPr>
          <w:p>
            <w:pPr>
              <w:spacing w:after="0"/>
              <w:rPr>
                <w:sz w:val="20"/>
                <w:szCs w:val="20"/>
                <w:color w:val="auto"/>
              </w:rPr>
            </w:pPr>
            <w:r>
              <w:rPr>
                <w:rFonts w:ascii="Arial" w:cs="Arial" w:eastAsia="Arial" w:hAnsi="Arial"/>
                <w:sz w:val="20"/>
                <w:szCs w:val="20"/>
                <w:color w:val="auto"/>
              </w:rPr>
              <w:t>Earnout Payment liability - 2026</w:t>
            </w:r>
          </w:p>
        </w:tc>
        <w:tc>
          <w:tcPr>
            <w:tcW w:w="3820" w:type="dxa"/>
            <w:vAlign w:val="bottom"/>
            <w:gridSpan w:val="2"/>
          </w:tcPr>
          <w:p>
            <w:pPr>
              <w:spacing w:after="0"/>
              <w:rPr>
                <w:sz w:val="20"/>
                <w:szCs w:val="20"/>
                <w:color w:val="auto"/>
              </w:rPr>
            </w:pPr>
            <w:r>
              <w:rPr>
                <w:rFonts w:ascii="Arial" w:cs="Arial" w:eastAsia="Arial" w:hAnsi="Arial"/>
                <w:sz w:val="20"/>
                <w:szCs w:val="20"/>
                <w:color w:val="auto"/>
              </w:rPr>
              <w:t>Other long-term liabilities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1,709</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1,446</w:t>
            </w:r>
          </w:p>
        </w:tc>
        <w:tc>
          <w:tcPr>
            <w:tcW w:w="0" w:type="dxa"/>
            <w:vAlign w:val="bottom"/>
          </w:tcPr>
          <w:p>
            <w:pPr>
              <w:spacing w:after="0"/>
              <w:rPr>
                <w:sz w:val="1"/>
                <w:szCs w:val="1"/>
                <w:color w:val="auto"/>
              </w:rPr>
            </w:pPr>
          </w:p>
        </w:tc>
      </w:tr>
      <w:tr>
        <w:trPr>
          <w:trHeight w:val="247"/>
        </w:trPr>
        <w:tc>
          <w:tcPr>
            <w:tcW w:w="38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6,625</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-191135</wp:posOffset>
            </wp:positionV>
            <wp:extent cx="1957705" cy="2222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57705" cy="222250"/>
                    </a:xfrm>
                    <a:prstGeom prst="rect">
                      <a:avLst/>
                    </a:prstGeom>
                    <a:noFill/>
                  </pic:spPr>
                </pic:pic>
              </a:graphicData>
            </a:graphic>
          </wp:anchor>
        </w:drawing>
      </w:r>
    </w:p>
    <w:p>
      <w:pPr>
        <w:spacing w:after="0" w:line="220" w:lineRule="exact"/>
        <w:rPr>
          <w:sz w:val="20"/>
          <w:szCs w:val="20"/>
          <w:color w:val="auto"/>
        </w:rPr>
      </w:pPr>
    </w:p>
    <w:p>
      <w:pPr>
        <w:spacing w:after="0" w:line="299" w:lineRule="auto"/>
        <w:rPr>
          <w:sz w:val="20"/>
          <w:szCs w:val="20"/>
          <w:color w:val="auto"/>
        </w:rPr>
      </w:pPr>
      <w:r>
        <w:rPr>
          <w:rFonts w:ascii="Arial" w:cs="Arial" w:eastAsia="Arial" w:hAnsi="Arial"/>
          <w:sz w:val="19"/>
          <w:szCs w:val="19"/>
          <w:color w:val="auto"/>
        </w:rPr>
        <w:t>The change in the earnout liability balances from December 31, 2024 to December 31, 2025 relate solely to changes in the fair value of the Earnout Payments which have been recognized through earnings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2240" w:h="15840" w:orient="portrait"/>
          <w:cols w:equalWidth="0" w:num="1">
            <w:col w:w="10800"/>
          </w:cols>
          <w:pgMar w:left="720" w:top="555" w:right="720" w:bottom="0" w:gutter="0" w:footer="0" w:header="0"/>
        </w:sectPr>
      </w:pPr>
    </w:p>
    <w:bookmarkStart w:id="80" w:name="page81"/>
    <w:bookmarkEnd w:id="80"/>
    <w:p>
      <w:pPr>
        <w:jc w:val="both"/>
        <w:spacing w:after="0" w:line="250" w:lineRule="auto"/>
        <w:rPr>
          <w:sz w:val="20"/>
          <w:szCs w:val="20"/>
          <w:color w:val="auto"/>
        </w:rPr>
      </w:pPr>
      <w:r>
        <w:rPr>
          <w:rFonts w:ascii="Arial" w:cs="Arial" w:eastAsia="Arial" w:hAnsi="Arial"/>
          <w:sz w:val="20"/>
          <w:szCs w:val="20"/>
          <w:color w:val="auto"/>
        </w:rPr>
        <w:t>Aside from the earnout liability described above, the Company does not have any other financial assets measured at fair value on a recurring basis categorized as Level 3, and there were no transfers in or out of Level 1, Level 2 or Level 3 during 2025 or 2024. There were no changes to the Company’s valuation techniques used to measure asset fair values on a recurring or nonrecurring basis during 2025.</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During the year ended December 31, 2025, the Company performed its annual impairment test of indefinite-lived intangible assets and determined that no impairment charges were required. In the prior year, ended December 31, 2024, the Company recorded an adjustment to the carrying value of the CUI tradename, reducing it to its estimated fair value. This adjustment was recognized as an impairment loss within the consolidated statements of operations. Aside from the CUI tradename impairment in 2024, the Company did not have any other financial assets or indefinite-lived intangible assets measured at fair value on a nonrecurring basis as of December 31, 2025 or December 31, 2024. The Company does not have any financial assets measured at fair value on a nonrecurring basis as of either reporting date, except as noted above.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Company has other financial instruments, such as cash and cash equivalents, accounts receivable, accounts payable and accrued expenses, which are not measured at fair value on a recurring basis but are recorded at amounts that approximate fair value due to their liquid or short-term nature. The fair value of the Company’s long- term debt is estimated using a discounted cash flow method based on interest rates that are currently available for debt issuances with similar terms and maturities. At December 31, 2025 and 2024, the estimated fair value of total debt was $196.5 million and $286.6 million, respectively, compared to a carrying amount of $ 197.5 million and $287.5 million, respectively. The Company did not have any other financial liabilities within the scope of the fair value disclosure requirements as of December 31, 2025.</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Nonfinancial assets and liabilities, such as goodwill, indefinite-lived intangible assets and long- lived assets, are accounted for at fair value on a nonrecurring basis. These items are tested for impairment upon the occurrence of a triggering event or in the case of goodwill, on at least an annual basis. See Note 5, </w:t>
      </w:r>
      <w:r>
        <w:rPr>
          <w:rFonts w:ascii="Arial" w:cs="Arial" w:eastAsia="Arial" w:hAnsi="Arial"/>
          <w:sz w:val="20"/>
          <w:szCs w:val="20"/>
          <w:i w:val="1"/>
          <w:iCs w:val="1"/>
          <w:color w:val="auto"/>
        </w:rPr>
        <w:t>"Goodwill and Other Intangible Assets,"</w:t>
      </w:r>
      <w:r>
        <w:rPr>
          <w:rFonts w:ascii="Arial" w:cs="Arial" w:eastAsia="Arial" w:hAnsi="Arial"/>
          <w:sz w:val="20"/>
          <w:szCs w:val="20"/>
          <w:color w:val="auto"/>
        </w:rPr>
        <w:t xml:space="preserve"> for further information about goodwill and other indefinite-lived intangible assets.</w:t>
      </w:r>
    </w:p>
    <w:p>
      <w:pPr>
        <w:spacing w:after="0" w:line="200" w:lineRule="exact"/>
        <w:rPr>
          <w:sz w:val="20"/>
          <w:szCs w:val="20"/>
          <w:color w:val="auto"/>
        </w:rPr>
      </w:pPr>
    </w:p>
    <w:p>
      <w:pPr>
        <w:spacing w:after="0" w:line="262"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8"/>
          <w:szCs w:val="18"/>
          <w:color w:val="auto"/>
        </w:rPr>
        <w:t>OTHER ASSETS</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At December 31, 2025 and 2024, the Company had obligations of $18.9 million and $18.0 million, respectively, associated with its SERP. As a means of informally funding these obligations, the Company has invested in life insurance policies related to certain employees and marketable securities held in a rabbi trust. At December 31, 2025 and 2024, these assets had a combined value of $18.4 million and $17.0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Company-Owned Life Insurance</w:t>
      </w:r>
    </w:p>
    <w:p>
      <w:pPr>
        <w:spacing w:after="0" w:line="2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Investments in company-owned life insurance policies ("COLI") were made with the intention of utilizing them as a long-term funding source for the Company's SERP obligations. However, the cash surrender value of the COLI does not represent a committed funding source for these obligations. Any proceeds from these policies are subject to claims from creditors. The cash surrender value of the COLI of $17.8 million and $16.4 million at December 31, 2025 and 2024, respectively, is included in other assets in the accompanying consolidated balance sheets. The volatility in global equity markets in recent years has also had an effect on the cash surrender value of the COLI policies. The Company recorded income to account for the increase in cash surrender value in the amount of $1.4 million, $1.3 million and $1.3 million during the years ended December 31, 2025, 2024 and 2023, respectively. These fluctuations are classified as other income (expense), net on the consolidated statements of operations for all periods presented. This classification is consistent with the costs associated with the long-term employee benefit obligations that the COLI is intended to fund.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Investments</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At December 31, 2025 and 2024, the Company held, in the aforementioned rabbi trust, available-for-sale investments at a cost of $0.6 million at each date. Together with the COLI described above, these investments are intended to fund the Company's SERP obligations and are classified as other assets in the accompanying consolidated balance sheets. The Company monitors these investments for impairment on an ongoing basis. At December 31, 2025 and 2024, the fair market value of these investments was $0.6 million at each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2240" w:h="15840" w:orient="portrait"/>
          <w:cols w:equalWidth="0" w:num="1">
            <w:col w:w="10800"/>
          </w:cols>
          <w:pgMar w:left="720" w:top="555" w:right="720" w:bottom="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64"/>
        </w:trPr>
        <w:tc>
          <w:tcPr>
            <w:tcW w:w="7040" w:type="dxa"/>
            <w:vAlign w:val="bottom"/>
          </w:tcPr>
          <w:p>
            <w:pPr>
              <w:spacing w:after="0"/>
              <w:rPr>
                <w:sz w:val="20"/>
                <w:szCs w:val="20"/>
                <w:color w:val="auto"/>
              </w:rPr>
            </w:pPr>
            <w:r>
              <w:rPr>
                <w:rFonts w:ascii="Arial" w:cs="Arial" w:eastAsia="Arial" w:hAnsi="Arial"/>
                <w:sz w:val="20"/>
                <w:szCs w:val="20"/>
                <w:color w:val="auto"/>
              </w:rPr>
              <w:t>8.  INVENTORIES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3"/>
        </w:trPr>
        <w:tc>
          <w:tcPr>
            <w:tcW w:w="7040" w:type="dxa"/>
            <w:vAlign w:val="bottom"/>
          </w:tcPr>
          <w:p>
            <w:pPr>
              <w:spacing w:after="0"/>
              <w:rPr>
                <w:sz w:val="20"/>
                <w:szCs w:val="20"/>
                <w:color w:val="auto"/>
              </w:rPr>
            </w:pPr>
            <w:r>
              <w:rPr>
                <w:rFonts w:ascii="Arial" w:cs="Arial" w:eastAsia="Arial" w:hAnsi="Arial"/>
                <w:sz w:val="20"/>
                <w:szCs w:val="20"/>
                <w:color w:val="auto"/>
              </w:rPr>
              <w:t>The components of inventories are as follows: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ind w:left="680"/>
              <w:spacing w:after="0"/>
              <w:rPr>
                <w:sz w:val="20"/>
                <w:szCs w:val="20"/>
                <w:color w:val="auto"/>
              </w:rPr>
            </w:pPr>
            <w:r>
              <w:rPr>
                <w:rFonts w:ascii="Arial" w:cs="Arial" w:eastAsia="Arial" w:hAnsi="Arial"/>
                <w:sz w:val="20"/>
                <w:szCs w:val="20"/>
                <w:color w:val="auto"/>
                <w:w w:val="90"/>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40" w:type="dxa"/>
            <w:vAlign w:val="bottom"/>
            <w:vMerge w:val="restart"/>
          </w:tcPr>
          <w:p>
            <w:pPr>
              <w:ind w:left="540"/>
              <w:spacing w:after="0"/>
              <w:rPr>
                <w:sz w:val="20"/>
                <w:szCs w:val="20"/>
                <w:color w:val="auto"/>
              </w:rPr>
            </w:pPr>
            <w:r>
              <w:rPr>
                <w:rFonts w:ascii="Arial" w:cs="Arial" w:eastAsia="Arial" w:hAnsi="Arial"/>
                <w:sz w:val="20"/>
                <w:szCs w:val="20"/>
                <w:color w:val="auto"/>
              </w:rPr>
              <w:t>Raw materials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w w:val="94"/>
              </w:rPr>
              <w:t>2024</w:t>
            </w:r>
          </w:p>
        </w:tc>
        <w:tc>
          <w:tcPr>
            <w:tcW w:w="0" w:type="dxa"/>
            <w:vAlign w:val="bottom"/>
          </w:tcPr>
          <w:p>
            <w:pPr>
              <w:spacing w:after="0"/>
              <w:rPr>
                <w:sz w:val="1"/>
                <w:szCs w:val="1"/>
                <w:color w:val="auto"/>
              </w:rPr>
            </w:pPr>
          </w:p>
        </w:tc>
      </w:tr>
      <w:tr>
        <w:trPr>
          <w:trHeight w:val="215"/>
        </w:trPr>
        <w:tc>
          <w:tcPr>
            <w:tcW w:w="7040" w:type="dxa"/>
            <w:vAlign w:val="bottom"/>
            <w:vMerge w:val="continue"/>
          </w:tcPr>
          <w:p>
            <w:pPr>
              <w:spacing w:after="0"/>
              <w:rPr>
                <w:sz w:val="18"/>
                <w:szCs w:val="18"/>
                <w:color w:val="auto"/>
              </w:rPr>
            </w:pPr>
          </w:p>
        </w:tc>
        <w:tc>
          <w:tcPr>
            <w:tcW w:w="320" w:type="dxa"/>
            <w:vAlign w:val="bottom"/>
          </w:tcPr>
          <w:p>
            <w:pPr>
              <w:jc w:val="right"/>
              <w:ind w:right="101"/>
              <w:spacing w:after="0" w:line="215" w:lineRule="exact"/>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line="215" w:lineRule="exact"/>
              <w:rPr>
                <w:sz w:val="20"/>
                <w:szCs w:val="20"/>
                <w:color w:val="auto"/>
              </w:rPr>
            </w:pPr>
            <w:r>
              <w:rPr>
                <w:rFonts w:ascii="Arial" w:cs="Arial" w:eastAsia="Arial" w:hAnsi="Arial"/>
                <w:sz w:val="20"/>
                <w:szCs w:val="20"/>
                <w:color w:val="auto"/>
              </w:rPr>
              <w:t>73,629</w:t>
            </w:r>
          </w:p>
        </w:tc>
        <w:tc>
          <w:tcPr>
            <w:tcW w:w="18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3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Arial" w:cs="Arial" w:eastAsia="Arial" w:hAnsi="Arial"/>
                <w:sz w:val="20"/>
                <w:szCs w:val="20"/>
                <w:color w:val="auto"/>
              </w:rPr>
              <w:t>74,750</w:t>
            </w:r>
          </w:p>
        </w:tc>
        <w:tc>
          <w:tcPr>
            <w:tcW w:w="0" w:type="dxa"/>
            <w:vAlign w:val="bottom"/>
          </w:tcPr>
          <w:p>
            <w:pPr>
              <w:spacing w:after="0"/>
              <w:rPr>
                <w:sz w:val="1"/>
                <w:szCs w:val="1"/>
                <w:color w:val="auto"/>
              </w:rPr>
            </w:pPr>
          </w:p>
        </w:tc>
      </w:tr>
      <w:tr>
        <w:trPr>
          <w:trHeight w:val="239"/>
        </w:trPr>
        <w:tc>
          <w:tcPr>
            <w:tcW w:w="7040" w:type="dxa"/>
            <w:vAlign w:val="bottom"/>
          </w:tcPr>
          <w:p>
            <w:pPr>
              <w:ind w:left="540"/>
              <w:spacing w:after="0"/>
              <w:rPr>
                <w:sz w:val="20"/>
                <w:szCs w:val="20"/>
                <w:color w:val="auto"/>
              </w:rPr>
            </w:pPr>
            <w:r>
              <w:rPr>
                <w:rFonts w:ascii="Arial" w:cs="Arial" w:eastAsia="Arial" w:hAnsi="Arial"/>
                <w:sz w:val="20"/>
                <w:szCs w:val="20"/>
                <w:color w:val="auto"/>
              </w:rPr>
              <w:t>Work in progress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58,076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53,569</w:t>
            </w:r>
          </w:p>
        </w:tc>
        <w:tc>
          <w:tcPr>
            <w:tcW w:w="0" w:type="dxa"/>
            <w:vAlign w:val="bottom"/>
          </w:tcPr>
          <w:p>
            <w:pPr>
              <w:spacing w:after="0"/>
              <w:rPr>
                <w:sz w:val="1"/>
                <w:szCs w:val="1"/>
                <w:color w:val="auto"/>
              </w:rPr>
            </w:pPr>
          </w:p>
        </w:tc>
      </w:tr>
      <w:tr>
        <w:trPr>
          <w:trHeight w:val="257"/>
        </w:trPr>
        <w:tc>
          <w:tcPr>
            <w:tcW w:w="7040" w:type="dxa"/>
            <w:vAlign w:val="bottom"/>
          </w:tcPr>
          <w:p>
            <w:pPr>
              <w:ind w:left="540"/>
              <w:spacing w:after="0"/>
              <w:rPr>
                <w:sz w:val="20"/>
                <w:szCs w:val="20"/>
                <w:color w:val="auto"/>
              </w:rPr>
            </w:pPr>
            <w:r>
              <w:rPr>
                <w:rFonts w:ascii="Arial" w:cs="Arial" w:eastAsia="Arial" w:hAnsi="Arial"/>
                <w:sz w:val="20"/>
                <w:szCs w:val="20"/>
                <w:color w:val="auto"/>
              </w:rPr>
              <w:t>Finished goods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35,565</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33,051</w:t>
            </w:r>
          </w:p>
        </w:tc>
        <w:tc>
          <w:tcPr>
            <w:tcW w:w="0" w:type="dxa"/>
            <w:vAlign w:val="bottom"/>
          </w:tcPr>
          <w:p>
            <w:pPr>
              <w:spacing w:after="0"/>
              <w:rPr>
                <w:sz w:val="1"/>
                <w:szCs w:val="1"/>
                <w:color w:val="auto"/>
              </w:rPr>
            </w:pPr>
          </w:p>
        </w:tc>
      </w:tr>
      <w:tr>
        <w:trPr>
          <w:trHeight w:val="247"/>
        </w:trPr>
        <w:tc>
          <w:tcPr>
            <w:tcW w:w="7040" w:type="dxa"/>
            <w:vAlign w:val="bottom"/>
          </w:tcPr>
          <w:p>
            <w:pPr>
              <w:ind w:left="720"/>
              <w:spacing w:after="0"/>
              <w:rPr>
                <w:sz w:val="20"/>
                <w:szCs w:val="20"/>
                <w:color w:val="auto"/>
              </w:rPr>
            </w:pPr>
            <w:r>
              <w:rPr>
                <w:rFonts w:ascii="Arial" w:cs="Arial" w:eastAsia="Arial" w:hAnsi="Arial"/>
                <w:sz w:val="20"/>
                <w:szCs w:val="20"/>
                <w:color w:val="auto"/>
              </w:rPr>
              <w:t>Inventories</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167,270</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161,370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4452620</wp:posOffset>
            </wp:positionH>
            <wp:positionV relativeFrom="paragraph">
              <wp:posOffset>-187960</wp:posOffset>
            </wp:positionV>
            <wp:extent cx="2018665" cy="2133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18665" cy="21336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6040" w:firstLine="5"/>
        <w:spacing w:after="0" w:line="537" w:lineRule="auto"/>
        <w:tabs>
          <w:tab w:leader="none" w:pos="3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PROPERTY, PLANT AND EQUIPMENT, NET Property, plant and equipment, net consist of the following:</w:t>
      </w:r>
    </w:p>
    <w:tbl>
      <w:tblPr>
        <w:tblLayout w:type="fixed"/>
        <w:tblInd w:w="540" w:type="dxa"/>
        <w:tblCellMar>
          <w:top w:w="0" w:type="dxa"/>
          <w:left w:w="0" w:type="dxa"/>
          <w:bottom w:w="0" w:type="dxa"/>
          <w:right w:w="0" w:type="dxa"/>
        </w:tblCellMar>
      </w:tblPr>
      <w:tr>
        <w:trPr>
          <w:trHeight w:val="254"/>
        </w:trPr>
        <w:tc>
          <w:tcPr>
            <w:tcW w:w="6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5"/>
          </w:tcPr>
          <w:p>
            <w:pPr>
              <w:ind w:left="680"/>
              <w:spacing w:after="0"/>
              <w:rPr>
                <w:sz w:val="20"/>
                <w:szCs w:val="20"/>
                <w:color w:val="auto"/>
              </w:rPr>
            </w:pPr>
            <w:r>
              <w:rPr>
                <w:rFonts w:ascii="Arial" w:cs="Arial" w:eastAsia="Arial" w:hAnsi="Arial"/>
                <w:sz w:val="20"/>
                <w:szCs w:val="20"/>
                <w:color w:val="auto"/>
                <w:w w:val="90"/>
              </w:rPr>
              <w:t>December 31,</w:t>
            </w:r>
          </w:p>
        </w:tc>
        <w:tc>
          <w:tcPr>
            <w:tcW w:w="9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650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w w:val="94"/>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500" w:type="dxa"/>
            <w:vAlign w:val="bottom"/>
            <w:vMerge w:val="continue"/>
          </w:tcPr>
          <w:p>
            <w:pPr>
              <w:spacing w:after="0"/>
              <w:rPr>
                <w:sz w:val="18"/>
                <w:szCs w:val="18"/>
                <w:color w:val="auto"/>
              </w:rPr>
            </w:pPr>
          </w:p>
        </w:tc>
        <w:tc>
          <w:tcPr>
            <w:tcW w:w="320" w:type="dxa"/>
            <w:vAlign w:val="bottom"/>
          </w:tcPr>
          <w:p>
            <w:pPr>
              <w:jc w:val="right"/>
              <w:ind w:right="101"/>
              <w:spacing w:after="0" w:line="215" w:lineRule="exact"/>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line="215" w:lineRule="exact"/>
              <w:rPr>
                <w:sz w:val="20"/>
                <w:szCs w:val="20"/>
                <w:color w:val="auto"/>
              </w:rPr>
            </w:pPr>
            <w:r>
              <w:rPr>
                <w:rFonts w:ascii="Arial" w:cs="Arial" w:eastAsia="Arial" w:hAnsi="Arial"/>
                <w:sz w:val="20"/>
                <w:szCs w:val="20"/>
                <w:color w:val="auto"/>
              </w:rPr>
              <w:t>130</w:t>
            </w:r>
          </w:p>
        </w:tc>
        <w:tc>
          <w:tcPr>
            <w:tcW w:w="18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Arial" w:cs="Arial" w:eastAsia="Arial" w:hAnsi="Arial"/>
                <w:sz w:val="20"/>
                <w:szCs w:val="20"/>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500" w:type="dxa"/>
            <w:vAlign w:val="bottom"/>
          </w:tcPr>
          <w:p>
            <w:pPr>
              <w:spacing w:after="0"/>
              <w:rPr>
                <w:sz w:val="20"/>
                <w:szCs w:val="20"/>
                <w:color w:val="auto"/>
              </w:rPr>
            </w:pPr>
            <w:r>
              <w:rPr>
                <w:rFonts w:ascii="Arial" w:cs="Arial" w:eastAsia="Arial" w:hAnsi="Arial"/>
                <w:sz w:val="20"/>
                <w:szCs w:val="20"/>
                <w:color w:val="auto"/>
              </w:rPr>
              <w:t>Buildings and improvements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16,408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19,385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00" w:type="dxa"/>
            <w:vAlign w:val="bottom"/>
          </w:tcPr>
          <w:p>
            <w:pPr>
              <w:spacing w:after="0"/>
              <w:rPr>
                <w:sz w:val="20"/>
                <w:szCs w:val="20"/>
                <w:color w:val="auto"/>
              </w:rPr>
            </w:pPr>
            <w:r>
              <w:rPr>
                <w:rFonts w:ascii="Arial" w:cs="Arial" w:eastAsia="Arial" w:hAnsi="Arial"/>
                <w:sz w:val="20"/>
                <w:szCs w:val="20"/>
                <w:color w:val="auto"/>
              </w:rPr>
              <w:t>Machinery and equipment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103,445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99,747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500" w:type="dxa"/>
            <w:vAlign w:val="bottom"/>
          </w:tcPr>
          <w:p>
            <w:pPr>
              <w:spacing w:after="0"/>
              <w:rPr>
                <w:sz w:val="20"/>
                <w:szCs w:val="20"/>
                <w:color w:val="auto"/>
              </w:rPr>
            </w:pPr>
            <w:r>
              <w:rPr>
                <w:rFonts w:ascii="Arial" w:cs="Arial" w:eastAsia="Arial" w:hAnsi="Arial"/>
                <w:sz w:val="20"/>
                <w:szCs w:val="20"/>
                <w:color w:val="auto"/>
              </w:rPr>
              <w:t>Construction in progress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7,114</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Arial" w:cs="Arial" w:eastAsia="Arial" w:hAnsi="Arial"/>
                <w:sz w:val="20"/>
                <w:szCs w:val="20"/>
                <w:color w:val="auto"/>
              </w:rPr>
              <w:t>127,097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Arial" w:cs="Arial" w:eastAsia="Arial" w:hAnsi="Arial"/>
                <w:sz w:val="20"/>
                <w:szCs w:val="20"/>
                <w:color w:val="auto"/>
              </w:rPr>
              <w:t>124,490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500" w:type="dxa"/>
            <w:vAlign w:val="bottom"/>
          </w:tcPr>
          <w:p>
            <w:pPr>
              <w:spacing w:after="0"/>
              <w:rPr>
                <w:sz w:val="20"/>
                <w:szCs w:val="20"/>
                <w:color w:val="auto"/>
              </w:rPr>
            </w:pPr>
            <w:r>
              <w:rPr>
                <w:rFonts w:ascii="Arial" w:cs="Arial" w:eastAsia="Arial" w:hAnsi="Arial"/>
                <w:sz w:val="20"/>
                <w:szCs w:val="20"/>
                <w:color w:val="auto"/>
              </w:rPr>
              <w:t>Accumulated depreciation</w:t>
            </w:r>
          </w:p>
        </w:tc>
        <w:tc>
          <w:tcPr>
            <w:tcW w:w="32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20"/>
                <w:szCs w:val="20"/>
                <w:color w:val="auto"/>
              </w:rPr>
              <w:t>(78,669)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(76,611)</w:t>
            </w:r>
          </w:p>
        </w:tc>
        <w:tc>
          <w:tcPr>
            <w:tcW w:w="0" w:type="dxa"/>
            <w:vAlign w:val="bottom"/>
          </w:tcPr>
          <w:p>
            <w:pPr>
              <w:spacing w:after="0"/>
              <w:rPr>
                <w:sz w:val="1"/>
                <w:szCs w:val="1"/>
                <w:color w:val="auto"/>
              </w:rPr>
            </w:pPr>
          </w:p>
        </w:tc>
      </w:tr>
      <w:tr>
        <w:trPr>
          <w:trHeight w:val="247"/>
        </w:trPr>
        <w:tc>
          <w:tcPr>
            <w:tcW w:w="6500" w:type="dxa"/>
            <w:vAlign w:val="bottom"/>
          </w:tcPr>
          <w:p>
            <w:pPr>
              <w:spacing w:after="0"/>
              <w:rPr>
                <w:sz w:val="20"/>
                <w:szCs w:val="20"/>
                <w:color w:val="auto"/>
              </w:rPr>
            </w:pPr>
            <w:r>
              <w:rPr>
                <w:rFonts w:ascii="Arial" w:cs="Arial" w:eastAsia="Arial" w:hAnsi="Arial"/>
                <w:sz w:val="20"/>
                <w:szCs w:val="20"/>
                <w:color w:val="auto"/>
              </w:rPr>
              <w:t>Property, plant and equipment, net</w:t>
            </w:r>
          </w:p>
        </w:tc>
        <w:tc>
          <w:tcPr>
            <w:tcW w:w="32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48,428</w:t>
            </w:r>
          </w:p>
        </w:tc>
        <w:tc>
          <w:tcPr>
            <w:tcW w:w="18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47,879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-191135</wp:posOffset>
            </wp:positionV>
            <wp:extent cx="2020570" cy="2222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20570" cy="222250"/>
                    </a:xfrm>
                    <a:prstGeom prst="rect">
                      <a:avLst/>
                    </a:prstGeom>
                    <a:noFill/>
                  </pic:spPr>
                </pic:pic>
              </a:graphicData>
            </a:graphic>
          </wp:anchor>
        </w:drawing>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expense for the years ended December 31, 2025, 2024 and 2023 was $11.8 million, $9.9 million and $8.6 million, respectively. At December 31, 2025, no property was classified as assets held for sale within other current assets on the accompanying condensed consolidated balance sheets. At December 31, 2024, a total of $2.1 million of property was classified as assets held for sale on the accompanying consolidated balance sheet related to several buildings in Zhongshan, PRC and Glen Rock, Pennsylvania.</w:t>
      </w:r>
    </w:p>
    <w:p>
      <w:pPr>
        <w:spacing w:after="0" w:line="200" w:lineRule="exact"/>
        <w:rPr>
          <w:sz w:val="20"/>
          <w:szCs w:val="20"/>
          <w:color w:val="auto"/>
        </w:rPr>
      </w:pPr>
    </w:p>
    <w:p>
      <w:pPr>
        <w:spacing w:after="0" w:line="233" w:lineRule="exact"/>
        <w:rPr>
          <w:sz w:val="20"/>
          <w:szCs w:val="20"/>
          <w:color w:val="auto"/>
        </w:rPr>
      </w:pPr>
    </w:p>
    <w:p>
      <w:pPr>
        <w:ind w:left="460" w:hanging="455"/>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and its subsidiaries file income tax returns in the U.S. federal jurisdiction and various states and foreign jurisdictions. The Company is no longer subject to U.S. federal examinations by tax authorities for years before 2022 and for state examinations before 2019. Regarding foreign subsidiaries, the Company is no longer subject to examination by tax authorities for years before 2015 in Asia and generally 2017 in Europe.</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July 4, 2025, the United States Congress enacted The One Big Beautiful Bill Act (the “Act”) which includes several significant corporate provisions, including the restoration of 100% bonus depreciation; the immediate expensing of domestic research and experimentation expenditures; modifications to the Section 163(j) interest limitations; and updates to the rules for global intangible low-taxes income and foreign-derived intangible income. The Company recognized the impacts of the Act provisions in our financial results to the extent they are applicable to the year ended December 31, 2025. We will continue to evaluate the impact of these provisions on our 2026 and subsequent consolidated financial statements, including impacts to our international tax calculations.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Election to Expense Domestic Research and Experimentation Costs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accordance with the requirements of Section 174 of the Internal Revenue Code, effective for the years beginning after December 31, 2021, taxpayers are required to capitalize and amortize domestic research and experimentation (R&amp;E) expenditures over a five-year period. During 2025, the Company elected, pursuant to provisions issued under the Act to expense over two years the prior year capitalization of domestic R&amp;E.</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a result of this election in 2025, the Company recognized an accelerated deduction for previously capitalized R&amp;E expenditures incurred in the prior year, resulting in a reduction in taxable income for 2025 of approximately $11.4 million. The Company’s deferred tax assets reflect the impact of the election, and the Company believes it is more likely than not that its deferred tax assets will be realized, based on the Company’s forecasted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2240" w:h="15840" w:orient="portrait"/>
          <w:cols w:equalWidth="0" w:num="1">
            <w:col w:w="10800"/>
          </w:cols>
          <w:pgMar w:left="720" w:top="560" w:right="720" w:bottom="0" w:gutter="0" w:footer="0" w:header="0"/>
        </w:sectPr>
      </w:pPr>
    </w:p>
    <w:bookmarkStart w:id="82" w:name="page83"/>
    <w:bookmarkEnd w:id="82"/>
    <w:p>
      <w:pPr>
        <w:spacing w:after="0"/>
        <w:rPr>
          <w:sz w:val="20"/>
          <w:szCs w:val="20"/>
          <w:color w:val="auto"/>
        </w:rPr>
      </w:pPr>
      <w:r>
        <w:rPr>
          <w:rFonts w:ascii="Arial" w:cs="Arial" w:eastAsia="Arial" w:hAnsi="Arial"/>
          <w:sz w:val="19"/>
          <w:szCs w:val="19"/>
          <w:color w:val="auto"/>
        </w:rPr>
        <w:t>The components of income from operations before income taxes and the provision for income taxes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60" w:type="dxa"/>
            <w:vAlign w:val="bottom"/>
          </w:tcPr>
          <w:p>
            <w:pPr>
              <w:spacing w:after="0"/>
              <w:rPr>
                <w:sz w:val="20"/>
                <w:szCs w:val="20"/>
                <w:color w:val="auto"/>
              </w:rPr>
            </w:pPr>
            <w:r>
              <w:rPr>
                <w:rFonts w:ascii="Arial" w:cs="Arial" w:eastAsia="Arial" w:hAnsi="Arial"/>
                <w:sz w:val="20"/>
                <w:szCs w:val="20"/>
                <w:color w:val="auto"/>
                <w:w w:val="98"/>
              </w:rPr>
              <w:t>Domestic and foreign income before taxes is as follows: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4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ind w:left="960"/>
              <w:spacing w:after="0"/>
              <w:rPr>
                <w:sz w:val="20"/>
                <w:szCs w:val="20"/>
                <w:color w:val="auto"/>
              </w:rPr>
            </w:pPr>
            <w:r>
              <w:rPr>
                <w:rFonts w:ascii="Arial" w:cs="Arial" w:eastAsia="Arial" w:hAnsi="Arial"/>
                <w:sz w:val="20"/>
                <w:szCs w:val="20"/>
                <w:color w:val="auto"/>
                <w:w w:val="94"/>
              </w:rPr>
              <w:t>Years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860" w:type="dxa"/>
            <w:vAlign w:val="bottom"/>
            <w:vMerge w:val="restart"/>
          </w:tcPr>
          <w:p>
            <w:pPr>
              <w:ind w:left="1080"/>
              <w:spacing w:after="0"/>
              <w:rPr>
                <w:sz w:val="20"/>
                <w:szCs w:val="20"/>
                <w:color w:val="auto"/>
              </w:rPr>
            </w:pPr>
            <w:r>
              <w:rPr>
                <w:rFonts w:ascii="Arial" w:cs="Arial" w:eastAsia="Arial" w:hAnsi="Arial"/>
                <w:sz w:val="20"/>
                <w:szCs w:val="20"/>
                <w:color w:val="auto"/>
              </w:rPr>
              <w:t>Domestic</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340" w:type="dxa"/>
            <w:vAlign w:val="bottom"/>
          </w:tcPr>
          <w:p>
            <w:pPr>
              <w:jc w:val="right"/>
              <w:ind w:right="121"/>
              <w:spacing w:after="0" w:line="215" w:lineRule="exact"/>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line="215" w:lineRule="exact"/>
              <w:rPr>
                <w:sz w:val="20"/>
                <w:szCs w:val="20"/>
                <w:color w:val="auto"/>
              </w:rPr>
            </w:pPr>
            <w:r>
              <w:rPr>
                <w:rFonts w:ascii="Arial" w:cs="Arial" w:eastAsia="Arial" w:hAnsi="Arial"/>
                <w:sz w:val="20"/>
                <w:szCs w:val="20"/>
                <w:color w:val="auto"/>
              </w:rPr>
              <w:t>34,102</w:t>
            </w:r>
          </w:p>
        </w:tc>
        <w:tc>
          <w:tcPr>
            <w:tcW w:w="160" w:type="dxa"/>
            <w:vAlign w:val="bottom"/>
          </w:tcPr>
          <w:p>
            <w:pPr>
              <w:spacing w:after="0"/>
              <w:rPr>
                <w:sz w:val="18"/>
                <w:szCs w:val="18"/>
                <w:color w:val="auto"/>
              </w:rPr>
            </w:pPr>
          </w:p>
        </w:tc>
        <w:tc>
          <w:tcPr>
            <w:tcW w:w="320" w:type="dxa"/>
            <w:vAlign w:val="bottom"/>
          </w:tcPr>
          <w:p>
            <w:pPr>
              <w:jc w:val="right"/>
              <w:ind w:right="121"/>
              <w:spacing w:after="0" w:line="215" w:lineRule="exact"/>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line="215" w:lineRule="exact"/>
              <w:rPr>
                <w:sz w:val="20"/>
                <w:szCs w:val="20"/>
                <w:color w:val="auto"/>
              </w:rPr>
            </w:pPr>
            <w:r>
              <w:rPr>
                <w:rFonts w:ascii="Arial" w:cs="Arial" w:eastAsia="Arial" w:hAnsi="Arial"/>
                <w:sz w:val="20"/>
                <w:szCs w:val="20"/>
                <w:color w:val="auto"/>
              </w:rPr>
              <w:t>29,224</w:t>
            </w:r>
          </w:p>
        </w:tc>
        <w:tc>
          <w:tcPr>
            <w:tcW w:w="16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Arial" w:cs="Arial" w:eastAsia="Arial" w:hAnsi="Arial"/>
                <w:sz w:val="20"/>
                <w:szCs w:val="20"/>
                <w:color w:val="auto"/>
              </w:rPr>
              <w:t>51,550</w:t>
            </w:r>
          </w:p>
        </w:tc>
        <w:tc>
          <w:tcPr>
            <w:tcW w:w="0" w:type="dxa"/>
            <w:vAlign w:val="bottom"/>
          </w:tcPr>
          <w:p>
            <w:pPr>
              <w:spacing w:after="0"/>
              <w:rPr>
                <w:sz w:val="1"/>
                <w:szCs w:val="1"/>
                <w:color w:val="auto"/>
              </w:rPr>
            </w:pPr>
          </w:p>
        </w:tc>
      </w:tr>
      <w:tr>
        <w:trPr>
          <w:trHeight w:val="254"/>
        </w:trPr>
        <w:tc>
          <w:tcPr>
            <w:tcW w:w="4860" w:type="dxa"/>
            <w:vAlign w:val="bottom"/>
          </w:tcPr>
          <w:p>
            <w:pPr>
              <w:ind w:left="1080"/>
              <w:spacing w:after="0"/>
              <w:rPr>
                <w:sz w:val="20"/>
                <w:szCs w:val="20"/>
                <w:color w:val="auto"/>
              </w:rPr>
            </w:pPr>
            <w:r>
              <w:rPr>
                <w:rFonts w:ascii="Arial" w:cs="Arial" w:eastAsia="Arial" w:hAnsi="Arial"/>
                <w:sz w:val="20"/>
                <w:szCs w:val="20"/>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60,948</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32,584</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31,750</w:t>
            </w:r>
          </w:p>
        </w:tc>
        <w:tc>
          <w:tcPr>
            <w:tcW w:w="0" w:type="dxa"/>
            <w:vAlign w:val="bottom"/>
          </w:tcPr>
          <w:p>
            <w:pPr>
              <w:spacing w:after="0"/>
              <w:rPr>
                <w:sz w:val="1"/>
                <w:szCs w:val="1"/>
                <w:color w:val="auto"/>
              </w:rPr>
            </w:pPr>
          </w:p>
        </w:tc>
      </w:tr>
      <w:tr>
        <w:trPr>
          <w:trHeight w:val="247"/>
        </w:trPr>
        <w:tc>
          <w:tcPr>
            <w:tcW w:w="4860" w:type="dxa"/>
            <w:vAlign w:val="bottom"/>
          </w:tcPr>
          <w:p>
            <w:pPr>
              <w:spacing w:after="0"/>
              <w:rPr>
                <w:sz w:val="21"/>
                <w:szCs w:val="21"/>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95,050</w:t>
            </w:r>
          </w:p>
        </w:tc>
        <w:tc>
          <w:tcPr>
            <w:tcW w:w="16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61,808</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-191135</wp:posOffset>
            </wp:positionV>
            <wp:extent cx="3067050" cy="2222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67050" cy="22225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Federal, state and foreign income tax expense (benefit) consists of the following:</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254"/>
        </w:trPr>
        <w:tc>
          <w:tcPr>
            <w:tcW w:w="37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8"/>
          </w:tcPr>
          <w:p>
            <w:pPr>
              <w:ind w:left="960"/>
              <w:spacing w:after="0"/>
              <w:rPr>
                <w:sz w:val="20"/>
                <w:szCs w:val="20"/>
                <w:color w:val="auto"/>
              </w:rPr>
            </w:pPr>
            <w:r>
              <w:rPr>
                <w:rFonts w:ascii="Arial" w:cs="Arial" w:eastAsia="Arial" w:hAnsi="Arial"/>
                <w:sz w:val="20"/>
                <w:szCs w:val="20"/>
                <w:color w:val="auto"/>
                <w:w w:val="94"/>
              </w:rPr>
              <w:t>Years Ended December 31,</w:t>
            </w:r>
          </w:p>
        </w:tc>
        <w:tc>
          <w:tcPr>
            <w:tcW w:w="1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780" w:type="dxa"/>
            <w:vAlign w:val="bottom"/>
            <w:vMerge w:val="restart"/>
          </w:tcPr>
          <w:p>
            <w:pPr>
              <w:spacing w:after="0"/>
              <w:rPr>
                <w:sz w:val="20"/>
                <w:szCs w:val="20"/>
                <w:color w:val="auto"/>
              </w:rPr>
            </w:pPr>
            <w:r>
              <w:rPr>
                <w:rFonts w:ascii="Arial" w:cs="Arial" w:eastAsia="Arial" w:hAnsi="Arial"/>
                <w:sz w:val="20"/>
                <w:szCs w:val="20"/>
                <w:color w:val="auto"/>
              </w:rPr>
              <w:t>Current: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7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r>
              <w:rPr>
                <w:rFonts w:ascii="Arial" w:cs="Arial" w:eastAsia="Arial" w:hAnsi="Arial"/>
                <w:sz w:val="20"/>
                <w:szCs w:val="20"/>
                <w:color w:val="auto"/>
              </w:rPr>
              <w:t>Federal</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5,226</w:t>
            </w:r>
          </w:p>
        </w:tc>
        <w:tc>
          <w:tcPr>
            <w:tcW w:w="480" w:type="dxa"/>
            <w:vAlign w:val="bottom"/>
            <w:gridSpan w:val="2"/>
          </w:tcPr>
          <w:p>
            <w:pPr>
              <w:jc w:val="right"/>
              <w:ind w:right="12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11,473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11,403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r>
              <w:rPr>
                <w:rFonts w:ascii="Arial" w:cs="Arial" w:eastAsia="Arial" w:hAnsi="Arial"/>
                <w:sz w:val="20"/>
                <w:szCs w:val="20"/>
                <w:color w:val="auto"/>
              </w:rPr>
              <w:t>State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2,173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780" w:type="dxa"/>
            <w:vAlign w:val="bottom"/>
          </w:tcPr>
          <w:p>
            <w:pPr>
              <w:spacing w:after="0"/>
              <w:rPr>
                <w:sz w:val="20"/>
                <w:szCs w:val="20"/>
                <w:color w:val="auto"/>
              </w:rPr>
            </w:pPr>
            <w:r>
              <w:rPr>
                <w:rFonts w:ascii="Arial" w:cs="Arial" w:eastAsia="Arial" w:hAnsi="Arial"/>
                <w:sz w:val="20"/>
                <w:szCs w:val="20"/>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12,162</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6,515</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780" w:type="dxa"/>
            <w:vAlign w:val="bottom"/>
            <w:vMerge w:val="restart"/>
          </w:tcPr>
          <w:p>
            <w:pPr>
              <w:spacing w:after="0"/>
              <w:rPr>
                <w:sz w:val="20"/>
                <w:szCs w:val="20"/>
                <w:color w:val="auto"/>
              </w:rPr>
            </w:pPr>
            <w:r>
              <w:rPr>
                <w:rFonts w:ascii="Arial" w:cs="Arial" w:eastAsia="Arial" w:hAnsi="Arial"/>
                <w:sz w:val="20"/>
                <w:szCs w:val="20"/>
                <w:color w:val="auto"/>
              </w:rPr>
              <w:t>Deferred:</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19,561</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18,883</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r>
              <w:rPr>
                <w:rFonts w:ascii="Arial" w:cs="Arial" w:eastAsia="Arial" w:hAnsi="Arial"/>
                <w:sz w:val="20"/>
                <w:szCs w:val="20"/>
                <w:color w:val="auto"/>
              </w:rPr>
              <w:t>Federal</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0"/>
                <w:szCs w:val="20"/>
                <w:color w:val="auto"/>
              </w:rPr>
              <w:t>(5,200)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(3,128)</w:t>
            </w: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r>
              <w:rPr>
                <w:rFonts w:ascii="Arial" w:cs="Arial" w:eastAsia="Arial" w:hAnsi="Arial"/>
                <w:sz w:val="20"/>
                <w:szCs w:val="20"/>
                <w:color w:val="auto"/>
              </w:rPr>
              <w:t>State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0"/>
                <w:szCs w:val="20"/>
                <w:color w:val="auto"/>
              </w:rPr>
              <w:t>(442)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(139)</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20"/>
                <w:szCs w:val="20"/>
                <w:color w:val="auto"/>
              </w:rPr>
              <w:t>Foreign</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898</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0"/>
                <w:szCs w:val="20"/>
                <w:color w:val="auto"/>
              </w:rPr>
              <w:t>(625)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(605)</w:t>
            </w: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1,378</w:t>
            </w: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(6,267)</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(3,872)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80" w:type="dxa"/>
            <w:vAlign w:val="bottom"/>
          </w:tcPr>
          <w:p>
            <w:pPr>
              <w:spacing w:after="0"/>
              <w:rPr>
                <w:sz w:val="21"/>
                <w:szCs w:val="21"/>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20,939</w:t>
            </w:r>
          </w:p>
        </w:tc>
        <w:tc>
          <w:tcPr>
            <w:tcW w:w="16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12,616</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-191135</wp:posOffset>
            </wp:positionV>
            <wp:extent cx="3067050" cy="2222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6705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73</w:t>
      </w:r>
    </w:p>
    <w:p>
      <w:pPr>
        <w:sectPr>
          <w:pgSz w:w="12240" w:h="15840" w:orient="portrait"/>
          <w:cols w:equalWidth="0" w:num="1">
            <w:col w:w="10080"/>
          </w:cols>
          <w:pgMar w:left="720" w:top="555" w:right="1440" w:bottom="0" w:gutter="0" w:footer="0" w:header="0"/>
        </w:sectPr>
      </w:pPr>
    </w:p>
    <w:bookmarkStart w:id="83" w:name="page84"/>
    <w:bookmarkEnd w:id="83"/>
    <w:p>
      <w:pPr>
        <w:jc w:val="both"/>
        <w:spacing w:after="0" w:line="275" w:lineRule="auto"/>
        <w:rPr>
          <w:sz w:val="20"/>
          <w:szCs w:val="20"/>
          <w:color w:val="auto"/>
        </w:rPr>
      </w:pPr>
      <w:r>
        <w:rPr>
          <w:rFonts w:ascii="Arial" w:cs="Arial" w:eastAsia="Arial" w:hAnsi="Arial"/>
          <w:sz w:val="19"/>
          <w:szCs w:val="19"/>
          <w:color w:val="auto"/>
        </w:rPr>
        <w:t>Upon adoption of ASU 2023-09, Improvements to Income Tax Disclosures, as described in Note 1, "</w:t>
      </w:r>
      <w:r>
        <w:rPr>
          <w:rFonts w:ascii="Arial" w:cs="Arial" w:eastAsia="Arial" w:hAnsi="Arial"/>
          <w:sz w:val="19"/>
          <w:szCs w:val="19"/>
          <w:i w:val="1"/>
          <w:iCs w:val="1"/>
          <w:color w:val="auto"/>
        </w:rPr>
        <w:t>Description of Business and</w:t>
      </w:r>
      <w:r>
        <w:rPr>
          <w:rFonts w:ascii="Arial" w:cs="Arial" w:eastAsia="Arial" w:hAnsi="Arial"/>
          <w:sz w:val="19"/>
          <w:szCs w:val="19"/>
          <w:color w:val="auto"/>
        </w:rPr>
        <w:t xml:space="preserve"> </w:t>
      </w:r>
      <w:r>
        <w:rPr>
          <w:rFonts w:ascii="Arial" w:cs="Arial" w:eastAsia="Arial" w:hAnsi="Arial"/>
          <w:sz w:val="19"/>
          <w:szCs w:val="19"/>
          <w:i w:val="1"/>
          <w:iCs w:val="1"/>
          <w:color w:val="auto"/>
        </w:rPr>
        <w:t>Summary of Significant Accounting Policies</w:t>
      </w:r>
      <w:r>
        <w:rPr>
          <w:rFonts w:ascii="Arial" w:cs="Arial" w:eastAsia="Arial" w:hAnsi="Arial"/>
          <w:sz w:val="19"/>
          <w:szCs w:val="19"/>
          <w:color w:val="auto"/>
        </w:rPr>
        <w:t>" under the caption “</w:t>
      </w:r>
      <w:r>
        <w:rPr>
          <w:rFonts w:ascii="Arial" w:cs="Arial" w:eastAsia="Arial" w:hAnsi="Arial"/>
          <w:sz w:val="19"/>
          <w:szCs w:val="19"/>
          <w:i w:val="1"/>
          <w:iCs w:val="1"/>
          <w:color w:val="auto"/>
        </w:rPr>
        <w:t>Recently Issued Accounting Standards – Recently Adopted Accounting Standards</w:t>
      </w:r>
      <w:r>
        <w:rPr>
          <w:rFonts w:ascii="Arial" w:cs="Arial" w:eastAsia="Arial" w:hAnsi="Arial"/>
          <w:sz w:val="19"/>
          <w:szCs w:val="19"/>
          <w:color w:val="auto"/>
        </w:rPr>
        <w:t>”, the reconciliation of taxes at the federal statutory rate to our provision for income taxes was as follows:</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257"/>
        </w:trPr>
        <w:tc>
          <w:tcPr>
            <w:tcW w:w="27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20"/>
                <w:szCs w:val="20"/>
                <w:color w:val="auto"/>
                <w:w w:val="89"/>
              </w:rPr>
              <w:t>Years Ended December 31,</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20"/>
                <w:szCs w:val="20"/>
                <w:color w:val="auto"/>
              </w:rPr>
              <w:t>2025</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20"/>
                <w:szCs w:val="20"/>
                <w:color w:val="auto"/>
              </w:rPr>
              <w:t>2024</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2023</w:t>
            </w: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20"/>
              <w:spacing w:after="0" w:line="206" w:lineRule="exact"/>
              <w:rPr>
                <w:sz w:val="20"/>
                <w:szCs w:val="20"/>
                <w:color w:val="auto"/>
              </w:rPr>
            </w:pPr>
            <w:r>
              <w:rPr>
                <w:rFonts w:ascii="Arial" w:cs="Arial" w:eastAsia="Arial" w:hAnsi="Arial"/>
                <w:sz w:val="20"/>
                <w:szCs w:val="20"/>
                <w:color w:val="auto"/>
              </w:rPr>
              <w:t>Tax</w:t>
            </w:r>
          </w:p>
        </w:tc>
        <w:tc>
          <w:tcPr>
            <w:tcW w:w="520" w:type="dxa"/>
            <w:vAlign w:val="bottom"/>
          </w:tcPr>
          <w:p>
            <w:pPr>
              <w:jc w:val="right"/>
              <w:spacing w:after="0" w:line="206" w:lineRule="exact"/>
              <w:rPr>
                <w:sz w:val="20"/>
                <w:szCs w:val="20"/>
                <w:color w:val="auto"/>
              </w:rPr>
            </w:pPr>
            <w:r>
              <w:rPr>
                <w:rFonts w:ascii="Arial" w:cs="Arial" w:eastAsia="Arial" w:hAnsi="Arial"/>
                <w:sz w:val="20"/>
                <w:szCs w:val="20"/>
                <w:color w:val="auto"/>
              </w:rPr>
              <w:t>Tax</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420"/>
              <w:spacing w:after="0" w:line="206" w:lineRule="exact"/>
              <w:rPr>
                <w:sz w:val="20"/>
                <w:szCs w:val="20"/>
                <w:color w:val="auto"/>
              </w:rPr>
            </w:pPr>
            <w:r>
              <w:rPr>
                <w:rFonts w:ascii="Arial" w:cs="Arial" w:eastAsia="Arial" w:hAnsi="Arial"/>
                <w:sz w:val="20"/>
                <w:szCs w:val="20"/>
                <w:color w:val="auto"/>
              </w:rPr>
              <w:t>Tax</w:t>
            </w:r>
          </w:p>
        </w:tc>
        <w:tc>
          <w:tcPr>
            <w:tcW w:w="520" w:type="dxa"/>
            <w:vAlign w:val="bottom"/>
          </w:tcPr>
          <w:p>
            <w:pPr>
              <w:jc w:val="right"/>
              <w:spacing w:after="0" w:line="206" w:lineRule="exact"/>
              <w:rPr>
                <w:sz w:val="20"/>
                <w:szCs w:val="20"/>
                <w:color w:val="auto"/>
              </w:rPr>
            </w:pPr>
            <w:r>
              <w:rPr>
                <w:rFonts w:ascii="Arial" w:cs="Arial" w:eastAsia="Arial" w:hAnsi="Arial"/>
                <w:sz w:val="20"/>
                <w:szCs w:val="20"/>
                <w:color w:val="auto"/>
              </w:rPr>
              <w:t>Tax</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280"/>
              <w:spacing w:after="0" w:line="206" w:lineRule="exact"/>
              <w:rPr>
                <w:sz w:val="20"/>
                <w:szCs w:val="20"/>
                <w:color w:val="auto"/>
              </w:rPr>
            </w:pPr>
            <w:r>
              <w:rPr>
                <w:rFonts w:ascii="Arial" w:cs="Arial" w:eastAsia="Arial" w:hAnsi="Arial"/>
                <w:sz w:val="20"/>
                <w:szCs w:val="20"/>
                <w:color w:val="auto"/>
              </w:rPr>
              <w:t>Tax</w:t>
            </w:r>
          </w:p>
        </w:tc>
        <w:tc>
          <w:tcPr>
            <w:tcW w:w="660" w:type="dxa"/>
            <w:vAlign w:val="bottom"/>
          </w:tcPr>
          <w:p>
            <w:pPr>
              <w:jc w:val="right"/>
              <w:spacing w:after="0" w:line="206" w:lineRule="exact"/>
              <w:rPr>
                <w:sz w:val="20"/>
                <w:szCs w:val="20"/>
                <w:color w:val="auto"/>
              </w:rPr>
            </w:pPr>
            <w:r>
              <w:rPr>
                <w:rFonts w:ascii="Arial" w:cs="Arial" w:eastAsia="Arial" w:hAnsi="Arial"/>
                <w:sz w:val="20"/>
                <w:szCs w:val="20"/>
                <w:color w:val="auto"/>
              </w:rPr>
              <w:t>Tax</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760" w:type="dxa"/>
            <w:vAlign w:val="bottom"/>
            <w:vMerge w:val="restart"/>
          </w:tcPr>
          <w:p>
            <w:pPr>
              <w:spacing w:after="0"/>
              <w:rPr>
                <w:sz w:val="20"/>
                <w:szCs w:val="20"/>
                <w:color w:val="auto"/>
              </w:rPr>
            </w:pPr>
            <w:r>
              <w:rPr>
                <w:rFonts w:ascii="Arial" w:cs="Arial" w:eastAsia="Arial" w:hAnsi="Arial"/>
                <w:sz w:val="20"/>
                <w:szCs w:val="20"/>
                <w:color w:val="auto"/>
              </w:rPr>
              <w:t>U.S. Federal statutory income</w:t>
            </w:r>
          </w:p>
        </w:tc>
        <w:tc>
          <w:tcPr>
            <w:tcW w:w="100" w:type="dxa"/>
            <w:vAlign w:val="bottom"/>
          </w:tcPr>
          <w:p>
            <w:pPr>
              <w:spacing w:after="0"/>
              <w:rPr>
                <w:sz w:val="22"/>
                <w:szCs w:val="22"/>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20"/>
                <w:szCs w:val="20"/>
                <w:color w:val="auto"/>
                <w:w w:val="84"/>
              </w:rPr>
              <w:t>Expense</w:t>
            </w:r>
          </w:p>
        </w:tc>
        <w:tc>
          <w:tcPr>
            <w:tcW w:w="780" w:type="dxa"/>
            <w:vAlign w:val="bottom"/>
            <w:gridSpan w:val="3"/>
          </w:tcPr>
          <w:p>
            <w:pPr>
              <w:jc w:val="right"/>
              <w:ind w:right="161"/>
              <w:spacing w:after="0"/>
              <w:rPr>
                <w:sz w:val="20"/>
                <w:szCs w:val="20"/>
                <w:color w:val="auto"/>
              </w:rPr>
            </w:pPr>
            <w:r>
              <w:rPr>
                <w:rFonts w:ascii="Arial" w:cs="Arial" w:eastAsia="Arial" w:hAnsi="Arial"/>
                <w:sz w:val="20"/>
                <w:szCs w:val="20"/>
                <w:color w:val="auto"/>
              </w:rPr>
              <w:t>Rate</w:t>
            </w:r>
          </w:p>
        </w:tc>
        <w:tc>
          <w:tcPr>
            <w:tcW w:w="120" w:type="dxa"/>
            <w:vAlign w:val="bottom"/>
          </w:tcPr>
          <w:p>
            <w:pPr>
              <w:spacing w:after="0"/>
              <w:rPr>
                <w:sz w:val="22"/>
                <w:szCs w:val="22"/>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20"/>
                <w:szCs w:val="20"/>
                <w:color w:val="auto"/>
                <w:w w:val="84"/>
              </w:rPr>
              <w:t>Expense</w:t>
            </w:r>
          </w:p>
        </w:tc>
        <w:tc>
          <w:tcPr>
            <w:tcW w:w="780" w:type="dxa"/>
            <w:vAlign w:val="bottom"/>
            <w:gridSpan w:val="2"/>
          </w:tcPr>
          <w:p>
            <w:pPr>
              <w:jc w:val="right"/>
              <w:ind w:right="280"/>
              <w:spacing w:after="0"/>
              <w:rPr>
                <w:sz w:val="20"/>
                <w:szCs w:val="20"/>
                <w:color w:val="auto"/>
              </w:rPr>
            </w:pPr>
            <w:r>
              <w:rPr>
                <w:rFonts w:ascii="Arial" w:cs="Arial" w:eastAsia="Arial" w:hAnsi="Arial"/>
                <w:sz w:val="20"/>
                <w:szCs w:val="20"/>
                <w:color w:val="auto"/>
              </w:rPr>
              <w:t>Rate</w:t>
            </w:r>
          </w:p>
        </w:tc>
        <w:tc>
          <w:tcPr>
            <w:tcW w:w="100" w:type="dxa"/>
            <w:vAlign w:val="bottom"/>
          </w:tcPr>
          <w:p>
            <w:pPr>
              <w:spacing w:after="0"/>
              <w:rPr>
                <w:sz w:val="22"/>
                <w:szCs w:val="2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20"/>
                <w:szCs w:val="20"/>
                <w:color w:val="auto"/>
                <w:w w:val="84"/>
              </w:rPr>
              <w:t>Expense</w:t>
            </w: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Rate</w:t>
            </w:r>
          </w:p>
        </w:tc>
        <w:tc>
          <w:tcPr>
            <w:tcW w:w="0" w:type="dxa"/>
            <w:vAlign w:val="bottom"/>
          </w:tcPr>
          <w:p>
            <w:pPr>
              <w:spacing w:after="0"/>
              <w:rPr>
                <w:sz w:val="1"/>
                <w:szCs w:val="1"/>
                <w:color w:val="auto"/>
              </w:rPr>
            </w:pPr>
          </w:p>
        </w:tc>
      </w:tr>
      <w:tr>
        <w:trPr>
          <w:trHeight w:val="204"/>
        </w:trPr>
        <w:tc>
          <w:tcPr>
            <w:tcW w:w="2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20"/>
                <w:szCs w:val="20"/>
                <w:color w:val="auto"/>
              </w:rPr>
              <w:t>tax rate</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19,961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21.0%</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12,980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21.0%</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17,493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27"/>
        </w:trPr>
        <w:tc>
          <w:tcPr>
            <w:tcW w:w="2760" w:type="dxa"/>
            <w:vAlign w:val="bottom"/>
          </w:tcPr>
          <w:p>
            <w:pPr>
              <w:spacing w:after="0" w:line="227" w:lineRule="exact"/>
              <w:rPr>
                <w:sz w:val="20"/>
                <w:szCs w:val="20"/>
                <w:color w:val="auto"/>
              </w:rPr>
            </w:pPr>
            <w:r>
              <w:rPr>
                <w:rFonts w:ascii="Arial" w:cs="Arial" w:eastAsia="Arial" w:hAnsi="Arial"/>
                <w:sz w:val="20"/>
                <w:szCs w:val="20"/>
                <w:color w:val="auto"/>
                <w:w w:val="92"/>
              </w:rPr>
              <w:t>State and local income taxes, net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20"/>
                <w:szCs w:val="20"/>
                <w:color w:val="auto"/>
              </w:rPr>
              <w:t xml:space="preserve">of federal income tax effect </w:t>
            </w:r>
            <w:r>
              <w:rPr>
                <w:rFonts w:ascii="Arial" w:cs="Arial" w:eastAsia="Arial" w:hAnsi="Arial"/>
                <w:sz w:val="10"/>
                <w:szCs w:val="10"/>
                <w:color w:val="auto"/>
              </w:rPr>
              <w:t>(1)</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(599)</w:t>
            </w: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-0.6%</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(767)</w:t>
            </w: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(432)</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20"/>
                <w:szCs w:val="20"/>
                <w:color w:val="auto"/>
              </w:rPr>
              <w:t>Foreign Tax Effects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Arial" w:cs="Arial" w:eastAsia="Arial" w:hAnsi="Arial"/>
                <w:sz w:val="20"/>
                <w:szCs w:val="20"/>
                <w:color w:val="auto"/>
              </w:rPr>
              <w:t>Macau</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360"/>
              <w:spacing w:after="0"/>
              <w:rPr>
                <w:sz w:val="20"/>
                <w:szCs w:val="20"/>
                <w:color w:val="auto"/>
              </w:rPr>
            </w:pPr>
            <w:r>
              <w:rPr>
                <w:rFonts w:ascii="Arial" w:cs="Arial" w:eastAsia="Arial" w:hAnsi="Arial"/>
                <w:sz w:val="20"/>
                <w:szCs w:val="20"/>
                <w:color w:val="auto"/>
              </w:rPr>
              <w:t>Rate differential</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(306)</w:t>
            </w: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29"/>
        </w:trPr>
        <w:tc>
          <w:tcPr>
            <w:tcW w:w="2760" w:type="dxa"/>
            <w:vAlign w:val="bottom"/>
          </w:tcPr>
          <w:p>
            <w:pPr>
              <w:ind w:left="360"/>
              <w:spacing w:after="0"/>
              <w:rPr>
                <w:sz w:val="20"/>
                <w:szCs w:val="20"/>
                <w:color w:val="auto"/>
              </w:rPr>
            </w:pPr>
            <w:r>
              <w:rPr>
                <w:rFonts w:ascii="Arial" w:cs="Arial" w:eastAsia="Arial" w:hAnsi="Arial"/>
                <w:sz w:val="20"/>
                <w:szCs w:val="20"/>
                <w:color w:val="auto"/>
              </w:rPr>
              <w:t>Adjustments relating to</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360"/>
              <w:spacing w:after="0"/>
              <w:rPr>
                <w:sz w:val="20"/>
                <w:szCs w:val="20"/>
                <w:color w:val="auto"/>
              </w:rPr>
            </w:pPr>
            <w:r>
              <w:rPr>
                <w:rFonts w:ascii="Arial" w:cs="Arial" w:eastAsia="Arial" w:hAnsi="Arial"/>
                <w:sz w:val="20"/>
                <w:szCs w:val="20"/>
                <w:color w:val="auto"/>
              </w:rPr>
              <w:t>prior years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687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29"/>
        </w:trPr>
        <w:tc>
          <w:tcPr>
            <w:tcW w:w="2760" w:type="dxa"/>
            <w:vAlign w:val="bottom"/>
          </w:tcPr>
          <w:p>
            <w:pPr>
              <w:ind w:left="360"/>
              <w:spacing w:after="0"/>
              <w:rPr>
                <w:sz w:val="20"/>
                <w:szCs w:val="20"/>
                <w:color w:val="auto"/>
              </w:rPr>
            </w:pPr>
            <w:r>
              <w:rPr>
                <w:rFonts w:ascii="Arial" w:cs="Arial" w:eastAsia="Arial" w:hAnsi="Arial"/>
                <w:sz w:val="20"/>
                <w:szCs w:val="20"/>
                <w:color w:val="auto"/>
              </w:rPr>
              <w:t>Change in valuation</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360"/>
              <w:spacing w:after="0"/>
              <w:rPr>
                <w:sz w:val="20"/>
                <w:szCs w:val="20"/>
                <w:color w:val="auto"/>
              </w:rPr>
            </w:pPr>
            <w:r>
              <w:rPr>
                <w:rFonts w:ascii="Arial" w:cs="Arial" w:eastAsia="Arial" w:hAnsi="Arial"/>
                <w:sz w:val="20"/>
                <w:szCs w:val="20"/>
                <w:color w:val="auto"/>
              </w:rPr>
              <w:t>allowance</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499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0.8%</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9"/>
        </w:trPr>
        <w:tc>
          <w:tcPr>
            <w:tcW w:w="2760" w:type="dxa"/>
            <w:vAlign w:val="bottom"/>
          </w:tcPr>
          <w:p>
            <w:pPr>
              <w:ind w:left="360"/>
              <w:spacing w:after="0"/>
              <w:rPr>
                <w:sz w:val="20"/>
                <w:szCs w:val="20"/>
                <w:color w:val="auto"/>
              </w:rPr>
            </w:pPr>
            <w:r>
              <w:rPr>
                <w:rFonts w:ascii="Arial" w:cs="Arial" w:eastAsia="Arial" w:hAnsi="Arial"/>
                <w:sz w:val="20"/>
                <w:szCs w:val="20"/>
                <w:color w:val="auto"/>
              </w:rPr>
              <w:t>Other</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Arial" w:cs="Arial" w:eastAsia="Arial" w:hAnsi="Arial"/>
                <w:sz w:val="20"/>
                <w:szCs w:val="20"/>
                <w:color w:val="auto"/>
              </w:rPr>
              <w:t>PRC</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360"/>
              <w:spacing w:after="0"/>
              <w:rPr>
                <w:sz w:val="20"/>
                <w:szCs w:val="20"/>
                <w:color w:val="auto"/>
              </w:rPr>
            </w:pPr>
            <w:r>
              <w:rPr>
                <w:rFonts w:ascii="Arial" w:cs="Arial" w:eastAsia="Arial" w:hAnsi="Arial"/>
                <w:sz w:val="20"/>
                <w:szCs w:val="20"/>
                <w:color w:val="auto"/>
              </w:rPr>
              <w:t>Rate differential</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661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0.8%</w:t>
            </w:r>
          </w:p>
        </w:tc>
        <w:tc>
          <w:tcPr>
            <w:tcW w:w="0" w:type="dxa"/>
            <w:vAlign w:val="bottom"/>
          </w:tcPr>
          <w:p>
            <w:pPr>
              <w:spacing w:after="0"/>
              <w:rPr>
                <w:sz w:val="1"/>
                <w:szCs w:val="1"/>
                <w:color w:val="auto"/>
              </w:rPr>
            </w:pPr>
          </w:p>
        </w:tc>
      </w:tr>
      <w:tr>
        <w:trPr>
          <w:trHeight w:val="229"/>
        </w:trPr>
        <w:tc>
          <w:tcPr>
            <w:tcW w:w="2760" w:type="dxa"/>
            <w:vAlign w:val="bottom"/>
          </w:tcPr>
          <w:p>
            <w:pPr>
              <w:ind w:left="360"/>
              <w:spacing w:after="0"/>
              <w:rPr>
                <w:sz w:val="20"/>
                <w:szCs w:val="20"/>
                <w:color w:val="auto"/>
              </w:rPr>
            </w:pPr>
            <w:r>
              <w:rPr>
                <w:rFonts w:ascii="Arial" w:cs="Arial" w:eastAsia="Arial" w:hAnsi="Arial"/>
                <w:sz w:val="20"/>
                <w:szCs w:val="20"/>
                <w:color w:val="auto"/>
              </w:rPr>
              <w:t>Nontaxable controlled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360"/>
              <w:spacing w:after="0"/>
              <w:rPr>
                <w:sz w:val="20"/>
                <w:szCs w:val="20"/>
                <w:color w:val="auto"/>
              </w:rPr>
            </w:pPr>
            <w:r>
              <w:rPr>
                <w:rFonts w:ascii="Arial" w:cs="Arial" w:eastAsia="Arial" w:hAnsi="Arial"/>
                <w:sz w:val="20"/>
                <w:szCs w:val="20"/>
                <w:color w:val="auto"/>
                <w:w w:val="98"/>
              </w:rPr>
              <w:t>foreign corporation ("CFC")</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360"/>
              <w:spacing w:after="0"/>
              <w:rPr>
                <w:sz w:val="20"/>
                <w:szCs w:val="20"/>
                <w:color w:val="auto"/>
              </w:rPr>
            </w:pPr>
            <w:r>
              <w:rPr>
                <w:rFonts w:ascii="Arial" w:cs="Arial" w:eastAsia="Arial" w:hAnsi="Arial"/>
                <w:sz w:val="20"/>
                <w:szCs w:val="20"/>
                <w:color w:val="auto"/>
              </w:rPr>
              <w:t>income</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0.0%</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(3,235)</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29"/>
        </w:trPr>
        <w:tc>
          <w:tcPr>
            <w:tcW w:w="2760" w:type="dxa"/>
            <w:vAlign w:val="bottom"/>
          </w:tcPr>
          <w:p>
            <w:pPr>
              <w:ind w:left="360"/>
              <w:spacing w:after="0"/>
              <w:rPr>
                <w:sz w:val="20"/>
                <w:szCs w:val="20"/>
                <w:color w:val="auto"/>
              </w:rPr>
            </w:pPr>
            <w:r>
              <w:rPr>
                <w:rFonts w:ascii="Arial" w:cs="Arial" w:eastAsia="Arial" w:hAnsi="Arial"/>
                <w:sz w:val="20"/>
                <w:szCs w:val="20"/>
                <w:color w:val="auto"/>
              </w:rPr>
              <w:t>Withholding tax on</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360"/>
              <w:spacing w:after="0"/>
              <w:rPr>
                <w:sz w:val="20"/>
                <w:szCs w:val="20"/>
                <w:color w:val="auto"/>
              </w:rPr>
            </w:pPr>
            <w:r>
              <w:rPr>
                <w:rFonts w:ascii="Arial" w:cs="Arial" w:eastAsia="Arial" w:hAnsi="Arial"/>
                <w:sz w:val="20"/>
                <w:szCs w:val="20"/>
                <w:color w:val="auto"/>
              </w:rPr>
              <w:t>Dividends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0.0%</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(227)</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27"/>
        </w:trPr>
        <w:tc>
          <w:tcPr>
            <w:tcW w:w="2760" w:type="dxa"/>
            <w:vAlign w:val="bottom"/>
          </w:tcPr>
          <w:p>
            <w:pPr>
              <w:ind w:left="360"/>
              <w:spacing w:after="0" w:line="227" w:lineRule="exact"/>
              <w:rPr>
                <w:sz w:val="20"/>
                <w:szCs w:val="20"/>
                <w:color w:val="auto"/>
              </w:rPr>
            </w:pPr>
            <w:r>
              <w:rPr>
                <w:rFonts w:ascii="Arial" w:cs="Arial" w:eastAsia="Arial" w:hAnsi="Arial"/>
                <w:sz w:val="20"/>
                <w:szCs w:val="20"/>
                <w:color w:val="auto"/>
              </w:rPr>
              <w:t>Change in valuation</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360"/>
              <w:spacing w:after="0"/>
              <w:rPr>
                <w:sz w:val="20"/>
                <w:szCs w:val="20"/>
                <w:color w:val="auto"/>
              </w:rPr>
            </w:pPr>
            <w:r>
              <w:rPr>
                <w:rFonts w:ascii="Arial" w:cs="Arial" w:eastAsia="Arial" w:hAnsi="Arial"/>
                <w:sz w:val="20"/>
                <w:szCs w:val="20"/>
                <w:color w:val="auto"/>
              </w:rPr>
              <w:t>allowance</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0.0%</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(272)</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39"/>
        </w:trPr>
        <w:tc>
          <w:tcPr>
            <w:tcW w:w="2760" w:type="dxa"/>
            <w:vAlign w:val="bottom"/>
          </w:tcPr>
          <w:p>
            <w:pPr>
              <w:ind w:left="360"/>
              <w:spacing w:after="0"/>
              <w:rPr>
                <w:sz w:val="20"/>
                <w:szCs w:val="20"/>
                <w:color w:val="auto"/>
              </w:rPr>
            </w:pPr>
            <w:r>
              <w:rPr>
                <w:rFonts w:ascii="Arial" w:cs="Arial" w:eastAsia="Arial" w:hAnsi="Arial"/>
                <w:sz w:val="20"/>
                <w:szCs w:val="20"/>
                <w:color w:val="auto"/>
              </w:rPr>
              <w:t>Other</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0.0%</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(79)</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57"/>
        </w:trPr>
        <w:tc>
          <w:tcPr>
            <w:tcW w:w="2760" w:type="dxa"/>
            <w:vAlign w:val="bottom"/>
          </w:tcPr>
          <w:p>
            <w:pPr>
              <w:ind w:left="180"/>
              <w:spacing w:after="0"/>
              <w:rPr>
                <w:sz w:val="20"/>
                <w:szCs w:val="20"/>
                <w:color w:val="auto"/>
              </w:rPr>
            </w:pPr>
            <w:r>
              <w:rPr>
                <w:rFonts w:ascii="Arial" w:cs="Arial" w:eastAsia="Arial" w:hAnsi="Arial"/>
                <w:sz w:val="20"/>
                <w:szCs w:val="20"/>
                <w:color w:val="auto"/>
              </w:rPr>
              <w:t>Other foreign jurisdictions</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999</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1.1%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626</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787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760" w:type="dxa"/>
            <w:vAlign w:val="bottom"/>
            <w:vMerge w:val="restart"/>
          </w:tcPr>
          <w:p>
            <w:pPr>
              <w:spacing w:after="0"/>
              <w:rPr>
                <w:sz w:val="20"/>
                <w:szCs w:val="20"/>
                <w:color w:val="auto"/>
              </w:rPr>
            </w:pPr>
            <w:r>
              <w:rPr>
                <w:rFonts w:ascii="Arial" w:cs="Arial" w:eastAsia="Arial" w:hAnsi="Arial"/>
                <w:sz w:val="20"/>
                <w:szCs w:val="20"/>
                <w:color w:val="auto"/>
              </w:rPr>
              <w:t>Effects of changes in tax</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999</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1.1%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1,597</w:t>
            </w:r>
          </w:p>
        </w:tc>
        <w:tc>
          <w:tcPr>
            <w:tcW w:w="16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2.6%</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(2,365)</w:t>
            </w:r>
          </w:p>
        </w:tc>
        <w:tc>
          <w:tcPr>
            <w:tcW w:w="1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186"/>
        </w:trPr>
        <w:tc>
          <w:tcPr>
            <w:tcW w:w="2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line="227" w:lineRule="exact"/>
              <w:rPr>
                <w:sz w:val="20"/>
                <w:szCs w:val="20"/>
                <w:color w:val="auto"/>
              </w:rPr>
            </w:pPr>
            <w:r>
              <w:rPr>
                <w:rFonts w:ascii="Arial" w:cs="Arial" w:eastAsia="Arial" w:hAnsi="Arial"/>
                <w:sz w:val="20"/>
                <w:szCs w:val="20"/>
                <w:color w:val="auto"/>
                <w:w w:val="94"/>
              </w:rPr>
              <w:t>laws/rates enacted in the current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20"/>
                <w:szCs w:val="20"/>
                <w:color w:val="auto"/>
              </w:rPr>
              <w:t>period</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20"/>
                <w:szCs w:val="20"/>
                <w:color w:val="auto"/>
                <w:w w:val="98"/>
              </w:rPr>
              <w:t>Effects of cross-border tax laws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180"/>
              <w:spacing w:after="0"/>
              <w:rPr>
                <w:sz w:val="20"/>
                <w:szCs w:val="20"/>
                <w:color w:val="auto"/>
              </w:rPr>
            </w:pPr>
            <w:r>
              <w:rPr>
                <w:rFonts w:ascii="Arial" w:cs="Arial" w:eastAsia="Arial" w:hAnsi="Arial"/>
                <w:sz w:val="20"/>
                <w:szCs w:val="20"/>
                <w:color w:val="auto"/>
              </w:rPr>
              <w:t>Global intangible low-taxed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Arial" w:cs="Arial" w:eastAsia="Arial" w:hAnsi="Arial"/>
                <w:sz w:val="20"/>
                <w:szCs w:val="20"/>
                <w:color w:val="auto"/>
              </w:rPr>
              <w:t>income</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1,529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1.6%</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668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0.8%</w:t>
            </w:r>
          </w:p>
        </w:tc>
        <w:tc>
          <w:tcPr>
            <w:tcW w:w="0" w:type="dxa"/>
            <w:vAlign w:val="bottom"/>
          </w:tcPr>
          <w:p>
            <w:pPr>
              <w:spacing w:after="0"/>
              <w:rPr>
                <w:sz w:val="1"/>
                <w:szCs w:val="1"/>
                <w:color w:val="auto"/>
              </w:rPr>
            </w:pPr>
          </w:p>
        </w:tc>
      </w:tr>
      <w:tr>
        <w:trPr>
          <w:trHeight w:val="229"/>
        </w:trPr>
        <w:tc>
          <w:tcPr>
            <w:tcW w:w="2760" w:type="dxa"/>
            <w:vAlign w:val="bottom"/>
          </w:tcPr>
          <w:p>
            <w:pPr>
              <w:ind w:left="180"/>
              <w:spacing w:after="0"/>
              <w:rPr>
                <w:sz w:val="20"/>
                <w:szCs w:val="20"/>
                <w:color w:val="auto"/>
              </w:rPr>
            </w:pPr>
            <w:r>
              <w:rPr>
                <w:rFonts w:ascii="Arial" w:cs="Arial" w:eastAsia="Arial" w:hAnsi="Arial"/>
                <w:sz w:val="20"/>
                <w:szCs w:val="20"/>
                <w:color w:val="auto"/>
              </w:rPr>
              <w:t>Foreign-derived intangible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Arial" w:cs="Arial" w:eastAsia="Arial" w:hAnsi="Arial"/>
                <w:sz w:val="20"/>
                <w:szCs w:val="20"/>
                <w:color w:val="auto"/>
              </w:rPr>
              <w:t>income</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0.0%</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(478)</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Arial" w:cs="Arial" w:eastAsia="Arial" w:hAnsi="Arial"/>
                <w:sz w:val="20"/>
                <w:szCs w:val="20"/>
                <w:color w:val="auto"/>
              </w:rPr>
              <w:t>Adjustments to transition tax</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493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0.8%</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20"/>
                <w:szCs w:val="20"/>
                <w:color w:val="auto"/>
              </w:rPr>
              <w:t>Tax credits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180"/>
              <w:spacing w:after="0"/>
              <w:rPr>
                <w:sz w:val="20"/>
                <w:szCs w:val="20"/>
                <w:color w:val="auto"/>
              </w:rPr>
            </w:pPr>
            <w:r>
              <w:rPr>
                <w:rFonts w:ascii="Arial" w:cs="Arial" w:eastAsia="Arial" w:hAnsi="Arial"/>
                <w:sz w:val="20"/>
                <w:szCs w:val="20"/>
                <w:color w:val="auto"/>
                <w:w w:val="92"/>
              </w:rPr>
              <w:t>Research and development tax</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Arial" w:cs="Arial" w:eastAsia="Arial" w:hAnsi="Arial"/>
                <w:sz w:val="20"/>
                <w:szCs w:val="20"/>
                <w:color w:val="auto"/>
              </w:rPr>
              <w:t>credits</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(407)</w:t>
            </w: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-0.4%</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(75)</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20"/>
                <w:szCs w:val="20"/>
                <w:color w:val="auto"/>
                <w:w w:val="94"/>
              </w:rPr>
              <w:t>Changes in valuation allowances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0.0%</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(184)</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20"/>
                <w:szCs w:val="20"/>
                <w:color w:val="auto"/>
              </w:rPr>
            </w:pPr>
            <w:r>
              <w:rPr>
                <w:rFonts w:ascii="Arial" w:cs="Arial" w:eastAsia="Arial" w:hAnsi="Arial"/>
                <w:sz w:val="20"/>
                <w:szCs w:val="20"/>
                <w:color w:val="auto"/>
              </w:rPr>
              <w:t>Nontaxable or nondeductible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20"/>
                <w:szCs w:val="20"/>
                <w:color w:val="auto"/>
              </w:rPr>
              <w:t>items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Arial" w:cs="Arial" w:eastAsia="Arial" w:hAnsi="Arial"/>
                <w:sz w:val="20"/>
                <w:szCs w:val="20"/>
                <w:color w:val="auto"/>
                <w:w w:val="95"/>
              </w:rPr>
              <w:t>Share-based payment awards</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(2,148)</w:t>
            </w: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-2.3%</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(1,027)</w:t>
            </w: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-1.7%</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(483)</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Arial" w:cs="Arial" w:eastAsia="Arial" w:hAnsi="Arial"/>
                <w:sz w:val="20"/>
                <w:szCs w:val="20"/>
                <w:color w:val="auto"/>
              </w:rPr>
              <w:t>Change in COLI</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(295)</w:t>
            </w: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-0.3%</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(275)</w:t>
            </w: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-0.4%</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(273)</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Arial" w:cs="Arial" w:eastAsia="Arial" w:hAnsi="Arial"/>
                <w:sz w:val="20"/>
                <w:szCs w:val="20"/>
                <w:color w:val="auto"/>
              </w:rPr>
              <w:t>Intercompany bad debt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1,952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2.1%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1,118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1.8%</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Arial" w:cs="Arial" w:eastAsia="Arial" w:hAnsi="Arial"/>
                <w:sz w:val="20"/>
                <w:szCs w:val="20"/>
                <w:color w:val="auto"/>
              </w:rPr>
              <w:t>Section 162(m) limitation</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476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0.5%</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Arial" w:cs="Arial" w:eastAsia="Arial" w:hAnsi="Arial"/>
                <w:sz w:val="20"/>
                <w:szCs w:val="20"/>
                <w:color w:val="auto"/>
              </w:rPr>
              <w:t>Other</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(50)</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27"/>
        </w:trPr>
        <w:tc>
          <w:tcPr>
            <w:tcW w:w="2760" w:type="dxa"/>
            <w:vAlign w:val="bottom"/>
          </w:tcPr>
          <w:p>
            <w:pPr>
              <w:spacing w:after="0" w:line="227" w:lineRule="exact"/>
              <w:rPr>
                <w:sz w:val="20"/>
                <w:szCs w:val="20"/>
                <w:color w:val="auto"/>
              </w:rPr>
            </w:pPr>
            <w:r>
              <w:rPr>
                <w:rFonts w:ascii="Arial" w:cs="Arial" w:eastAsia="Arial" w:hAnsi="Arial"/>
                <w:sz w:val="20"/>
                <w:szCs w:val="20"/>
                <w:color w:val="auto"/>
              </w:rPr>
              <w:t>Changes in unrecognized tax</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20"/>
                <w:szCs w:val="20"/>
                <w:color w:val="auto"/>
              </w:rPr>
              <w:t>benefits</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(604)</w:t>
            </w:r>
          </w:p>
        </w:tc>
        <w:tc>
          <w:tcPr>
            <w:tcW w:w="2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-0.6%</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(1,696)</w:t>
            </w: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-2.7%</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(4,726)</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20"/>
                <w:szCs w:val="20"/>
                <w:color w:val="auto"/>
              </w:rPr>
              <w:t>Other adjustments</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52</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0.1%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36</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374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20"/>
                <w:szCs w:val="20"/>
                <w:color w:val="auto"/>
              </w:rPr>
              <w:t>Effective tax rate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20"/>
                <w:szCs w:val="20"/>
                <w:color w:val="auto"/>
              </w:rPr>
              <w:t>11.4%</w:t>
            </w:r>
          </w:p>
        </w:tc>
        <w:tc>
          <w:tcPr>
            <w:tcW w:w="0" w:type="dxa"/>
            <w:vAlign w:val="bottom"/>
          </w:tcPr>
          <w:p>
            <w:pPr>
              <w:spacing w:after="0" w:line="20" w:lineRule="exact"/>
              <w:rPr>
                <w:sz w:val="1"/>
                <w:szCs w:val="1"/>
                <w:color w:val="auto"/>
              </w:rPr>
            </w:pPr>
          </w:p>
        </w:tc>
      </w:tr>
      <w:tr>
        <w:trPr>
          <w:trHeight w:val="247"/>
        </w:trPr>
        <w:tc>
          <w:tcPr>
            <w:tcW w:w="276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20,939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22.0%</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12,616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20.5%</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9,470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-191135</wp:posOffset>
            </wp:positionV>
            <wp:extent cx="3663315" cy="2222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63315" cy="222250"/>
                    </a:xfrm>
                    <a:prstGeom prst="rect">
                      <a:avLst/>
                    </a:prstGeom>
                    <a:noFill/>
                  </pic:spPr>
                </pic:pic>
              </a:graphicData>
            </a:graphic>
          </wp:anchor>
        </w:drawing>
      </w:r>
    </w:p>
    <w:p>
      <w:pPr>
        <w:spacing w:after="0" w:line="218" w:lineRule="exact"/>
        <w:rPr>
          <w:sz w:val="20"/>
          <w:szCs w:val="20"/>
          <w:color w:val="auto"/>
        </w:rPr>
      </w:pPr>
    </w:p>
    <w:p>
      <w:pPr>
        <w:spacing w:after="0" w:line="274" w:lineRule="auto"/>
        <w:tabs>
          <w:tab w:leader="none" w:pos="286"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states and local jurisdictions that contribute the majority (greater than 50%) of the tax effect in this category include Minnesota, California, Florida, and New Jersey.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2240" w:h="15840" w:orient="portrait"/>
          <w:cols w:equalWidth="0" w:num="1">
            <w:col w:w="10800"/>
          </w:cols>
          <w:pgMar w:left="720" w:top="555" w:right="720" w:bottom="0" w:gutter="0" w:footer="0" w:header="0"/>
        </w:sectPr>
      </w:pPr>
    </w:p>
    <w:bookmarkStart w:id="84" w:name="page85"/>
    <w:bookmarkEnd w:id="84"/>
    <w:p>
      <w:pPr>
        <w:jc w:val="both"/>
        <w:spacing w:after="0" w:line="255" w:lineRule="auto"/>
        <w:rPr>
          <w:sz w:val="20"/>
          <w:szCs w:val="20"/>
          <w:color w:val="auto"/>
        </w:rPr>
      </w:pPr>
      <w:r>
        <w:rPr>
          <w:rFonts w:ascii="Arial" w:cs="Arial" w:eastAsia="Arial" w:hAnsi="Arial"/>
          <w:sz w:val="20"/>
          <w:szCs w:val="20"/>
          <w:color w:val="auto"/>
        </w:rPr>
        <w:t>Upon adoption of ASU 2023-09, Improvements to Income Tax Disclosures, as described in Note 1, "</w:t>
      </w:r>
      <w:r>
        <w:rPr>
          <w:rFonts w:ascii="Arial" w:cs="Arial" w:eastAsia="Arial" w:hAnsi="Arial"/>
          <w:sz w:val="20"/>
          <w:szCs w:val="20"/>
          <w:i w:val="1"/>
          <w:iCs w:val="1"/>
          <w:color w:val="auto"/>
        </w:rPr>
        <w:t>Description of Business and</w:t>
      </w:r>
      <w:r>
        <w:rPr>
          <w:rFonts w:ascii="Arial" w:cs="Arial" w:eastAsia="Arial" w:hAnsi="Arial"/>
          <w:sz w:val="20"/>
          <w:szCs w:val="20"/>
          <w:color w:val="auto"/>
        </w:rPr>
        <w:t xml:space="preserve">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under the caption “</w:t>
      </w:r>
      <w:r>
        <w:rPr>
          <w:rFonts w:ascii="Arial" w:cs="Arial" w:eastAsia="Arial" w:hAnsi="Arial"/>
          <w:sz w:val="20"/>
          <w:szCs w:val="20"/>
          <w:i w:val="1"/>
          <w:iCs w:val="1"/>
          <w:color w:val="auto"/>
        </w:rPr>
        <w:t xml:space="preserve"> Recently Issued Accounting Standards – Recently Adopted Accounting Standards</w:t>
      </w:r>
      <w:r>
        <w:rPr>
          <w:rFonts w:ascii="Arial" w:cs="Arial" w:eastAsia="Arial" w:hAnsi="Arial"/>
          <w:sz w:val="20"/>
          <w:szCs w:val="20"/>
          <w:color w:val="auto"/>
        </w:rPr>
        <w:t>”, cash paid for income taxes, net of refunds, was as follows:</w:t>
      </w:r>
    </w:p>
    <w:p>
      <w:pPr>
        <w:spacing w:after="0" w:line="186" w:lineRule="exact"/>
        <w:rPr>
          <w:sz w:val="20"/>
          <w:szCs w:val="20"/>
          <w:color w:val="auto"/>
        </w:rPr>
      </w:pPr>
    </w:p>
    <w:tbl>
      <w:tblPr>
        <w:tblLayout w:type="fixed"/>
        <w:tblInd w:w="1080" w:type="dxa"/>
        <w:tblCellMar>
          <w:top w:w="0" w:type="dxa"/>
          <w:left w:w="0" w:type="dxa"/>
          <w:bottom w:w="0" w:type="dxa"/>
          <w:right w:w="0" w:type="dxa"/>
        </w:tblCellMar>
      </w:tblPr>
      <w:tr>
        <w:trPr>
          <w:trHeight w:val="257"/>
        </w:trPr>
        <w:tc>
          <w:tcPr>
            <w:tcW w:w="48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8"/>
          </w:tcPr>
          <w:p>
            <w:pPr>
              <w:ind w:left="540"/>
              <w:spacing w:after="0"/>
              <w:rPr>
                <w:sz w:val="20"/>
                <w:szCs w:val="20"/>
                <w:color w:val="auto"/>
              </w:rPr>
            </w:pPr>
            <w:r>
              <w:rPr>
                <w:rFonts w:ascii="Arial" w:cs="Arial" w:eastAsia="Arial" w:hAnsi="Arial"/>
                <w:sz w:val="20"/>
                <w:szCs w:val="20"/>
                <w:color w:val="auto"/>
                <w:w w:val="88"/>
              </w:rPr>
              <w:t>Years Ended December 31,</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820" w:type="dxa"/>
            <w:vAlign w:val="bottom"/>
            <w:vMerge w:val="restart"/>
          </w:tcPr>
          <w:p>
            <w:pPr>
              <w:spacing w:after="0"/>
              <w:rPr>
                <w:sz w:val="20"/>
                <w:szCs w:val="20"/>
                <w:color w:val="auto"/>
              </w:rPr>
            </w:pPr>
            <w:r>
              <w:rPr>
                <w:rFonts w:ascii="Arial" w:cs="Arial" w:eastAsia="Arial" w:hAnsi="Arial"/>
                <w:sz w:val="20"/>
                <w:szCs w:val="20"/>
                <w:color w:val="auto"/>
              </w:rPr>
              <w:t>Federal</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2025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2024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5"/>
              </w:rPr>
              <w:t>2023</w:t>
            </w:r>
          </w:p>
        </w:tc>
        <w:tc>
          <w:tcPr>
            <w:tcW w:w="0" w:type="dxa"/>
            <w:vAlign w:val="bottom"/>
          </w:tcPr>
          <w:p>
            <w:pPr>
              <w:spacing w:after="0"/>
              <w:rPr>
                <w:sz w:val="1"/>
                <w:szCs w:val="1"/>
                <w:color w:val="auto"/>
              </w:rPr>
            </w:pPr>
          </w:p>
        </w:tc>
      </w:tr>
      <w:tr>
        <w:trPr>
          <w:trHeight w:val="215"/>
        </w:trPr>
        <w:tc>
          <w:tcPr>
            <w:tcW w:w="4820" w:type="dxa"/>
            <w:vAlign w:val="bottom"/>
            <w:vMerge w:val="continue"/>
          </w:tcPr>
          <w:p>
            <w:pPr>
              <w:spacing w:after="0"/>
              <w:rPr>
                <w:sz w:val="18"/>
                <w:szCs w:val="18"/>
                <w:color w:val="auto"/>
              </w:rPr>
            </w:pPr>
          </w:p>
        </w:tc>
        <w:tc>
          <w:tcPr>
            <w:tcW w:w="240" w:type="dxa"/>
            <w:vAlign w:val="bottom"/>
          </w:tcPr>
          <w:p>
            <w:pPr>
              <w:jc w:val="right"/>
              <w:ind w:right="41"/>
              <w:spacing w:after="0" w:line="215"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215" w:lineRule="exact"/>
              <w:rPr>
                <w:sz w:val="20"/>
                <w:szCs w:val="20"/>
                <w:color w:val="auto"/>
              </w:rPr>
            </w:pPr>
            <w:r>
              <w:rPr>
                <w:rFonts w:ascii="Arial" w:cs="Arial" w:eastAsia="Arial" w:hAnsi="Arial"/>
                <w:sz w:val="20"/>
                <w:szCs w:val="20"/>
                <w:color w:val="auto"/>
              </w:rPr>
              <w:t>9,037</w:t>
            </w:r>
          </w:p>
        </w:tc>
        <w:tc>
          <w:tcPr>
            <w:tcW w:w="160" w:type="dxa"/>
            <w:vAlign w:val="bottom"/>
          </w:tcPr>
          <w:p>
            <w:pPr>
              <w:spacing w:after="0"/>
              <w:rPr>
                <w:sz w:val="18"/>
                <w:szCs w:val="18"/>
                <w:color w:val="auto"/>
              </w:rPr>
            </w:pPr>
          </w:p>
        </w:tc>
        <w:tc>
          <w:tcPr>
            <w:tcW w:w="240" w:type="dxa"/>
            <w:vAlign w:val="bottom"/>
          </w:tcPr>
          <w:p>
            <w:pPr>
              <w:jc w:val="right"/>
              <w:ind w:right="41"/>
              <w:spacing w:after="0" w:line="215"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215" w:lineRule="exact"/>
              <w:rPr>
                <w:sz w:val="20"/>
                <w:szCs w:val="20"/>
                <w:color w:val="auto"/>
              </w:rPr>
            </w:pPr>
            <w:r>
              <w:rPr>
                <w:rFonts w:ascii="Arial" w:cs="Arial" w:eastAsia="Arial" w:hAnsi="Arial"/>
                <w:sz w:val="20"/>
                <w:szCs w:val="20"/>
                <w:color w:val="auto"/>
              </w:rPr>
              <w:t>14,671</w:t>
            </w:r>
          </w:p>
        </w:tc>
        <w:tc>
          <w:tcPr>
            <w:tcW w:w="16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Arial" w:cs="Arial" w:eastAsia="Arial" w:hAnsi="Arial"/>
                <w:sz w:val="20"/>
                <w:szCs w:val="20"/>
                <w:color w:val="auto"/>
              </w:rPr>
              <w:t>19,003</w:t>
            </w:r>
          </w:p>
        </w:tc>
        <w:tc>
          <w:tcPr>
            <w:tcW w:w="0" w:type="dxa"/>
            <w:vAlign w:val="bottom"/>
          </w:tcPr>
          <w:p>
            <w:pPr>
              <w:spacing w:after="0"/>
              <w:rPr>
                <w:sz w:val="1"/>
                <w:szCs w:val="1"/>
                <w:color w:val="auto"/>
              </w:rPr>
            </w:pPr>
          </w:p>
        </w:tc>
      </w:tr>
      <w:tr>
        <w:trPr>
          <w:trHeight w:val="239"/>
        </w:trPr>
        <w:tc>
          <w:tcPr>
            <w:tcW w:w="4820" w:type="dxa"/>
            <w:vAlign w:val="bottom"/>
          </w:tcPr>
          <w:p>
            <w:pPr>
              <w:spacing w:after="0"/>
              <w:rPr>
                <w:sz w:val="20"/>
                <w:szCs w:val="20"/>
                <w:color w:val="auto"/>
              </w:rPr>
            </w:pPr>
            <w:r>
              <w:rPr>
                <w:rFonts w:ascii="Arial" w:cs="Arial" w:eastAsia="Arial" w:hAnsi="Arial"/>
                <w:sz w:val="20"/>
                <w:szCs w:val="20"/>
                <w:color w:val="auto"/>
              </w:rPr>
              <w:t>State and Local</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968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1,357</w:t>
            </w:r>
          </w:p>
        </w:tc>
        <w:tc>
          <w:tcPr>
            <w:tcW w:w="0" w:type="dxa"/>
            <w:vAlign w:val="bottom"/>
          </w:tcPr>
          <w:p>
            <w:pPr>
              <w:spacing w:after="0"/>
              <w:rPr>
                <w:sz w:val="1"/>
                <w:szCs w:val="1"/>
                <w:color w:val="auto"/>
              </w:rPr>
            </w:pPr>
          </w:p>
        </w:tc>
      </w:tr>
      <w:tr>
        <w:trPr>
          <w:trHeight w:val="239"/>
        </w:trPr>
        <w:tc>
          <w:tcPr>
            <w:tcW w:w="4820" w:type="dxa"/>
            <w:vAlign w:val="bottom"/>
          </w:tcPr>
          <w:p>
            <w:pPr>
              <w:spacing w:after="0"/>
              <w:rPr>
                <w:sz w:val="20"/>
                <w:szCs w:val="20"/>
                <w:color w:val="auto"/>
              </w:rPr>
            </w:pPr>
            <w:r>
              <w:rPr>
                <w:rFonts w:ascii="Arial" w:cs="Arial" w:eastAsia="Arial" w:hAnsi="Arial"/>
                <w:sz w:val="20"/>
                <w:szCs w:val="20"/>
                <w:color w:val="auto"/>
              </w:rPr>
              <w:t>Foreign</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180"/>
              <w:spacing w:after="0"/>
              <w:rPr>
                <w:sz w:val="20"/>
                <w:szCs w:val="20"/>
                <w:color w:val="auto"/>
              </w:rPr>
            </w:pPr>
            <w:r>
              <w:rPr>
                <w:rFonts w:ascii="Arial" w:cs="Arial" w:eastAsia="Arial" w:hAnsi="Arial"/>
                <w:sz w:val="20"/>
                <w:szCs w:val="20"/>
                <w:color w:val="auto"/>
              </w:rPr>
              <w:t>Slovakia</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1,238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180"/>
              <w:spacing w:after="0"/>
              <w:rPr>
                <w:sz w:val="20"/>
                <w:szCs w:val="20"/>
                <w:color w:val="auto"/>
              </w:rPr>
            </w:pPr>
            <w:r>
              <w:rPr>
                <w:rFonts w:ascii="Arial" w:cs="Arial" w:eastAsia="Arial" w:hAnsi="Arial"/>
                <w:sz w:val="20"/>
                <w:szCs w:val="20"/>
                <w:color w:val="auto"/>
              </w:rPr>
              <w:t>United Kingdom</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2,534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2,561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180"/>
              <w:spacing w:after="0"/>
              <w:rPr>
                <w:sz w:val="20"/>
                <w:szCs w:val="20"/>
                <w:color w:val="auto"/>
              </w:rPr>
            </w:pPr>
            <w:r>
              <w:rPr>
                <w:rFonts w:ascii="Arial" w:cs="Arial" w:eastAsia="Arial" w:hAnsi="Arial"/>
                <w:sz w:val="20"/>
                <w:szCs w:val="20"/>
                <w:color w:val="auto"/>
              </w:rPr>
              <w:t>Macau</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1,638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180"/>
              <w:spacing w:after="0"/>
              <w:rPr>
                <w:sz w:val="20"/>
                <w:szCs w:val="20"/>
                <w:color w:val="auto"/>
              </w:rPr>
            </w:pPr>
            <w:r>
              <w:rPr>
                <w:rFonts w:ascii="Arial" w:cs="Arial" w:eastAsia="Arial" w:hAnsi="Arial"/>
                <w:sz w:val="20"/>
                <w:szCs w:val="20"/>
                <w:color w:val="auto"/>
              </w:rPr>
              <w:t>PRC</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2,098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180"/>
              <w:spacing w:after="0"/>
              <w:rPr>
                <w:sz w:val="20"/>
                <w:szCs w:val="20"/>
                <w:color w:val="auto"/>
              </w:rPr>
            </w:pPr>
            <w:r>
              <w:rPr>
                <w:rFonts w:ascii="Arial" w:cs="Arial" w:eastAsia="Arial" w:hAnsi="Arial"/>
                <w:sz w:val="20"/>
                <w:szCs w:val="20"/>
                <w:color w:val="auto"/>
              </w:rPr>
              <w:t>Israel</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3,798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4820" w:type="dxa"/>
            <w:vAlign w:val="bottom"/>
          </w:tcPr>
          <w:p>
            <w:pPr>
              <w:ind w:left="180"/>
              <w:spacing w:after="0"/>
              <w:rPr>
                <w:sz w:val="20"/>
                <w:szCs w:val="20"/>
                <w:color w:val="auto"/>
              </w:rPr>
            </w:pPr>
            <w:r>
              <w:rPr>
                <w:rFonts w:ascii="Arial" w:cs="Arial" w:eastAsia="Arial" w:hAnsi="Arial"/>
                <w:sz w:val="20"/>
                <w:szCs w:val="20"/>
                <w:color w:val="auto"/>
              </w:rPr>
              <w:t>Other</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2,420</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2,479</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4,696</w:t>
            </w:r>
          </w:p>
        </w:tc>
        <w:tc>
          <w:tcPr>
            <w:tcW w:w="0" w:type="dxa"/>
            <w:vAlign w:val="bottom"/>
          </w:tcPr>
          <w:p>
            <w:pPr>
              <w:spacing w:after="0"/>
              <w:rPr>
                <w:sz w:val="1"/>
                <w:szCs w:val="1"/>
                <w:color w:val="auto"/>
              </w:rPr>
            </w:pPr>
          </w:p>
        </w:tc>
      </w:tr>
      <w:tr>
        <w:trPr>
          <w:trHeight w:val="233"/>
        </w:trPr>
        <w:tc>
          <w:tcPr>
            <w:tcW w:w="4820" w:type="dxa"/>
            <w:vAlign w:val="bottom"/>
          </w:tcPr>
          <w:p>
            <w:pPr>
              <w:spacing w:after="0"/>
              <w:rPr>
                <w:sz w:val="20"/>
                <w:szCs w:val="20"/>
                <w:color w:val="auto"/>
              </w:rPr>
            </w:pPr>
            <w:r>
              <w:rPr>
                <w:rFonts w:ascii="Arial" w:cs="Arial" w:eastAsia="Arial" w:hAnsi="Arial"/>
                <w:sz w:val="20"/>
                <w:szCs w:val="20"/>
                <w:color w:val="auto"/>
              </w:rPr>
              <w:t>Total foreign taxes paid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13,726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7,061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4,696</w:t>
            </w:r>
          </w:p>
        </w:tc>
        <w:tc>
          <w:tcPr>
            <w:tcW w:w="0" w:type="dxa"/>
            <w:vAlign w:val="bottom"/>
          </w:tcPr>
          <w:p>
            <w:pPr>
              <w:spacing w:after="0"/>
              <w:rPr>
                <w:sz w:val="1"/>
                <w:szCs w:val="1"/>
                <w:color w:val="auto"/>
              </w:rPr>
            </w:pPr>
          </w:p>
        </w:tc>
      </w:tr>
      <w:tr>
        <w:trPr>
          <w:trHeight w:val="247"/>
        </w:trPr>
        <w:tc>
          <w:tcPr>
            <w:tcW w:w="4820" w:type="dxa"/>
            <w:vAlign w:val="bottom"/>
          </w:tcPr>
          <w:p>
            <w:pPr>
              <w:ind w:left="180"/>
              <w:spacing w:after="0"/>
              <w:rPr>
                <w:sz w:val="20"/>
                <w:szCs w:val="20"/>
                <w:color w:val="auto"/>
              </w:rPr>
            </w:pPr>
            <w:r>
              <w:rPr>
                <w:rFonts w:ascii="Arial" w:cs="Arial" w:eastAsia="Arial" w:hAnsi="Arial"/>
                <w:sz w:val="20"/>
                <w:szCs w:val="20"/>
                <w:color w:val="auto"/>
              </w:rPr>
              <w:t>Total income taxes paid</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23,731</w:t>
            </w:r>
          </w:p>
        </w:tc>
        <w:tc>
          <w:tcPr>
            <w:tcW w:w="16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22,952</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-191135</wp:posOffset>
            </wp:positionV>
            <wp:extent cx="2409190" cy="2222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09190" cy="222250"/>
                    </a:xfrm>
                    <a:prstGeom prst="rect">
                      <a:avLst/>
                    </a:prstGeom>
                    <a:noFill/>
                  </pic:spPr>
                </pic:pic>
              </a:graphicData>
            </a:graphic>
          </wp:anchor>
        </w:drawing>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December 31, 2025 and 2024, the Company has gross foreign net operating losses (“NOLs”) of $14.8 million and $14.4 million which amount to $3.9 million of deferred tax assets for each period. The Company has no federal or state NOLs during these periods. In addition, the Company has $0.2 million and $0.3 million of credit carryforwards for each period. The Company believes that it is more likely than not that the benefit arising from certain NOL, credit carryforwards and acquisition assets will not be realized. In recognition of this risk, the Company has provided a valuation allowance of $2.1 million and $1.8 million on these deferred tax assets for each period. The federal and certain foreign NOLs can be carried forward indefinitely, the state and certain foreign NOLs expire at various times during 2029 – 2044 and the tax credit carryforwards expire at various times during 2032 – 2044.</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As of December 31, 2025, we are not indefinitely reinvested with respect to undistributed earnings from some of our Asian subsidiaries. There was no material deferred tax expense recorded for foreign tax costs associated with the future remittance of these undistributed earnings. The Company remains permanently reinvested with respect to undistributed earnings from our other foreign subsidiaries. It is not practicable to estimate the amount of deferred tax liability, if any, with respect to these permanently reinvested undistributed earnings.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040" w:type="dxa"/>
            <w:vAlign w:val="bottom"/>
          </w:tcPr>
          <w:p>
            <w:pPr>
              <w:spacing w:after="0"/>
              <w:rPr>
                <w:sz w:val="20"/>
                <w:szCs w:val="20"/>
                <w:color w:val="auto"/>
              </w:rPr>
            </w:pPr>
            <w:r>
              <w:rPr>
                <w:rFonts w:ascii="Arial" w:cs="Arial" w:eastAsia="Arial" w:hAnsi="Arial"/>
                <w:sz w:val="20"/>
                <w:szCs w:val="20"/>
                <w:color w:val="auto"/>
              </w:rPr>
              <w:t>Components of deferred income tax assets and liabilities are as follows: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7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6"/>
          </w:tcPr>
          <w:p>
            <w:pPr>
              <w:jc w:val="right"/>
              <w:ind w:right="108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29"/>
        </w:trPr>
        <w:tc>
          <w:tcPr>
            <w:tcW w:w="70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441"/>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40" w:type="dxa"/>
            <w:vAlign w:val="bottom"/>
            <w:vMerge w:val="restart"/>
          </w:tcPr>
          <w:p>
            <w:pPr>
              <w:ind w:left="540"/>
              <w:spacing w:after="0"/>
              <w:rPr>
                <w:sz w:val="20"/>
                <w:szCs w:val="20"/>
                <w:color w:val="auto"/>
              </w:rPr>
            </w:pPr>
            <w:r>
              <w:rPr>
                <w:rFonts w:ascii="Arial" w:cs="Arial" w:eastAsia="Arial" w:hAnsi="Arial"/>
                <w:sz w:val="20"/>
                <w:szCs w:val="20"/>
                <w:color w:val="auto"/>
              </w:rPr>
              <w:t>Deferred tax assets:</w:t>
            </w:r>
          </w:p>
        </w:tc>
        <w:tc>
          <w:tcPr>
            <w:tcW w:w="22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20"/>
                <w:szCs w:val="20"/>
                <w:color w:val="auto"/>
              </w:rPr>
              <w:t>Tax Effect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20"/>
                <w:szCs w:val="20"/>
                <w:color w:val="auto"/>
              </w:rPr>
              <w:t>Tax Effect</w:t>
            </w:r>
          </w:p>
        </w:tc>
        <w:tc>
          <w:tcPr>
            <w:tcW w:w="0" w:type="dxa"/>
            <w:vAlign w:val="bottom"/>
          </w:tcPr>
          <w:p>
            <w:pPr>
              <w:spacing w:after="0"/>
              <w:rPr>
                <w:sz w:val="1"/>
                <w:szCs w:val="1"/>
                <w:color w:val="auto"/>
              </w:rPr>
            </w:pPr>
          </w:p>
        </w:tc>
      </w:tr>
      <w:tr>
        <w:trPr>
          <w:trHeight w:val="215"/>
        </w:trPr>
        <w:tc>
          <w:tcPr>
            <w:tcW w:w="70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040" w:type="dxa"/>
            <w:vAlign w:val="bottom"/>
          </w:tcPr>
          <w:p>
            <w:pPr>
              <w:ind w:left="720"/>
              <w:spacing w:after="0"/>
              <w:rPr>
                <w:sz w:val="20"/>
                <w:szCs w:val="20"/>
                <w:color w:val="auto"/>
              </w:rPr>
            </w:pPr>
            <w:r>
              <w:rPr>
                <w:rFonts w:ascii="Arial" w:cs="Arial" w:eastAsia="Arial" w:hAnsi="Arial"/>
                <w:sz w:val="20"/>
                <w:szCs w:val="20"/>
                <w:color w:val="auto"/>
              </w:rPr>
              <w:t>State tax credits</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40" w:type="dxa"/>
            <w:vAlign w:val="bottom"/>
          </w:tcPr>
          <w:p>
            <w:pPr>
              <w:ind w:left="720"/>
              <w:spacing w:after="0"/>
              <w:rPr>
                <w:sz w:val="20"/>
                <w:szCs w:val="20"/>
                <w:color w:val="auto"/>
              </w:rPr>
            </w:pPr>
            <w:r>
              <w:rPr>
                <w:rFonts w:ascii="Arial" w:cs="Arial" w:eastAsia="Arial" w:hAnsi="Arial"/>
                <w:sz w:val="20"/>
                <w:szCs w:val="20"/>
                <w:color w:val="auto"/>
              </w:rPr>
              <w:t>Reserves and accruals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6,846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6,970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40" w:type="dxa"/>
            <w:vAlign w:val="bottom"/>
          </w:tcPr>
          <w:p>
            <w:pPr>
              <w:ind w:left="720"/>
              <w:spacing w:after="0"/>
              <w:rPr>
                <w:sz w:val="20"/>
                <w:szCs w:val="20"/>
                <w:color w:val="auto"/>
              </w:rPr>
            </w:pPr>
            <w:r>
              <w:rPr>
                <w:rFonts w:ascii="Arial" w:cs="Arial" w:eastAsia="Arial" w:hAnsi="Arial"/>
                <w:sz w:val="20"/>
                <w:szCs w:val="20"/>
                <w:color w:val="auto"/>
              </w:rPr>
              <w:t>Federal, state and foreign net operating loss and credit carryforwards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4,448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4,247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40" w:type="dxa"/>
            <w:vAlign w:val="bottom"/>
          </w:tcPr>
          <w:p>
            <w:pPr>
              <w:ind w:left="720"/>
              <w:spacing w:after="0"/>
              <w:rPr>
                <w:sz w:val="20"/>
                <w:szCs w:val="20"/>
                <w:color w:val="auto"/>
              </w:rPr>
            </w:pPr>
            <w:r>
              <w:rPr>
                <w:rFonts w:ascii="Arial" w:cs="Arial" w:eastAsia="Arial" w:hAnsi="Arial"/>
                <w:sz w:val="20"/>
                <w:szCs w:val="20"/>
                <w:color w:val="auto"/>
              </w:rPr>
              <w:t>Depreciation</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367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40" w:type="dxa"/>
            <w:vAlign w:val="bottom"/>
          </w:tcPr>
          <w:p>
            <w:pPr>
              <w:ind w:left="720"/>
              <w:spacing w:after="0"/>
              <w:rPr>
                <w:sz w:val="20"/>
                <w:szCs w:val="20"/>
                <w:color w:val="auto"/>
              </w:rPr>
            </w:pPr>
            <w:r>
              <w:rPr>
                <w:rFonts w:ascii="Arial" w:cs="Arial" w:eastAsia="Arial" w:hAnsi="Arial"/>
                <w:sz w:val="20"/>
                <w:szCs w:val="20"/>
                <w:color w:val="auto"/>
              </w:rPr>
              <w:t>Amortization</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8,829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9,845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40" w:type="dxa"/>
            <w:vAlign w:val="bottom"/>
          </w:tcPr>
          <w:p>
            <w:pPr>
              <w:ind w:left="720"/>
              <w:spacing w:after="0"/>
              <w:rPr>
                <w:sz w:val="20"/>
                <w:szCs w:val="20"/>
                <w:color w:val="auto"/>
              </w:rPr>
            </w:pPr>
            <w:r>
              <w:rPr>
                <w:rFonts w:ascii="Arial" w:cs="Arial" w:eastAsia="Arial" w:hAnsi="Arial"/>
                <w:sz w:val="20"/>
                <w:szCs w:val="20"/>
                <w:color w:val="auto"/>
              </w:rPr>
              <w:t>Lease accounting</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5,402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6,157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040" w:type="dxa"/>
            <w:vAlign w:val="bottom"/>
          </w:tcPr>
          <w:p>
            <w:pPr>
              <w:ind w:left="720"/>
              <w:spacing w:after="0"/>
              <w:rPr>
                <w:sz w:val="20"/>
                <w:szCs w:val="20"/>
                <w:color w:val="auto"/>
              </w:rPr>
            </w:pPr>
            <w:r>
              <w:rPr>
                <w:rFonts w:ascii="Arial" w:cs="Arial" w:eastAsia="Arial" w:hAnsi="Arial"/>
                <w:sz w:val="20"/>
                <w:szCs w:val="20"/>
                <w:color w:val="auto"/>
              </w:rPr>
              <w:t>Other accruals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5,319</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6,054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040" w:type="dxa"/>
            <w:vAlign w:val="bottom"/>
          </w:tcPr>
          <w:p>
            <w:pPr>
              <w:ind w:left="900"/>
              <w:spacing w:after="0"/>
              <w:rPr>
                <w:sz w:val="20"/>
                <w:szCs w:val="20"/>
                <w:color w:val="auto"/>
              </w:rPr>
            </w:pPr>
            <w:r>
              <w:rPr>
                <w:rFonts w:ascii="Arial" w:cs="Arial" w:eastAsia="Arial" w:hAnsi="Arial"/>
                <w:sz w:val="20"/>
                <w:szCs w:val="20"/>
                <w:color w:val="auto"/>
              </w:rPr>
              <w:t>Total deferred tax assets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31,211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33,747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040" w:type="dxa"/>
            <w:vAlign w:val="bottom"/>
          </w:tcPr>
          <w:p>
            <w:pPr>
              <w:ind w:left="720"/>
              <w:spacing w:after="0"/>
              <w:rPr>
                <w:sz w:val="20"/>
                <w:szCs w:val="20"/>
                <w:color w:val="auto"/>
              </w:rPr>
            </w:pPr>
            <w:r>
              <w:rPr>
                <w:rFonts w:ascii="Arial" w:cs="Arial" w:eastAsia="Arial" w:hAnsi="Arial"/>
                <w:sz w:val="20"/>
                <w:szCs w:val="20"/>
                <w:color w:val="auto"/>
              </w:rPr>
              <w:t>Valuation allowance</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2,057</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1,844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040" w:type="dxa"/>
            <w:vAlign w:val="bottom"/>
          </w:tcPr>
          <w:p>
            <w:pPr>
              <w:ind w:left="540"/>
              <w:spacing w:after="0"/>
              <w:rPr>
                <w:sz w:val="20"/>
                <w:szCs w:val="20"/>
                <w:color w:val="auto"/>
              </w:rPr>
            </w:pPr>
            <w:r>
              <w:rPr>
                <w:rFonts w:ascii="Arial" w:cs="Arial" w:eastAsia="Arial" w:hAnsi="Arial"/>
                <w:sz w:val="20"/>
                <w:szCs w:val="20"/>
                <w:color w:val="auto"/>
              </w:rPr>
              <w:t>Net deferred tax assets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29,154</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31,903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040" w:type="dxa"/>
            <w:vAlign w:val="bottom"/>
          </w:tcPr>
          <w:p>
            <w:pPr>
              <w:ind w:left="540"/>
              <w:spacing w:after="0" w:line="215" w:lineRule="exact"/>
              <w:rPr>
                <w:sz w:val="20"/>
                <w:szCs w:val="20"/>
                <w:color w:val="auto"/>
              </w:rPr>
            </w:pPr>
            <w:r>
              <w:rPr>
                <w:rFonts w:ascii="Arial" w:cs="Arial" w:eastAsia="Arial" w:hAnsi="Arial"/>
                <w:sz w:val="20"/>
                <w:szCs w:val="20"/>
                <w:color w:val="auto"/>
              </w:rPr>
              <w:t>Deferred tax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040" w:type="dxa"/>
            <w:vAlign w:val="bottom"/>
          </w:tcPr>
          <w:p>
            <w:pPr>
              <w:ind w:left="720"/>
              <w:spacing w:after="0"/>
              <w:rPr>
                <w:sz w:val="20"/>
                <w:szCs w:val="20"/>
                <w:color w:val="auto"/>
              </w:rPr>
            </w:pPr>
            <w:r>
              <w:rPr>
                <w:rFonts w:ascii="Arial" w:cs="Arial" w:eastAsia="Arial" w:hAnsi="Arial"/>
                <w:sz w:val="20"/>
                <w:szCs w:val="20"/>
                <w:color w:val="auto"/>
              </w:rPr>
              <w:t>Unfunded pension liability</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40" w:type="dxa"/>
            <w:vAlign w:val="bottom"/>
          </w:tcPr>
          <w:p>
            <w:pPr>
              <w:ind w:left="720"/>
              <w:spacing w:after="0"/>
              <w:rPr>
                <w:sz w:val="20"/>
                <w:szCs w:val="20"/>
                <w:color w:val="auto"/>
              </w:rPr>
            </w:pPr>
            <w:r>
              <w:rPr>
                <w:rFonts w:ascii="Arial" w:cs="Arial" w:eastAsia="Arial" w:hAnsi="Arial"/>
                <w:sz w:val="20"/>
                <w:szCs w:val="20"/>
                <w:color w:val="auto"/>
              </w:rPr>
              <w:t>Depreciation</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2,177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2,685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40" w:type="dxa"/>
            <w:vAlign w:val="bottom"/>
          </w:tcPr>
          <w:p>
            <w:pPr>
              <w:ind w:left="720"/>
              <w:spacing w:after="0"/>
              <w:rPr>
                <w:sz w:val="20"/>
                <w:szCs w:val="20"/>
                <w:color w:val="auto"/>
              </w:rPr>
            </w:pPr>
            <w:r>
              <w:rPr>
                <w:rFonts w:ascii="Arial" w:cs="Arial" w:eastAsia="Arial" w:hAnsi="Arial"/>
                <w:sz w:val="20"/>
                <w:szCs w:val="20"/>
                <w:color w:val="auto"/>
              </w:rPr>
              <w:t>Amortization</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36,637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34,903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40" w:type="dxa"/>
            <w:vAlign w:val="bottom"/>
          </w:tcPr>
          <w:p>
            <w:pPr>
              <w:ind w:left="720"/>
              <w:spacing w:after="0"/>
              <w:rPr>
                <w:sz w:val="20"/>
                <w:szCs w:val="20"/>
                <w:color w:val="auto"/>
              </w:rPr>
            </w:pPr>
            <w:r>
              <w:rPr>
                <w:rFonts w:ascii="Arial" w:cs="Arial" w:eastAsia="Arial" w:hAnsi="Arial"/>
                <w:sz w:val="20"/>
                <w:szCs w:val="20"/>
                <w:color w:val="auto"/>
              </w:rPr>
              <w:t>Lease accounting</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5,231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5,960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040" w:type="dxa"/>
            <w:vAlign w:val="bottom"/>
          </w:tcPr>
          <w:p>
            <w:pPr>
              <w:ind w:left="720"/>
              <w:spacing w:after="0"/>
              <w:rPr>
                <w:sz w:val="20"/>
                <w:szCs w:val="20"/>
                <w:color w:val="auto"/>
              </w:rPr>
            </w:pPr>
            <w:r>
              <w:rPr>
                <w:rFonts w:ascii="Arial" w:cs="Arial" w:eastAsia="Arial" w:hAnsi="Arial"/>
                <w:sz w:val="20"/>
                <w:szCs w:val="20"/>
                <w:color w:val="auto"/>
              </w:rPr>
              <w:t>Other accruals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1,690</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040" w:type="dxa"/>
            <w:vAlign w:val="bottom"/>
          </w:tcPr>
          <w:p>
            <w:pPr>
              <w:ind w:left="900"/>
              <w:spacing w:after="0"/>
              <w:rPr>
                <w:sz w:val="20"/>
                <w:szCs w:val="20"/>
                <w:color w:val="auto"/>
              </w:rPr>
            </w:pPr>
            <w:r>
              <w:rPr>
                <w:rFonts w:ascii="Arial" w:cs="Arial" w:eastAsia="Arial" w:hAnsi="Arial"/>
                <w:sz w:val="20"/>
                <w:szCs w:val="20"/>
                <w:color w:val="auto"/>
              </w:rPr>
              <w:t>Total deferred tax liabilities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45,995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44,389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40" w:type="dxa"/>
            <w:vAlign w:val="bottom"/>
          </w:tcPr>
          <w:p>
            <w:pPr>
              <w:ind w:left="900"/>
              <w:spacing w:after="0"/>
              <w:rPr>
                <w:sz w:val="20"/>
                <w:szCs w:val="20"/>
                <w:color w:val="auto"/>
              </w:rPr>
            </w:pPr>
            <w:r>
              <w:rPr>
                <w:rFonts w:ascii="Arial" w:cs="Arial" w:eastAsia="Arial" w:hAnsi="Arial"/>
                <w:sz w:val="20"/>
                <w:szCs w:val="20"/>
                <w:color w:val="auto"/>
              </w:rPr>
              <w:t>Net deferred tax liabilities</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(16,841)</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(12,486)</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-191135</wp:posOffset>
            </wp:positionV>
            <wp:extent cx="2020570" cy="2222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205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2240" w:h="15840" w:orient="portrait"/>
          <w:cols w:equalWidth="0" w:num="1">
            <w:col w:w="10800"/>
          </w:cols>
          <w:pgMar w:left="720" w:top="555" w:right="720" w:bottom="0" w:gutter="0" w:footer="0" w:header="0"/>
        </w:sectPr>
      </w:pPr>
    </w:p>
    <w:bookmarkStart w:id="85" w:name="page86"/>
    <w:bookmarkEnd w:id="85"/>
    <w:p>
      <w:pPr>
        <w:jc w:val="both"/>
        <w:spacing w:after="0" w:line="250" w:lineRule="auto"/>
        <w:rPr>
          <w:sz w:val="20"/>
          <w:szCs w:val="20"/>
          <w:color w:val="auto"/>
        </w:rPr>
      </w:pPr>
      <w:r>
        <w:rPr>
          <w:rFonts w:ascii="Arial" w:cs="Arial" w:eastAsia="Arial" w:hAnsi="Arial"/>
          <w:sz w:val="20"/>
          <w:szCs w:val="20"/>
          <w:color w:val="auto"/>
        </w:rPr>
        <w:t>At December 31, 2025, 2024 and 2023, the Company has approximately $17.5 million, $18.1 million and $19.8 million, respectively, of liabilities for uncertain tax positions. These amounts, if recognized, would reduce the Company’s effective tax rate. As of December 31, 2025, approximately $2.0 million of the Company’s liabilities for uncertain tax positions are expected to be resolved during the next twelve months by way of expiration of the related statutes of limitations.</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 reconciliation of the beginning and ending amount of the liability for uncertain tax positions, including the portion included in income taxes payable, is as follows:</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254"/>
        </w:trPr>
        <w:tc>
          <w:tcPr>
            <w:tcW w:w="5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900" w:type="dxa"/>
            <w:vAlign w:val="bottom"/>
            <w:gridSpan w:val="6"/>
          </w:tcPr>
          <w:p>
            <w:pPr>
              <w:jc w:val="right"/>
              <w:ind w:right="580"/>
              <w:spacing w:after="0"/>
              <w:rPr>
                <w:sz w:val="20"/>
                <w:szCs w:val="20"/>
                <w:color w:val="auto"/>
              </w:rPr>
            </w:pPr>
            <w:r>
              <w:rPr>
                <w:rFonts w:ascii="Arial" w:cs="Arial" w:eastAsia="Arial" w:hAnsi="Arial"/>
                <w:sz w:val="20"/>
                <w:szCs w:val="20"/>
                <w:color w:val="auto"/>
                <w:w w:val="97"/>
              </w:rPr>
              <w:t>Year Ended December 31,</w:t>
            </w:r>
          </w:p>
        </w:tc>
        <w:tc>
          <w:tcPr>
            <w:tcW w:w="0" w:type="dxa"/>
            <w:vAlign w:val="bottom"/>
          </w:tcPr>
          <w:p>
            <w:pPr>
              <w:spacing w:after="0"/>
              <w:rPr>
                <w:sz w:val="1"/>
                <w:szCs w:val="1"/>
                <w:color w:val="auto"/>
              </w:rPr>
            </w:pPr>
          </w:p>
        </w:tc>
      </w:tr>
      <w:tr>
        <w:trPr>
          <w:trHeight w:val="231"/>
        </w:trPr>
        <w:tc>
          <w:tcPr>
            <w:tcW w:w="5440" w:type="dxa"/>
            <w:vAlign w:val="bottom"/>
            <w:vMerge w:val="restart"/>
          </w:tcPr>
          <w:p>
            <w:pPr>
              <w:spacing w:after="0"/>
              <w:rPr>
                <w:sz w:val="20"/>
                <w:szCs w:val="20"/>
                <w:color w:val="auto"/>
              </w:rPr>
            </w:pPr>
            <w:r>
              <w:rPr>
                <w:rFonts w:ascii="Arial" w:cs="Arial" w:eastAsia="Arial" w:hAnsi="Arial"/>
                <w:sz w:val="20"/>
                <w:szCs w:val="20"/>
                <w:color w:val="auto"/>
              </w:rPr>
              <w:t>Liability for uncertain tax positions - January 1</w:t>
            </w:r>
          </w:p>
        </w:tc>
        <w:tc>
          <w:tcPr>
            <w:tcW w:w="3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gridSpan w:val="2"/>
          </w:tcPr>
          <w:p>
            <w:pPr>
              <w:jc w:val="right"/>
              <w:ind w:right="441"/>
              <w:spacing w:after="0"/>
              <w:rPr>
                <w:sz w:val="20"/>
                <w:szCs w:val="20"/>
                <w:color w:val="auto"/>
              </w:rPr>
            </w:pPr>
            <w:r>
              <w:rPr>
                <w:rFonts w:ascii="Arial" w:cs="Arial" w:eastAsia="Arial" w:hAnsi="Arial"/>
                <w:sz w:val="20"/>
                <w:szCs w:val="20"/>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vMerge w:val="continue"/>
          </w:tcPr>
          <w:p>
            <w:pPr>
              <w:spacing w:after="0"/>
              <w:rPr>
                <w:sz w:val="18"/>
                <w:szCs w:val="18"/>
                <w:color w:val="auto"/>
              </w:rPr>
            </w:pPr>
          </w:p>
        </w:tc>
        <w:tc>
          <w:tcPr>
            <w:tcW w:w="300" w:type="dxa"/>
            <w:vAlign w:val="bottom"/>
          </w:tcPr>
          <w:p>
            <w:pPr>
              <w:jc w:val="right"/>
              <w:ind w:right="101"/>
              <w:spacing w:after="0" w:line="215" w:lineRule="exact"/>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line="215" w:lineRule="exact"/>
              <w:rPr>
                <w:sz w:val="20"/>
                <w:szCs w:val="20"/>
                <w:color w:val="auto"/>
              </w:rPr>
            </w:pPr>
            <w:r>
              <w:rPr>
                <w:rFonts w:ascii="Arial" w:cs="Arial" w:eastAsia="Arial" w:hAnsi="Arial"/>
                <w:sz w:val="20"/>
                <w:szCs w:val="20"/>
                <w:color w:val="auto"/>
              </w:rPr>
              <w:t>18,127</w:t>
            </w:r>
          </w:p>
        </w:tc>
        <w:tc>
          <w:tcPr>
            <w:tcW w:w="16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19,823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Arial" w:cs="Arial" w:eastAsia="Arial" w:hAnsi="Arial"/>
                <w:sz w:val="20"/>
                <w:szCs w:val="20"/>
                <w:color w:val="auto"/>
              </w:rPr>
              <w:t>Additions based on tax positions related to the current year</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1,053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Arial" w:cs="Arial" w:eastAsia="Arial" w:hAnsi="Arial"/>
                <w:sz w:val="20"/>
                <w:szCs w:val="20"/>
                <w:color w:val="auto"/>
              </w:rPr>
              <w:t>Translation adjustment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40" w:type="dxa"/>
            <w:vAlign w:val="bottom"/>
          </w:tcPr>
          <w:p>
            <w:pPr>
              <w:spacing w:after="0"/>
              <w:rPr>
                <w:sz w:val="20"/>
                <w:szCs w:val="20"/>
                <w:color w:val="auto"/>
              </w:rPr>
            </w:pPr>
            <w:r>
              <w:rPr>
                <w:rFonts w:ascii="Arial" w:cs="Arial" w:eastAsia="Arial" w:hAnsi="Arial"/>
                <w:sz w:val="20"/>
                <w:szCs w:val="20"/>
                <w:color w:val="auto"/>
              </w:rPr>
              <w:t>Settlement/expiration of statutes of limitations</w:t>
            </w:r>
          </w:p>
        </w:tc>
        <w:tc>
          <w:tcPr>
            <w:tcW w:w="30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(1,267)</w:t>
            </w:r>
          </w:p>
        </w:tc>
        <w:tc>
          <w:tcPr>
            <w:tcW w:w="12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rPr>
              <w:t>(2,749)</w:t>
            </w:r>
          </w:p>
        </w:tc>
        <w:tc>
          <w:tcPr>
            <w:tcW w:w="0" w:type="dxa"/>
            <w:vAlign w:val="bottom"/>
          </w:tcPr>
          <w:p>
            <w:pPr>
              <w:spacing w:after="0"/>
              <w:rPr>
                <w:sz w:val="1"/>
                <w:szCs w:val="1"/>
                <w:color w:val="auto"/>
              </w:rPr>
            </w:pPr>
          </w:p>
        </w:tc>
      </w:tr>
      <w:tr>
        <w:trPr>
          <w:trHeight w:val="247"/>
        </w:trPr>
        <w:tc>
          <w:tcPr>
            <w:tcW w:w="5440" w:type="dxa"/>
            <w:vAlign w:val="bottom"/>
          </w:tcPr>
          <w:p>
            <w:pPr>
              <w:spacing w:after="0"/>
              <w:rPr>
                <w:sz w:val="20"/>
                <w:szCs w:val="20"/>
                <w:color w:val="auto"/>
              </w:rPr>
            </w:pPr>
            <w:r>
              <w:rPr>
                <w:rFonts w:ascii="Arial" w:cs="Arial" w:eastAsia="Arial" w:hAnsi="Arial"/>
                <w:sz w:val="20"/>
                <w:szCs w:val="20"/>
                <w:color w:val="auto"/>
              </w:rPr>
              <w:t>Liability for uncertain tax positions - December 31</w:t>
            </w:r>
          </w:p>
        </w:tc>
        <w:tc>
          <w:tcPr>
            <w:tcW w:w="30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17,524</w:t>
            </w:r>
          </w:p>
        </w:tc>
        <w:tc>
          <w:tcPr>
            <w:tcW w:w="16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-191135</wp:posOffset>
            </wp:positionV>
            <wp:extent cx="2023110" cy="2222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23110" cy="222250"/>
                    </a:xfrm>
                    <a:prstGeom prst="rect">
                      <a:avLst/>
                    </a:prstGeom>
                    <a:noFill/>
                  </pic:spPr>
                </pic:pic>
              </a:graphicData>
            </a:graphic>
          </wp:anchor>
        </w:drawing>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Company’s policy is to recognize interest and penalties related to uncertain tax positions as a component of the current provision for income taxes. During the years ended December 31, 2025, 2024 and 2023, the Company recognized $0.2 million, $0.3 million and $0.4 million, respectively, in interest and penalties in the consolidated statements of operations. During the years ended December 31, 2025, 2024 and 2023, the Company recognized a benefit of $0.4 million, $1.1 million and $2.3 million, respectively, for the reversal of such interest and penalties, relating to the expiration of statues of limitations and settlement of the acquired liability for uncertain tax positions. The Company has approximately $1.1 million, $1.2 million and $2.0 million accrued for the payment of interest and penalties at December 31, 2025, 2024 and 2023, respectively, which is included in both income taxes payable and liability for uncertain tax positions in the consolidated balance sheets.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11. DEBT</w:t>
      </w: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has a Credit and Security Agreement with KeyBank National Association (as amended, the "Credit Agreement" or the "CSA") which currently provides for a maximum revolving credit facility of $400 million. Prior to May 2, 2025, the CSA had provided for a $325 million maximum revolving amount, approximately $240 million of which had been drawn in incremental borrowings in November 2024 in order to finance a substantial portion of the closing cash payment associated with the Enercon acquisition. On May 2, 2025, Bel entered into a Fourth Amendment Agreement (the “Fourth Amendment”) to the Credit Agreement, which made certain amendments to the Credit Agreement including: (i) increasing the maximum revolving amount from $325 million to $400 million pursuant to Section 2.10(b)(i)(A) of the Credit Agreement; (ii) extending the commitment period (and the final maturity for revolving loans borrowed under the Credit Agreement) to September 1, 2028; and (iii) providing an incremental extension of credit to the Company of $75 million concurrently with the effectiveness of the Fourth Amendment, consisting of (x) a $50 million commitment from Wells Fargo Bank, N.A., which joined the Credit Agreement as a new revolving lender pursuant to the Fourth Amendment, and (y) an aggregate $25 million commitment increase, on a pro rata basis, from the existing lenders party to the Credit Agreement.</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Pursuant to the Fourth Amendment, the parties additionally agreed to the text of a Conformed Amended and Restated Credit and Security Agreement (the “Conformed Amended and Restated Credit and Security Agreement”), which amended and restated the text of the Credit Agreement including so as to reflect and integrate the changes implemented pursuant to the Fourth Amendment, as well as the changes implemented pursuant to the previously disclosed First Amendment Agreement dated as of January 12, 2023, the Second Amendment Agreement dated as of September 18, 2024 and the Third Amendment Agreement dated as of November 14, 2024.</w:t>
      </w:r>
    </w:p>
    <w:p>
      <w:pPr>
        <w:spacing w:after="0" w:line="19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At December 31, 2025 and 2024, outstanding borrowings under the revolver amounted to $197.5 million and $287.5 million, respectively. The unused credit available under the credit facility was $202.5 million at December 31, 2025 and $ 37.5 million at December 31, 2024. The Company incurred $14.8 million, $4.1 million, and $2.9 million of interest expense during the years ended December 31, 2025 2024, and 2023, respectively, in connection with interest due on its outstanding borrowings under the CSA during each period, including the effects of the 2021 Swaps (as hereinafter defined) and amortization of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2240" w:h="15840" w:orient="portrait"/>
          <w:cols w:equalWidth="0" w:num="1">
            <w:col w:w="10800"/>
          </w:cols>
          <w:pgMar w:left="720" w:top="555" w:right="720" w:bottom="0" w:gutter="0" w:footer="0" w:header="0"/>
        </w:sectPr>
      </w:pPr>
    </w:p>
    <w:bookmarkStart w:id="86" w:name="page87"/>
    <w:bookmarkEnd w:id="86"/>
    <w:p>
      <w:pPr>
        <w:jc w:val="both"/>
        <w:spacing w:after="0" w:line="256" w:lineRule="auto"/>
        <w:rPr>
          <w:sz w:val="20"/>
          <w:szCs w:val="20"/>
          <w:color w:val="auto"/>
        </w:rPr>
      </w:pPr>
      <w:r>
        <w:rPr>
          <w:rFonts w:ascii="Arial" w:cs="Arial" w:eastAsia="Arial" w:hAnsi="Arial"/>
          <w:sz w:val="19"/>
          <w:szCs w:val="19"/>
          <w:color w:val="auto"/>
        </w:rPr>
        <w:t xml:space="preserve">The effective rate of interest for our total outstanding borrowings, including the impact of the 2021 Swaps discussed below, was 4.42% and 5.47%, respectively, as of December 31, 2025 and December 31, 2024. The interest rate in effect for the fixed-rate portion of our outstanding borrowings ($60 million at each of December 31, 2025 and 2024) was 2.59% and 2.84% at December 31, 2025 and 2024, respectively. The weighted-average interest rate in effect for the variable-rate portion of our outstanding borrowings ($137.5 million at December 31, 2025) was 3.63% at December 31, 2025, and consisted of SOFR plus the Company’s credit spread at December 31, 2025, as determined per the terms of the CSA. No outstanding borrowings were subject to a variable interest rate at December 31, 2024. In order to manage our interest rate exposure on the remaining borrowings, and as further described in Note 13, </w:t>
      </w:r>
      <w:r>
        <w:rPr>
          <w:rFonts w:ascii="Arial" w:cs="Arial" w:eastAsia="Arial" w:hAnsi="Arial"/>
          <w:sz w:val="19"/>
          <w:szCs w:val="19"/>
          <w:i w:val="1"/>
          <w:iCs w:val="1"/>
          <w:color w:val="auto"/>
        </w:rPr>
        <w:t>"Derivative Instruments and Hedging Activities"</w:t>
      </w:r>
      <w:r>
        <w:rPr>
          <w:rFonts w:ascii="Arial" w:cs="Arial" w:eastAsia="Arial" w:hAnsi="Arial"/>
          <w:sz w:val="19"/>
          <w:szCs w:val="19"/>
          <w:color w:val="auto"/>
        </w:rPr>
        <w:t>, the Company is party to the 2021 Swaps, each with an aggregate notional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$30 million, or $60 million in the aggregate, the effect of which is to fix the SOFR portion (or, for periods prior to January 31, 2023, the LIBOR portion) of the interest rate on a portion of our outstanding debt on our Revolver (or such portion thereof up to the aggregate $60 million notional amount of the 2021 Swaps).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Under the terms of its Credit Agreement, the Company is entitled, subject to the satisfaction of certain conditions, to request additional commitments under the revolver or the addition of a term loan facility in the aggregate principal amount of up to $100 million for all such increases (revolver and term) to the extent that existing or new lenders agree to provide such additional commitments and/or term loans. In addition to requesting loans denominated in U.S. dollars, the Credit Agreement provides that up to a U.S. dollar equivalent principal amount of $15 million of the revolver may be borrowed by Bel in alternate foreign currencies including Euros, Pounds Sterling, Japanese Yen and such other currency as requested by Bel and consented to by KeyBank and each lender.</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In connection with the Credit Agreement, the Company and certain of the Company’s material U.S. subsidiaries (together with the Company, the “Loan Parties”) provided to the administrative agent, for the benefit of the lenders, guaranty of payment. As a result, the obligations of the Company under the Credit Agreement are guaranteed by the Loan Parties’ material U.S. subsidiaries, and secured by a first priority security interest in substantially all of the existing and future personal property of the Loan Parties, certain material real property of the Loan Parties and certain of the Loan Parties’ material U.S. subsidiaries, including 65% of the voting capital stock of certain of the Loan Parties’ direct foreign subsidiaries.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borrowings under the Credit Agreement bear interest, generally payable quarterly, at a rate equal to, at the Company's option, either (1) SOFR, plus a margin ranging from 1.125% per annum to 2.125% per annum depending on the Company’s leverage ratio, or</w:t>
      </w:r>
    </w:p>
    <w:p>
      <w:pPr>
        <w:jc w:val="both"/>
        <w:spacing w:after="0" w:line="272" w:lineRule="auto"/>
        <w:rPr>
          <w:sz w:val="20"/>
          <w:szCs w:val="20"/>
          <w:color w:val="auto"/>
        </w:rPr>
      </w:pPr>
      <w:r>
        <w:rPr>
          <w:rFonts w:ascii="Arial" w:cs="Arial" w:eastAsia="Arial" w:hAnsi="Arial"/>
          <w:sz w:val="18"/>
          <w:szCs w:val="18"/>
          <w:color w:val="auto"/>
        </w:rPr>
        <w:t>(2)(a) an alternate “Base Rate,” which is the highest of (i) KeyBank’s prime rate, (ii) the federal funds rate plus 0.50% and (iii) the SOFR rate with a maturity of one month plus 1%, plus (b) a margin ranging from 0.125% per annum to 1.125% per annum, depending on the Company’s leverage ratio. Pursuant to the terms of the Credit Agreement, the Company has agreed to pay to KeyBank, as administrative agent for the ratable account of the revolving lenders in consideration for their commitments in respect of the revolver, a commitment fee due quarterly in arrears and calculated based on the average unused amount of the facility (exclusive of swing line exposure), at a rate ranging from 0.2% per annum to 0.3% per annum, depending on the Company’s leverage ratio.</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Revolving loans borrowed under the Credit Agreement mature on September 1, 2028, and the commitments with respect to the revolver will automatically terminate on such date.</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Credit Agreement contains customary representations and warranties, covenants and events of default. In addition, the Credit Agreement contains financial covenants that measure (i) the ratio of the Company’s total funded indebtedness, on a consolidated basis, less the aggregate amount of all unencumbered cash and cash equivalents, to the amount of the Company’s consolidated EBITDA (“Leverage Ratio”) and (ii) the ratio of the amount of the Company’s consolidated EBITDA to the Company’s consolidated fixed charges (“Fixed Charge Coverage Ratio”). If an event of default occurs, the lenders under the Credit Agreement would be entitled to take various actions, including the acceleration of amounts due thereunder and all actions permitted to be taken by a secured creditor.</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At December 31, 2025, the Company was in compliance with its debt covenants, including its most restrictive covenant, the Leverage Ratio.</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Scheduled principal payments of the total debt outstanding at December 31, 2025 are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60" w:type="dxa"/>
            <w:vAlign w:val="bottom"/>
          </w:tcPr>
          <w:p>
            <w:pPr>
              <w:jc w:val="right"/>
              <w:ind w:right="7661"/>
              <w:spacing w:after="0"/>
              <w:rPr>
                <w:sz w:val="20"/>
                <w:szCs w:val="20"/>
                <w:color w:val="auto"/>
              </w:rPr>
            </w:pPr>
            <w:r>
              <w:rPr>
                <w:rFonts w:ascii="Arial" w:cs="Arial" w:eastAsia="Arial" w:hAnsi="Arial"/>
                <w:sz w:val="20"/>
                <w:szCs w:val="20"/>
                <w:color w:val="auto"/>
                <w:w w:val="85"/>
              </w:rPr>
              <w:t>2026</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39"/>
        </w:trPr>
        <w:tc>
          <w:tcPr>
            <w:tcW w:w="8160" w:type="dxa"/>
            <w:vAlign w:val="bottom"/>
          </w:tcPr>
          <w:p>
            <w:pPr>
              <w:jc w:val="right"/>
              <w:ind w:right="7661"/>
              <w:spacing w:after="0"/>
              <w:rPr>
                <w:sz w:val="20"/>
                <w:szCs w:val="20"/>
                <w:color w:val="auto"/>
              </w:rPr>
            </w:pPr>
            <w:r>
              <w:rPr>
                <w:rFonts w:ascii="Arial" w:cs="Arial" w:eastAsia="Arial" w:hAnsi="Arial"/>
                <w:sz w:val="20"/>
                <w:szCs w:val="20"/>
                <w:color w:val="auto"/>
                <w:w w:val="85"/>
              </w:rPr>
              <w:t>2027</w:t>
            </w: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8160" w:type="dxa"/>
            <w:vAlign w:val="bottom"/>
          </w:tcPr>
          <w:p>
            <w:pPr>
              <w:jc w:val="right"/>
              <w:ind w:right="7661"/>
              <w:spacing w:after="0"/>
              <w:rPr>
                <w:sz w:val="20"/>
                <w:szCs w:val="20"/>
                <w:color w:val="auto"/>
              </w:rPr>
            </w:pPr>
            <w:r>
              <w:rPr>
                <w:rFonts w:ascii="Arial" w:cs="Arial" w:eastAsia="Arial" w:hAnsi="Arial"/>
                <w:sz w:val="20"/>
                <w:szCs w:val="20"/>
                <w:color w:val="auto"/>
                <w:w w:val="85"/>
              </w:rPr>
              <w:t>2028</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197,500</w:t>
            </w:r>
          </w:p>
        </w:tc>
      </w:tr>
      <w:tr>
        <w:trPr>
          <w:trHeight w:val="218"/>
        </w:trPr>
        <w:tc>
          <w:tcPr>
            <w:tcW w:w="8160" w:type="dxa"/>
            <w:vAlign w:val="bottom"/>
          </w:tcPr>
          <w:p>
            <w:pPr>
              <w:ind w:left="180"/>
              <w:spacing w:after="0" w:line="218" w:lineRule="exact"/>
              <w:rPr>
                <w:sz w:val="20"/>
                <w:szCs w:val="20"/>
                <w:color w:val="auto"/>
              </w:rPr>
            </w:pPr>
            <w:r>
              <w:rPr>
                <w:rFonts w:ascii="Arial" w:cs="Arial" w:eastAsia="Arial" w:hAnsi="Arial"/>
                <w:sz w:val="20"/>
                <w:szCs w:val="20"/>
                <w:color w:val="auto"/>
              </w:rPr>
              <w:t>Total long-term debt</w:t>
            </w:r>
          </w:p>
        </w:tc>
        <w:tc>
          <w:tcPr>
            <w:tcW w:w="120" w:type="dxa"/>
            <w:vAlign w:val="bottom"/>
          </w:tcPr>
          <w:p>
            <w:pPr>
              <w:spacing w:after="0"/>
              <w:rPr>
                <w:sz w:val="18"/>
                <w:szCs w:val="18"/>
                <w:color w:val="auto"/>
              </w:rPr>
            </w:pPr>
          </w:p>
        </w:tc>
        <w:tc>
          <w:tcPr>
            <w:tcW w:w="1360" w:type="dxa"/>
            <w:vAlign w:val="bottom"/>
            <w:gridSpan w:val="2"/>
          </w:tcPr>
          <w:p>
            <w:pPr>
              <w:jc w:val="right"/>
              <w:spacing w:after="0" w:line="218" w:lineRule="exact"/>
              <w:rPr>
                <w:sz w:val="20"/>
                <w:szCs w:val="20"/>
                <w:color w:val="auto"/>
              </w:rPr>
            </w:pPr>
            <w:r>
              <w:rPr>
                <w:rFonts w:ascii="Arial" w:cs="Arial" w:eastAsia="Arial" w:hAnsi="Arial"/>
                <w:sz w:val="20"/>
                <w:szCs w:val="20"/>
                <w:color w:val="auto"/>
              </w:rPr>
              <w:t>197,500</w:t>
            </w:r>
          </w:p>
        </w:tc>
      </w:tr>
      <w:tr>
        <w:trPr>
          <w:trHeight w:val="254"/>
        </w:trPr>
        <w:tc>
          <w:tcPr>
            <w:tcW w:w="8160" w:type="dxa"/>
            <w:vAlign w:val="bottom"/>
          </w:tcPr>
          <w:p>
            <w:pPr>
              <w:ind w:left="180"/>
              <w:spacing w:after="0"/>
              <w:rPr>
                <w:sz w:val="20"/>
                <w:szCs w:val="20"/>
                <w:color w:val="auto"/>
              </w:rPr>
            </w:pPr>
            <w:r>
              <w:rPr>
                <w:rFonts w:ascii="Arial" w:cs="Arial" w:eastAsia="Arial" w:hAnsi="Arial"/>
                <w:sz w:val="20"/>
                <w:szCs w:val="20"/>
                <w:color w:val="auto"/>
              </w:rPr>
              <w:t>Less: Current maturities of long-term debt</w:t>
            </w:r>
          </w:p>
        </w:tc>
        <w:tc>
          <w:tcPr>
            <w:tcW w:w="120" w:type="dxa"/>
            <w:vAlign w:val="bottom"/>
            <w:tcBorders>
              <w:bottom w:val="single" w:sz="8" w:color="auto"/>
            </w:tcBorders>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47"/>
        </w:trPr>
        <w:tc>
          <w:tcPr>
            <w:tcW w:w="8160" w:type="dxa"/>
            <w:vAlign w:val="bottom"/>
          </w:tcPr>
          <w:p>
            <w:pPr>
              <w:ind w:left="180"/>
              <w:spacing w:after="0"/>
              <w:rPr>
                <w:sz w:val="20"/>
                <w:szCs w:val="20"/>
                <w:color w:val="auto"/>
              </w:rPr>
            </w:pPr>
            <w:r>
              <w:rPr>
                <w:rFonts w:ascii="Arial" w:cs="Arial" w:eastAsia="Arial" w:hAnsi="Arial"/>
                <w:sz w:val="20"/>
                <w:szCs w:val="20"/>
                <w:color w:val="auto"/>
              </w:rPr>
              <w:t>Noncurrent portion of long-term debt</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5160010</wp:posOffset>
            </wp:positionH>
            <wp:positionV relativeFrom="paragraph">
              <wp:posOffset>-191135</wp:posOffset>
            </wp:positionV>
            <wp:extent cx="969010" cy="222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6901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2240" w:h="15840" w:orient="portrait"/>
          <w:cols w:equalWidth="0" w:num="1">
            <w:col w:w="10800"/>
          </w:cols>
          <w:pgMar w:left="720" w:top="555" w:right="720" w:bottom="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64"/>
        </w:trPr>
        <w:tc>
          <w:tcPr>
            <w:tcW w:w="6520" w:type="dxa"/>
            <w:vAlign w:val="bottom"/>
          </w:tcPr>
          <w:p>
            <w:pPr>
              <w:spacing w:after="0"/>
              <w:rPr>
                <w:sz w:val="20"/>
                <w:szCs w:val="20"/>
                <w:color w:val="auto"/>
              </w:rPr>
            </w:pPr>
            <w:r>
              <w:rPr>
                <w:rFonts w:ascii="Arial" w:cs="Arial" w:eastAsia="Arial" w:hAnsi="Arial"/>
                <w:sz w:val="20"/>
                <w:szCs w:val="20"/>
                <w:color w:val="auto"/>
              </w:rPr>
              <w:t>12. ACCRUED EXPENSES</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3"/>
        </w:trPr>
        <w:tc>
          <w:tcPr>
            <w:tcW w:w="6520" w:type="dxa"/>
            <w:vAlign w:val="bottom"/>
          </w:tcPr>
          <w:p>
            <w:pPr>
              <w:spacing w:after="0"/>
              <w:rPr>
                <w:sz w:val="20"/>
                <w:szCs w:val="20"/>
                <w:color w:val="auto"/>
              </w:rPr>
            </w:pPr>
            <w:r>
              <w:rPr>
                <w:rFonts w:ascii="Arial" w:cs="Arial" w:eastAsia="Arial" w:hAnsi="Arial"/>
                <w:sz w:val="20"/>
                <w:szCs w:val="20"/>
                <w:color w:val="auto"/>
              </w:rPr>
              <w:t>Accrued expenses consist of the following:</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700"/>
              <w:spacing w:after="0"/>
              <w:rPr>
                <w:sz w:val="20"/>
                <w:szCs w:val="20"/>
                <w:color w:val="auto"/>
              </w:rPr>
            </w:pPr>
            <w:r>
              <w:rPr>
                <w:rFonts w:ascii="Arial" w:cs="Arial" w:eastAsia="Arial" w:hAnsi="Arial"/>
                <w:sz w:val="20"/>
                <w:szCs w:val="20"/>
                <w:color w:val="auto"/>
                <w:w w:val="89"/>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520" w:type="dxa"/>
            <w:vAlign w:val="bottom"/>
            <w:vMerge w:val="restart"/>
          </w:tcPr>
          <w:p>
            <w:pPr>
              <w:spacing w:after="0"/>
              <w:rPr>
                <w:sz w:val="20"/>
                <w:szCs w:val="20"/>
                <w:color w:val="auto"/>
              </w:rPr>
            </w:pPr>
            <w:r>
              <w:rPr>
                <w:rFonts w:ascii="Arial" w:cs="Arial" w:eastAsia="Arial" w:hAnsi="Arial"/>
                <w:sz w:val="20"/>
                <w:szCs w:val="20"/>
                <w:color w:val="auto"/>
              </w:rPr>
              <w:t>Salaries, bonuses and related benefits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w w:val="94"/>
              </w:rPr>
              <w:t>2024</w:t>
            </w:r>
          </w:p>
        </w:tc>
        <w:tc>
          <w:tcPr>
            <w:tcW w:w="0" w:type="dxa"/>
            <w:vAlign w:val="bottom"/>
          </w:tcPr>
          <w:p>
            <w:pPr>
              <w:spacing w:after="0"/>
              <w:rPr>
                <w:sz w:val="1"/>
                <w:szCs w:val="1"/>
                <w:color w:val="auto"/>
              </w:rPr>
            </w:pPr>
          </w:p>
        </w:tc>
      </w:tr>
      <w:tr>
        <w:trPr>
          <w:trHeight w:val="215"/>
        </w:trPr>
        <w:tc>
          <w:tcPr>
            <w:tcW w:w="6520" w:type="dxa"/>
            <w:vAlign w:val="bottom"/>
            <w:vMerge w:val="continue"/>
          </w:tcPr>
          <w:p>
            <w:pPr>
              <w:spacing w:after="0"/>
              <w:rPr>
                <w:sz w:val="18"/>
                <w:szCs w:val="18"/>
                <w:color w:val="auto"/>
              </w:rPr>
            </w:pPr>
          </w:p>
        </w:tc>
        <w:tc>
          <w:tcPr>
            <w:tcW w:w="300" w:type="dxa"/>
            <w:vAlign w:val="bottom"/>
          </w:tcPr>
          <w:p>
            <w:pPr>
              <w:jc w:val="right"/>
              <w:ind w:right="101"/>
              <w:spacing w:after="0" w:line="215" w:lineRule="exact"/>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line="215" w:lineRule="exact"/>
              <w:rPr>
                <w:sz w:val="20"/>
                <w:szCs w:val="20"/>
                <w:color w:val="auto"/>
              </w:rPr>
            </w:pPr>
            <w:r>
              <w:rPr>
                <w:rFonts w:ascii="Arial" w:cs="Arial" w:eastAsia="Arial" w:hAnsi="Arial"/>
                <w:sz w:val="20"/>
                <w:szCs w:val="20"/>
                <w:color w:val="auto"/>
              </w:rPr>
              <w:t>37,426</w:t>
            </w:r>
          </w:p>
        </w:tc>
        <w:tc>
          <w:tcPr>
            <w:tcW w:w="18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Arial" w:cs="Arial" w:eastAsia="Arial" w:hAnsi="Arial"/>
                <w:sz w:val="20"/>
                <w:szCs w:val="20"/>
                <w:color w:val="auto"/>
              </w:rPr>
              <w:t>32,478</w:t>
            </w: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r>
              <w:rPr>
                <w:rFonts w:ascii="Arial" w:cs="Arial" w:eastAsia="Arial" w:hAnsi="Arial"/>
                <w:sz w:val="20"/>
                <w:szCs w:val="20"/>
                <w:color w:val="auto"/>
              </w:rPr>
              <w:t>Accrued restructuring costs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5,823</w:t>
            </w: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r>
              <w:rPr>
                <w:rFonts w:ascii="Arial" w:cs="Arial" w:eastAsia="Arial" w:hAnsi="Arial"/>
                <w:sz w:val="20"/>
                <w:szCs w:val="20"/>
                <w:color w:val="auto"/>
              </w:rPr>
              <w:t>Sales commissions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2,616</w:t>
            </w: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r>
              <w:rPr>
                <w:rFonts w:ascii="Arial" w:cs="Arial" w:eastAsia="Arial" w:hAnsi="Arial"/>
                <w:sz w:val="20"/>
                <w:szCs w:val="20"/>
                <w:color w:val="auto"/>
              </w:rPr>
              <w:t>Warranty accrual</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1,245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1,554</w:t>
            </w:r>
          </w:p>
        </w:tc>
        <w:tc>
          <w:tcPr>
            <w:tcW w:w="0" w:type="dxa"/>
            <w:vAlign w:val="bottom"/>
          </w:tcPr>
          <w:p>
            <w:pPr>
              <w:spacing w:after="0"/>
              <w:rPr>
                <w:sz w:val="1"/>
                <w:szCs w:val="1"/>
                <w:color w:val="auto"/>
              </w:rPr>
            </w:pPr>
          </w:p>
        </w:tc>
      </w:tr>
      <w:tr>
        <w:trPr>
          <w:trHeight w:val="254"/>
        </w:trPr>
        <w:tc>
          <w:tcPr>
            <w:tcW w:w="6520" w:type="dxa"/>
            <w:vAlign w:val="bottom"/>
          </w:tcPr>
          <w:p>
            <w:pPr>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7,905</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10,560</w:t>
            </w:r>
          </w:p>
        </w:tc>
        <w:tc>
          <w:tcPr>
            <w:tcW w:w="0" w:type="dxa"/>
            <w:vAlign w:val="bottom"/>
          </w:tcPr>
          <w:p>
            <w:pPr>
              <w:spacing w:after="0"/>
              <w:rPr>
                <w:sz w:val="1"/>
                <w:szCs w:val="1"/>
                <w:color w:val="auto"/>
              </w:rPr>
            </w:pPr>
          </w:p>
        </w:tc>
      </w:tr>
      <w:tr>
        <w:trPr>
          <w:trHeight w:val="247"/>
        </w:trPr>
        <w:tc>
          <w:tcPr>
            <w:tcW w:w="652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49,710</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-191135</wp:posOffset>
            </wp:positionV>
            <wp:extent cx="2018665" cy="2222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18665" cy="222250"/>
                    </a:xfrm>
                    <a:prstGeom prst="rect">
                      <a:avLst/>
                    </a:prstGeom>
                    <a:noFill/>
                  </pic:spPr>
                </pic:pic>
              </a:graphicData>
            </a:graphic>
          </wp:anchor>
        </w:drawing>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change in warranty accruals for the year ended December 31, 2025, primarily reflects repair costs incurred and adjustments to pre-existing warranty obligations. New material warranty charges incurred during 2025 were less than $0.1 million, which management considers immaterial to the consolidated financial statements. No new material warranty charges were incurred during 2024.</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Restructuring Activities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Activity and liability balances related to restructuring costs for the years ended December 31, 2024 and 2025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2024</w:t>
            </w: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0"/>
                <w:szCs w:val="20"/>
                <w:color w:val="auto"/>
              </w:rPr>
              <w:t>2025</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6"/>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41"/>
              <w:spacing w:after="0" w:line="206" w:lineRule="exact"/>
              <w:rPr>
                <w:sz w:val="20"/>
                <w:szCs w:val="20"/>
                <w:color w:val="auto"/>
              </w:rPr>
            </w:pPr>
            <w:r>
              <w:rPr>
                <w:rFonts w:ascii="Arial" w:cs="Arial" w:eastAsia="Arial" w:hAnsi="Arial"/>
                <w:sz w:val="20"/>
                <w:szCs w:val="20"/>
                <w:color w:val="auto"/>
                <w:w w:val="85"/>
              </w:rPr>
              <w:t>Cash</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1"/>
              <w:spacing w:after="0" w:line="206" w:lineRule="exact"/>
              <w:rPr>
                <w:sz w:val="20"/>
                <w:szCs w:val="20"/>
                <w:color w:val="auto"/>
              </w:rPr>
            </w:pPr>
            <w:r>
              <w:rPr>
                <w:rFonts w:ascii="Arial" w:cs="Arial" w:eastAsia="Arial" w:hAnsi="Arial"/>
                <w:sz w:val="20"/>
                <w:szCs w:val="20"/>
                <w:color w:val="auto"/>
                <w:w w:val="85"/>
              </w:rPr>
              <w:t>Cash</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1780" w:type="dxa"/>
            <w:vAlign w:val="bottom"/>
          </w:tcPr>
          <w:p>
            <w:pPr>
              <w:spacing w:after="0"/>
              <w:rPr>
                <w:sz w:val="19"/>
                <w:szCs w:val="19"/>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20"/>
                <w:szCs w:val="20"/>
                <w:color w:val="auto"/>
                <w:w w:val="98"/>
              </w:rPr>
              <w:t>Liability at</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20"/>
                <w:szCs w:val="20"/>
                <w:color w:val="auto"/>
                <w:w w:val="87"/>
              </w:rPr>
              <w:t>Payments</w:t>
            </w:r>
          </w:p>
        </w:tc>
        <w:tc>
          <w:tcPr>
            <w:tcW w:w="1220" w:type="dxa"/>
            <w:vAlign w:val="bottom"/>
            <w:gridSpan w:val="3"/>
          </w:tcPr>
          <w:p>
            <w:pPr>
              <w:jc w:val="center"/>
              <w:ind w:right="180"/>
              <w:spacing w:after="0"/>
              <w:rPr>
                <w:sz w:val="20"/>
                <w:szCs w:val="20"/>
                <w:color w:val="auto"/>
              </w:rPr>
            </w:pPr>
            <w:r>
              <w:rPr>
                <w:rFonts w:ascii="Arial" w:cs="Arial" w:eastAsia="Arial" w:hAnsi="Arial"/>
                <w:sz w:val="20"/>
                <w:szCs w:val="20"/>
                <w:color w:val="auto"/>
                <w:w w:val="98"/>
              </w:rPr>
              <w:t>Liability at</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Payments</w:t>
            </w:r>
          </w:p>
        </w:tc>
        <w:tc>
          <w:tcPr>
            <w:tcW w:w="1040" w:type="dxa"/>
            <w:vAlign w:val="bottom"/>
            <w:gridSpan w:val="3"/>
          </w:tcPr>
          <w:p>
            <w:pPr>
              <w:jc w:val="center"/>
              <w:spacing w:after="0"/>
              <w:rPr>
                <w:sz w:val="20"/>
                <w:szCs w:val="20"/>
                <w:color w:val="auto"/>
              </w:rPr>
            </w:pPr>
            <w:r>
              <w:rPr>
                <w:rFonts w:ascii="Arial" w:cs="Arial" w:eastAsia="Arial" w:hAnsi="Arial"/>
                <w:sz w:val="20"/>
                <w:szCs w:val="20"/>
                <w:color w:val="auto"/>
                <w:w w:val="98"/>
              </w:rPr>
              <w:t>Liability at</w:t>
            </w:r>
          </w:p>
        </w:tc>
      </w:tr>
      <w:tr>
        <w:trPr>
          <w:trHeight w:val="229"/>
        </w:trPr>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20"/>
                <w:szCs w:val="20"/>
                <w:color w:val="auto"/>
                <w:w w:val="88"/>
              </w:rPr>
              <w:t>December</w:t>
            </w:r>
          </w:p>
        </w:tc>
        <w:tc>
          <w:tcPr>
            <w:tcW w:w="140" w:type="dxa"/>
            <w:vAlign w:val="bottom"/>
          </w:tcPr>
          <w:p>
            <w:pPr>
              <w:spacing w:after="0"/>
              <w:rPr>
                <w:sz w:val="19"/>
                <w:szCs w:val="19"/>
                <w:color w:val="auto"/>
              </w:rPr>
            </w:pPr>
          </w:p>
        </w:tc>
        <w:tc>
          <w:tcPr>
            <w:tcW w:w="920" w:type="dxa"/>
            <w:vAlign w:val="bottom"/>
          </w:tcPr>
          <w:p>
            <w:pPr>
              <w:jc w:val="right"/>
              <w:ind w:right="241"/>
              <w:spacing w:after="0"/>
              <w:rPr>
                <w:sz w:val="20"/>
                <w:szCs w:val="20"/>
                <w:color w:val="auto"/>
              </w:rPr>
            </w:pPr>
            <w:r>
              <w:rPr>
                <w:rFonts w:ascii="Arial" w:cs="Arial" w:eastAsia="Arial" w:hAnsi="Arial"/>
                <w:sz w:val="20"/>
                <w:szCs w:val="20"/>
                <w:color w:val="auto"/>
              </w:rPr>
              <w:t>New</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and Other</w:t>
            </w:r>
          </w:p>
        </w:tc>
        <w:tc>
          <w:tcPr>
            <w:tcW w:w="10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20"/>
                <w:szCs w:val="20"/>
                <w:color w:val="auto"/>
                <w:w w:val="88"/>
              </w:rPr>
              <w:t>December</w:t>
            </w:r>
          </w:p>
        </w:tc>
        <w:tc>
          <w:tcPr>
            <w:tcW w:w="160" w:type="dxa"/>
            <w:vAlign w:val="bottom"/>
          </w:tcPr>
          <w:p>
            <w:pPr>
              <w:spacing w:after="0"/>
              <w:rPr>
                <w:sz w:val="19"/>
                <w:szCs w:val="19"/>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20"/>
                <w:szCs w:val="20"/>
                <w:color w:val="auto"/>
                <w:w w:val="93"/>
              </w:rPr>
              <w:t>New Charges/</w:t>
            </w:r>
          </w:p>
        </w:tc>
        <w:tc>
          <w:tcPr>
            <w:tcW w:w="12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and Other</w:t>
            </w:r>
          </w:p>
        </w:tc>
        <w:tc>
          <w:tcPr>
            <w:tcW w:w="100" w:type="dxa"/>
            <w:vAlign w:val="bottom"/>
          </w:tcPr>
          <w:p>
            <w:pPr>
              <w:spacing w:after="0"/>
              <w:rPr>
                <w:sz w:val="19"/>
                <w:szCs w:val="19"/>
                <w:color w:val="auto"/>
              </w:rPr>
            </w:pPr>
          </w:p>
        </w:tc>
        <w:tc>
          <w:tcPr>
            <w:tcW w:w="940" w:type="dxa"/>
            <w:vAlign w:val="bottom"/>
            <w:gridSpan w:val="2"/>
          </w:tcPr>
          <w:p>
            <w:pPr>
              <w:jc w:val="center"/>
              <w:ind w:right="21"/>
              <w:spacing w:after="0"/>
              <w:rPr>
                <w:sz w:val="20"/>
                <w:szCs w:val="20"/>
                <w:color w:val="auto"/>
              </w:rPr>
            </w:pPr>
            <w:r>
              <w:rPr>
                <w:rFonts w:ascii="Arial" w:cs="Arial" w:eastAsia="Arial" w:hAnsi="Arial"/>
                <w:sz w:val="20"/>
                <w:szCs w:val="20"/>
                <w:color w:val="auto"/>
                <w:w w:val="88"/>
              </w:rPr>
              <w:t>December</w:t>
            </w:r>
          </w:p>
        </w:tc>
      </w:tr>
      <w:tr>
        <w:trPr>
          <w:trHeight w:val="257"/>
        </w:trPr>
        <w:tc>
          <w:tcPr>
            <w:tcW w:w="1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
              <w:spacing w:after="0"/>
              <w:rPr>
                <w:sz w:val="20"/>
                <w:szCs w:val="20"/>
                <w:color w:val="auto"/>
              </w:rPr>
            </w:pPr>
            <w:r>
              <w:rPr>
                <w:rFonts w:ascii="Arial" w:cs="Arial" w:eastAsia="Arial" w:hAnsi="Arial"/>
                <w:sz w:val="20"/>
                <w:szCs w:val="20"/>
                <w:color w:val="auto"/>
                <w:w w:val="89"/>
              </w:rPr>
              <w:t>31, 2003</w:t>
            </w: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92"/>
              </w:rPr>
              <w:t>Charges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20"/>
                <w:szCs w:val="20"/>
                <w:color w:val="auto"/>
                <w:w w:val="87"/>
              </w:rPr>
              <w:t>Settlements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
              <w:spacing w:after="0"/>
              <w:rPr>
                <w:sz w:val="20"/>
                <w:szCs w:val="20"/>
                <w:color w:val="auto"/>
              </w:rPr>
            </w:pPr>
            <w:r>
              <w:rPr>
                <w:rFonts w:ascii="Arial" w:cs="Arial" w:eastAsia="Arial" w:hAnsi="Arial"/>
                <w:sz w:val="20"/>
                <w:szCs w:val="20"/>
                <w:color w:val="auto"/>
                <w:w w:val="89"/>
              </w:rPr>
              <w:t>31, 2004</w:t>
            </w: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20"/>
                <w:szCs w:val="20"/>
                <w:color w:val="auto"/>
                <w:w w:val="92"/>
              </w:rPr>
              <w:t>Other Adjustments</w:t>
            </w:r>
          </w:p>
        </w:tc>
        <w:tc>
          <w:tcPr>
            <w:tcW w:w="1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20"/>
                <w:szCs w:val="20"/>
                <w:color w:val="auto"/>
                <w:w w:val="88"/>
              </w:rPr>
              <w:t>Settlements</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center"/>
              <w:ind w:right="21"/>
              <w:spacing w:after="0"/>
              <w:rPr>
                <w:sz w:val="20"/>
                <w:szCs w:val="20"/>
                <w:color w:val="auto"/>
              </w:rPr>
            </w:pPr>
            <w:r>
              <w:rPr>
                <w:rFonts w:ascii="Arial" w:cs="Arial" w:eastAsia="Arial" w:hAnsi="Arial"/>
                <w:sz w:val="20"/>
                <w:szCs w:val="20"/>
                <w:color w:val="auto"/>
                <w:w w:val="89"/>
              </w:rPr>
              <w:t>31, 2005</w:t>
            </w:r>
          </w:p>
        </w:tc>
      </w:tr>
      <w:tr>
        <w:trPr>
          <w:trHeight w:val="251"/>
        </w:trPr>
        <w:tc>
          <w:tcPr>
            <w:tcW w:w="1780" w:type="dxa"/>
            <w:vAlign w:val="bottom"/>
          </w:tcPr>
          <w:p>
            <w:pPr>
              <w:spacing w:after="0"/>
              <w:rPr>
                <w:sz w:val="20"/>
                <w:szCs w:val="20"/>
                <w:color w:val="auto"/>
              </w:rPr>
            </w:pPr>
            <w:r>
              <w:rPr>
                <w:rFonts w:ascii="Arial" w:cs="Arial" w:eastAsia="Arial" w:hAnsi="Arial"/>
                <w:sz w:val="20"/>
                <w:szCs w:val="20"/>
                <w:color w:val="auto"/>
              </w:rPr>
              <w:t>Severance costs</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1,551</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2,888</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auto"/>
              </w:rPr>
              <w:t>(3,163)</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1,276</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2,442</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(3,633)</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85</w:t>
            </w:r>
          </w:p>
        </w:tc>
      </w:tr>
      <w:tr>
        <w:trPr>
          <w:trHeight w:val="229"/>
        </w:trPr>
        <w:tc>
          <w:tcPr>
            <w:tcW w:w="1780" w:type="dxa"/>
            <w:vAlign w:val="bottom"/>
          </w:tcPr>
          <w:p>
            <w:pPr>
              <w:spacing w:after="0"/>
              <w:rPr>
                <w:sz w:val="20"/>
                <w:szCs w:val="20"/>
                <w:color w:val="auto"/>
              </w:rPr>
            </w:pPr>
            <w:r>
              <w:rPr>
                <w:rFonts w:ascii="Arial" w:cs="Arial" w:eastAsia="Arial" w:hAnsi="Arial"/>
                <w:sz w:val="20"/>
                <w:szCs w:val="20"/>
                <w:color w:val="auto"/>
              </w:rPr>
              <w:t>Other restructuring</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4"/>
        </w:trPr>
        <w:tc>
          <w:tcPr>
            <w:tcW w:w="1780" w:type="dxa"/>
            <w:vAlign w:val="bottom"/>
          </w:tcPr>
          <w:p>
            <w:pPr>
              <w:spacing w:after="0"/>
              <w:rPr>
                <w:sz w:val="20"/>
                <w:szCs w:val="20"/>
                <w:color w:val="auto"/>
              </w:rPr>
            </w:pPr>
            <w:r>
              <w:rPr>
                <w:rFonts w:ascii="Arial" w:cs="Arial" w:eastAsia="Arial" w:hAnsi="Arial"/>
                <w:sz w:val="20"/>
                <w:szCs w:val="20"/>
                <w:color w:val="auto"/>
              </w:rPr>
              <w:t>costs</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3,947</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571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4,547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20"/>
                <w:szCs w:val="20"/>
                <w:color w:val="auto"/>
              </w:rPr>
              <w:t>(3,119)</w:t>
            </w: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(754)</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674</w:t>
            </w:r>
          </w:p>
        </w:tc>
      </w:tr>
      <w:tr>
        <w:trPr>
          <w:trHeight w:val="260"/>
        </w:trPr>
        <w:tc>
          <w:tcPr>
            <w:tcW w:w="1780" w:type="dxa"/>
            <w:vAlign w:val="bottom"/>
          </w:tcPr>
          <w:p>
            <w:pPr>
              <w:spacing w:after="0"/>
              <w:rPr>
                <w:sz w:val="20"/>
                <w:szCs w:val="20"/>
                <w:color w:val="auto"/>
              </w:rPr>
            </w:pPr>
            <w:r>
              <w:rPr>
                <w:rFonts w:ascii="Arial" w:cs="Arial" w:eastAsia="Arial" w:hAnsi="Arial"/>
                <w:sz w:val="20"/>
                <w:szCs w:val="20"/>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5,498</w:t>
            </w:r>
          </w:p>
        </w:tc>
        <w:tc>
          <w:tcPr>
            <w:tcW w:w="16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3,459</w:t>
            </w:r>
          </w:p>
        </w:tc>
        <w:tc>
          <w:tcPr>
            <w:tcW w:w="16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(3,134)</w:t>
            </w:r>
          </w:p>
        </w:tc>
        <w:tc>
          <w:tcPr>
            <w:tcW w:w="16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5,823</w:t>
            </w:r>
          </w:p>
        </w:tc>
        <w:tc>
          <w:tcPr>
            <w:tcW w:w="16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(677)</w:t>
            </w:r>
          </w:p>
        </w:tc>
        <w:tc>
          <w:tcPr>
            <w:tcW w:w="16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(4,387)</w:t>
            </w:r>
          </w:p>
        </w:tc>
        <w:tc>
          <w:tcPr>
            <w:tcW w:w="18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Borders>
              <w:top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1107440</wp:posOffset>
            </wp:positionH>
            <wp:positionV relativeFrom="paragraph">
              <wp:posOffset>-200025</wp:posOffset>
            </wp:positionV>
            <wp:extent cx="5703570" cy="2317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03570" cy="231775"/>
                    </a:xfrm>
                    <a:prstGeom prst="rect">
                      <a:avLst/>
                    </a:prstGeom>
                    <a:noFill/>
                  </pic:spPr>
                </pic:pic>
              </a:graphicData>
            </a:graphic>
          </wp:anchor>
        </w:drawing>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2024 charges and ending liability balance at December 31, 2024 noted above for severance costs largely relate to an initiative within our Power segment related to the transition of our fuse operations to other existing sites and also within our Connectivity segment related to the transition of certain manufacturing from our Glen Rock, Pennsylvania facility to other existing Bel sites. The new charges noted above for other restructuring costs relate to housing and social insurance costs associated with our fuse restructuring initiative within our Power segment. The balances in other restructuring costs in the table above as of December 31, 2024 largely related to remaining liabilities associated with the Company's facility consolidation project in the PRC.</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balance of accrued restructuring costs at December 31, 2025 largely related to remaining liabilities associated with the Company's facility consolidation project in the PRC whereby two of our Magnetic Solutions manufacturing sites were consolidated into a single new site. During 2025, the Company recorded a $3.2 million reversal of other restructuring costs as a result of a non-cash settlement of liabilities related to this same project.</w:t>
      </w:r>
    </w:p>
    <w:p>
      <w:pPr>
        <w:spacing w:after="0" w:line="200" w:lineRule="exact"/>
        <w:rPr>
          <w:sz w:val="20"/>
          <w:szCs w:val="20"/>
          <w:color w:val="auto"/>
        </w:rPr>
      </w:pPr>
    </w:p>
    <w:p>
      <w:pPr>
        <w:spacing w:after="0" w:line="261" w:lineRule="exact"/>
        <w:rPr>
          <w:sz w:val="20"/>
          <w:szCs w:val="20"/>
          <w:color w:val="auto"/>
        </w:rPr>
      </w:pPr>
    </w:p>
    <w:p>
      <w:pPr>
        <w:ind w:left="460" w:hanging="455"/>
        <w:spacing w:after="0"/>
        <w:tabs>
          <w:tab w:leader="none" w:pos="4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Our primary objective for holding derivative financial instruments is to manage foreign currency exchange rate risk and interest rate risk, when deemed appropriate. We enter into these contracts in the normal course of business to mitigate risks and not for speculative purposes.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Forward Contracts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Under our risk management strategy, we periodically use foreign currency forward contracts to manage our short-term exposures to fluctuations in operational cash flows resulting from changes in foreign currency exchange rates. These cash flow exposures result from portions of our forecasted operating expenses, primarily compensation and related expenses, which are transacted in currencies other than the U.S. dollar, most notably the Chinese renminbi, Israeli shekel and the Mexican peso. These foreign currency forward contracts generally have maturities of no longer than twelve months, although occasionally we will execute a contract that extends beyond twelve months, depending upon the nature of the underlying risk.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2240" w:h="15840" w:orient="portrait"/>
          <w:cols w:equalWidth="0" w:num="1">
            <w:col w:w="10800"/>
          </w:cols>
          <w:pgMar w:left="720" w:top="560" w:right="720" w:bottom="0" w:gutter="0" w:footer="0" w:header="0"/>
        </w:sectPr>
      </w:pPr>
    </w:p>
    <w:bookmarkStart w:id="88" w:name="page89"/>
    <w:bookmarkEnd w:id="88"/>
    <w:p>
      <w:pPr>
        <w:jc w:val="both"/>
        <w:spacing w:after="0" w:line="263" w:lineRule="auto"/>
        <w:rPr>
          <w:sz w:val="20"/>
          <w:szCs w:val="20"/>
          <w:color w:val="auto"/>
        </w:rPr>
      </w:pPr>
      <w:r>
        <w:rPr>
          <w:rFonts w:ascii="Arial" w:cs="Arial" w:eastAsia="Arial" w:hAnsi="Arial"/>
          <w:sz w:val="19"/>
          <w:szCs w:val="19"/>
          <w:color w:val="auto"/>
        </w:rPr>
        <w:t>We held outstanding foreign currency forward contracts with notional amounts of $49.6 million and $14.2 million as of December 31, 2025 and 2024, respectively. The Company's foreign currency forward contracts related to the Chinese renminbi are designated as cash flow hedges for accounting purposes and as such, changes in their fair value are recognized in accumulated other comprehensive income (loss) in the consolidated balance sheet and are reclassified into the consolidated statement of operations within cost of goods sold in the period in which the hedged transaction affects earnings.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Swap Agreements</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To partially mitigate risks associated with the variable interest rates on the revolver borrowings under its Credit Agreement, the Company is a party to a pay-fixed, receive-variable interest rate swap agreement with each of two multinational financial institutions under which we (i) pay interest at a fixed rate of 1.334% and received variable interest of the daily SOFR rate plus 10 basis points on a notional amount of $30.0 million and (ii) paid interest at a fixed rate of 1.348% and received variable interest of the daily SOFR rate plus 10 basis points on a notional amount of $30.0 million (the “2021 Swaps”) . The effective date of the 2021 Swaps was December 31, 2021, and settlements with the counterparties began on January 31, 2022 and occur on a monthly basis. The 2021 Swaps will terminate on August 31, 2026.</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2021 Swaps are designated as cash flow hedges for accounting purposes and as such, changes in their fair value are recognized in accumulated other comprehensive income (loss) in the consolidated balance sheet and are reclassified into the statement of operations within interest expense in the period in which the hedged transaction affects earnings.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Values of Derivative Financial Instruments</w:t>
      </w:r>
    </w:p>
    <w:p>
      <w:pPr>
        <w:spacing w:after="0" w:line="232"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color w:val="auto"/>
        </w:rPr>
        <w:t>See Note 6, "</w:t>
      </w:r>
      <w:r>
        <w:rPr>
          <w:rFonts w:ascii="Arial" w:cs="Arial" w:eastAsia="Arial" w:hAnsi="Arial"/>
          <w:sz w:val="20"/>
          <w:szCs w:val="20"/>
          <w:i w:val="1"/>
          <w:iCs w:val="1"/>
          <w:color w:val="auto"/>
        </w:rPr>
        <w:t>Fair Value Measurements"</w:t>
      </w:r>
      <w:r>
        <w:rPr>
          <w:rFonts w:ascii="Arial" w:cs="Arial" w:eastAsia="Arial" w:hAnsi="Arial"/>
          <w:sz w:val="20"/>
          <w:szCs w:val="20"/>
          <w:color w:val="auto"/>
        </w:rPr>
        <w:t xml:space="preserve"> for the gross fair values of the Company's derivative assets and liabilities as of December 31, 2025 and 2024.</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Financial Instruments in Cash Flow Hedging Relationships</w:t>
      </w:r>
    </w:p>
    <w:p>
      <w:pPr>
        <w:spacing w:after="0" w:line="232" w:lineRule="exact"/>
        <w:rPr>
          <w:sz w:val="20"/>
          <w:szCs w:val="20"/>
          <w:color w:val="auto"/>
        </w:rPr>
      </w:pPr>
    </w:p>
    <w:p>
      <w:pPr>
        <w:ind w:right="660"/>
        <w:spacing w:after="0" w:line="274" w:lineRule="auto"/>
        <w:rPr>
          <w:sz w:val="20"/>
          <w:szCs w:val="20"/>
          <w:color w:val="auto"/>
        </w:rPr>
      </w:pPr>
      <w:r>
        <w:rPr>
          <w:rFonts w:ascii="Arial" w:cs="Arial" w:eastAsia="Arial" w:hAnsi="Arial"/>
          <w:sz w:val="20"/>
          <w:szCs w:val="20"/>
          <w:color w:val="auto"/>
        </w:rPr>
        <w:t>The effects of derivative financial instruments designated as cash flow hedges on AOCL and on the consolidated statements of operations for the years ended December 31, 2025, 2024 and 2023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86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7"/>
          </w:tcPr>
          <w:p>
            <w:pPr>
              <w:ind w:left="360"/>
              <w:spacing w:after="0"/>
              <w:rPr>
                <w:sz w:val="20"/>
                <w:szCs w:val="20"/>
                <w:color w:val="auto"/>
              </w:rPr>
            </w:pPr>
            <w:r>
              <w:rPr>
                <w:rFonts w:ascii="Arial" w:cs="Arial" w:eastAsia="Arial" w:hAnsi="Arial"/>
                <w:sz w:val="20"/>
                <w:szCs w:val="20"/>
                <w:color w:val="auto"/>
                <w:w w:val="88"/>
              </w:rPr>
              <w:t>Year Ended December 31,</w:t>
            </w:r>
          </w:p>
        </w:tc>
        <w:tc>
          <w:tcPr>
            <w:tcW w:w="13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860" w:type="dxa"/>
            <w:vAlign w:val="bottom"/>
            <w:vMerge w:val="restart"/>
          </w:tcPr>
          <w:p>
            <w:pPr>
              <w:spacing w:after="0"/>
              <w:rPr>
                <w:sz w:val="20"/>
                <w:szCs w:val="20"/>
                <w:color w:val="auto"/>
              </w:rPr>
            </w:pPr>
            <w:r>
              <w:rPr>
                <w:rFonts w:ascii="Arial" w:cs="Arial" w:eastAsia="Arial" w:hAnsi="Arial"/>
                <w:sz w:val="20"/>
                <w:szCs w:val="20"/>
                <w:color w:val="auto"/>
              </w:rPr>
              <w:t>Net gains (losses) recognized in AOCL: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180"/>
              <w:spacing w:after="0"/>
              <w:rPr>
                <w:sz w:val="20"/>
                <w:szCs w:val="20"/>
                <w:color w:val="auto"/>
              </w:rPr>
            </w:pPr>
            <w:r>
              <w:rPr>
                <w:rFonts w:ascii="Arial" w:cs="Arial" w:eastAsia="Arial" w:hAnsi="Arial"/>
                <w:sz w:val="20"/>
                <w:szCs w:val="20"/>
                <w:color w:val="auto"/>
              </w:rPr>
              <w:t>Foreign currency forward contracts</w:t>
            </w:r>
          </w:p>
        </w:tc>
        <w:tc>
          <w:tcPr>
            <w:tcW w:w="960" w:type="dxa"/>
            <w:vAlign w:val="bottom"/>
          </w:tcPr>
          <w:p>
            <w:pPr>
              <w:jc w:val="right"/>
              <w:ind w:right="761"/>
              <w:spacing w:after="0"/>
              <w:rPr>
                <w:sz w:val="20"/>
                <w:szCs w:val="20"/>
                <w:color w:val="auto"/>
              </w:rPr>
            </w:pPr>
            <w:r>
              <w:rPr>
                <w:rFonts w:ascii="Arial" w:cs="Arial" w:eastAsia="Arial" w:hAnsi="Arial"/>
                <w:sz w:val="20"/>
                <w:szCs w:val="20"/>
                <w:color w:val="auto"/>
                <w:w w:val="71"/>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89</w:t>
            </w:r>
          </w:p>
        </w:tc>
        <w:tc>
          <w:tcPr>
            <w:tcW w:w="20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20"/>
                <w:szCs w:val="20"/>
                <w:color w:val="auto"/>
              </w:rPr>
              <w:t>(184)</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(1,470)</w:t>
            </w:r>
          </w:p>
        </w:tc>
        <w:tc>
          <w:tcPr>
            <w:tcW w:w="0" w:type="dxa"/>
            <w:vAlign w:val="bottom"/>
          </w:tcPr>
          <w:p>
            <w:pPr>
              <w:spacing w:after="0"/>
              <w:rPr>
                <w:sz w:val="1"/>
                <w:szCs w:val="1"/>
                <w:color w:val="auto"/>
              </w:rPr>
            </w:pPr>
          </w:p>
        </w:tc>
      </w:tr>
      <w:tr>
        <w:trPr>
          <w:trHeight w:val="257"/>
        </w:trPr>
        <w:tc>
          <w:tcPr>
            <w:tcW w:w="4860" w:type="dxa"/>
            <w:vAlign w:val="bottom"/>
          </w:tcPr>
          <w:p>
            <w:pPr>
              <w:ind w:left="180"/>
              <w:spacing w:after="0"/>
              <w:rPr>
                <w:sz w:val="20"/>
                <w:szCs w:val="20"/>
                <w:color w:val="auto"/>
              </w:rPr>
            </w:pPr>
            <w:r>
              <w:rPr>
                <w:rFonts w:ascii="Arial" w:cs="Arial" w:eastAsia="Arial" w:hAnsi="Arial"/>
                <w:sz w:val="20"/>
                <w:szCs w:val="20"/>
                <w:color w:val="auto"/>
              </w:rPr>
              <w:t>Interest rate swap agreements</w:t>
            </w: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1,178</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860" w:type="dxa"/>
            <w:vAlign w:val="bottom"/>
          </w:tcPr>
          <w:p>
            <w:pPr>
              <w:spacing w:after="0"/>
              <w:rPr>
                <w:sz w:val="22"/>
                <w:szCs w:val="22"/>
                <w:color w:val="auto"/>
              </w:rPr>
            </w:pPr>
          </w:p>
        </w:tc>
        <w:tc>
          <w:tcPr>
            <w:tcW w:w="960" w:type="dxa"/>
            <w:vAlign w:val="bottom"/>
          </w:tcPr>
          <w:p>
            <w:pPr>
              <w:jc w:val="right"/>
              <w:ind w:right="761"/>
              <w:spacing w:after="0"/>
              <w:rPr>
                <w:sz w:val="20"/>
                <w:szCs w:val="20"/>
                <w:color w:val="auto"/>
              </w:rPr>
            </w:pPr>
            <w:r>
              <w:rPr>
                <w:rFonts w:ascii="Arial" w:cs="Arial" w:eastAsia="Arial" w:hAnsi="Arial"/>
                <w:sz w:val="20"/>
                <w:szCs w:val="20"/>
                <w:color w:val="auto"/>
                <w:w w:val="71"/>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100</w:t>
            </w:r>
          </w:p>
        </w:tc>
        <w:tc>
          <w:tcPr>
            <w:tcW w:w="20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994</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4860" w:type="dxa"/>
            <w:vAlign w:val="bottom"/>
          </w:tcPr>
          <w:p>
            <w:pPr>
              <w:spacing w:after="0"/>
              <w:rPr>
                <w:sz w:val="20"/>
                <w:szCs w:val="20"/>
                <w:color w:val="auto"/>
              </w:rPr>
            </w:pPr>
            <w:r>
              <w:rPr>
                <w:rFonts w:ascii="Arial" w:cs="Arial" w:eastAsia="Arial" w:hAnsi="Arial"/>
                <w:sz w:val="20"/>
                <w:szCs w:val="20"/>
                <w:color w:val="auto"/>
              </w:rPr>
              <w:t>Net (losses) gains reclassified from AOCL to the</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60" w:type="dxa"/>
            <w:vAlign w:val="bottom"/>
          </w:tcPr>
          <w:p>
            <w:pPr>
              <w:spacing w:after="0"/>
              <w:rPr>
                <w:sz w:val="20"/>
                <w:szCs w:val="20"/>
                <w:color w:val="auto"/>
              </w:rPr>
            </w:pPr>
            <w:r>
              <w:rPr>
                <w:rFonts w:ascii="Arial" w:cs="Arial" w:eastAsia="Arial" w:hAnsi="Arial"/>
                <w:sz w:val="20"/>
                <w:szCs w:val="20"/>
                <w:color w:val="auto"/>
              </w:rPr>
              <w:t>consolidated statement of operations:</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180"/>
              <w:spacing w:after="0"/>
              <w:rPr>
                <w:sz w:val="20"/>
                <w:szCs w:val="20"/>
                <w:color w:val="auto"/>
              </w:rPr>
            </w:pPr>
            <w:r>
              <w:rPr>
                <w:rFonts w:ascii="Arial" w:cs="Arial" w:eastAsia="Arial" w:hAnsi="Arial"/>
                <w:sz w:val="20"/>
                <w:szCs w:val="20"/>
                <w:color w:val="auto"/>
              </w:rPr>
              <w:t>Foreign currency forward contracts</w:t>
            </w:r>
          </w:p>
        </w:tc>
        <w:tc>
          <w:tcPr>
            <w:tcW w:w="960" w:type="dxa"/>
            <w:vAlign w:val="bottom"/>
          </w:tcPr>
          <w:p>
            <w:pPr>
              <w:jc w:val="right"/>
              <w:ind w:right="761"/>
              <w:spacing w:after="0"/>
              <w:rPr>
                <w:sz w:val="20"/>
                <w:szCs w:val="20"/>
                <w:color w:val="auto"/>
              </w:rPr>
            </w:pPr>
            <w:r>
              <w:rPr>
                <w:rFonts w:ascii="Arial" w:cs="Arial" w:eastAsia="Arial" w:hAnsi="Arial"/>
                <w:sz w:val="20"/>
                <w:szCs w:val="20"/>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20"/>
                <w:szCs w:val="20"/>
                <w:color w:val="auto"/>
              </w:rPr>
              <w:t>(21)</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20"/>
                <w:szCs w:val="20"/>
                <w:color w:val="auto"/>
              </w:rPr>
              <w:t>(466)</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(537)</w:t>
            </w:r>
          </w:p>
        </w:tc>
        <w:tc>
          <w:tcPr>
            <w:tcW w:w="0" w:type="dxa"/>
            <w:vAlign w:val="bottom"/>
          </w:tcPr>
          <w:p>
            <w:pPr>
              <w:spacing w:after="0"/>
              <w:rPr>
                <w:sz w:val="1"/>
                <w:szCs w:val="1"/>
                <w:color w:val="auto"/>
              </w:rPr>
            </w:pPr>
          </w:p>
        </w:tc>
      </w:tr>
      <w:tr>
        <w:trPr>
          <w:trHeight w:val="257"/>
        </w:trPr>
        <w:tc>
          <w:tcPr>
            <w:tcW w:w="4860" w:type="dxa"/>
            <w:vAlign w:val="bottom"/>
          </w:tcPr>
          <w:p>
            <w:pPr>
              <w:ind w:left="180"/>
              <w:spacing w:after="0"/>
              <w:rPr>
                <w:sz w:val="20"/>
                <w:szCs w:val="20"/>
                <w:color w:val="auto"/>
              </w:rPr>
            </w:pPr>
            <w:r>
              <w:rPr>
                <w:rFonts w:ascii="Arial" w:cs="Arial" w:eastAsia="Arial" w:hAnsi="Arial"/>
                <w:sz w:val="20"/>
                <w:szCs w:val="20"/>
                <w:color w:val="auto"/>
              </w:rPr>
              <w:t>Interest rate swap agreements</w:t>
            </w: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1,835</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2,407</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2,268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860" w:type="dxa"/>
            <w:vAlign w:val="bottom"/>
          </w:tcPr>
          <w:p>
            <w:pPr>
              <w:spacing w:after="0"/>
              <w:rPr>
                <w:sz w:val="21"/>
                <w:szCs w:val="21"/>
                <w:color w:val="auto"/>
              </w:rPr>
            </w:pPr>
          </w:p>
        </w:tc>
        <w:tc>
          <w:tcPr>
            <w:tcW w:w="960" w:type="dxa"/>
            <w:vAlign w:val="bottom"/>
          </w:tcPr>
          <w:p>
            <w:pPr>
              <w:jc w:val="right"/>
              <w:ind w:right="761"/>
              <w:spacing w:after="0"/>
              <w:rPr>
                <w:sz w:val="20"/>
                <w:szCs w:val="20"/>
                <w:color w:val="auto"/>
              </w:rPr>
            </w:pPr>
            <w:r>
              <w:rPr>
                <w:rFonts w:ascii="Arial" w:cs="Arial" w:eastAsia="Arial" w:hAnsi="Arial"/>
                <w:sz w:val="20"/>
                <w:szCs w:val="20"/>
                <w:color w:val="auto"/>
                <w:w w:val="71"/>
              </w:rPr>
              <w:t>$</w:t>
            </w:r>
          </w:p>
        </w:tc>
        <w:tc>
          <w:tcPr>
            <w:tcW w:w="500" w:type="dxa"/>
            <w:vAlign w:val="bottom"/>
          </w:tcPr>
          <w:p>
            <w:pPr>
              <w:jc w:val="right"/>
              <w:spacing w:after="0"/>
              <w:rPr>
                <w:sz w:val="20"/>
                <w:szCs w:val="20"/>
                <w:color w:val="auto"/>
              </w:rPr>
            </w:pPr>
            <w:r>
              <w:rPr>
                <w:rFonts w:ascii="Arial" w:cs="Arial" w:eastAsia="Arial" w:hAnsi="Arial"/>
                <w:sz w:val="20"/>
                <w:szCs w:val="20"/>
                <w:color w:val="auto"/>
                <w:w w:val="95"/>
              </w:rPr>
              <w:t>1,814</w:t>
            </w:r>
          </w:p>
        </w:tc>
        <w:tc>
          <w:tcPr>
            <w:tcW w:w="20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1,941</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-970280</wp:posOffset>
            </wp:positionV>
            <wp:extent cx="3061335" cy="52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61335" cy="5270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-191135</wp:posOffset>
            </wp:positionV>
            <wp:extent cx="3070225" cy="2222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70225" cy="222250"/>
                    </a:xfrm>
                    <a:prstGeom prst="rect">
                      <a:avLst/>
                    </a:prstGeom>
                    <a:noFill/>
                  </pic:spPr>
                </pic:pic>
              </a:graphicData>
            </a:graphic>
          </wp:anchor>
        </w:drawing>
      </w:r>
    </w:p>
    <w:p>
      <w:pPr>
        <w:spacing w:after="0" w:line="218"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The losses related to the foreign currency forward contracts are included as a component of currency translation adjustment on the accompanying consolidated statements of comprehensive income at December 31, 2025, 2024 and 2023.</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Financial Instruments Not Designated as Hedging Instruments</w:t>
      </w:r>
    </w:p>
    <w:p>
      <w:pPr>
        <w:spacing w:after="0" w:line="233"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Gains recognized on derivative financial instruments not designated as hedging instruments in our consolidated statements of operations for the years ended December 31, 2025, 2024 and 2023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2"/>
                <w:szCs w:val="22"/>
                <w:color w:val="auto"/>
              </w:rPr>
            </w:pPr>
          </w:p>
        </w:tc>
        <w:tc>
          <w:tcPr>
            <w:tcW w:w="360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0"/>
              </w:rPr>
              <w:t>Classification in Consolidated Statements</w:t>
            </w:r>
          </w:p>
        </w:tc>
        <w:tc>
          <w:tcPr>
            <w:tcW w:w="26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8"/>
          </w:tcPr>
          <w:p>
            <w:pPr>
              <w:ind w:left="780"/>
              <w:spacing w:after="0"/>
              <w:rPr>
                <w:sz w:val="20"/>
                <w:szCs w:val="20"/>
                <w:color w:val="auto"/>
              </w:rPr>
            </w:pPr>
            <w:r>
              <w:rPr>
                <w:rFonts w:ascii="Arial" w:cs="Arial" w:eastAsia="Arial" w:hAnsi="Arial"/>
                <w:sz w:val="20"/>
                <w:szCs w:val="20"/>
                <w:color w:val="auto"/>
                <w:w w:val="92"/>
              </w:rPr>
              <w:t>Year Ended 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rPr>
                <w:sz w:val="17"/>
                <w:szCs w:val="17"/>
                <w:color w:val="auto"/>
              </w:rPr>
            </w:pPr>
          </w:p>
        </w:tc>
        <w:tc>
          <w:tcPr>
            <w:tcW w:w="36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40" w:type="dxa"/>
            <w:vAlign w:val="bottom"/>
            <w:vMerge w:val="restart"/>
          </w:tcPr>
          <w:p>
            <w:pPr>
              <w:spacing w:after="0"/>
              <w:rPr>
                <w:sz w:val="20"/>
                <w:szCs w:val="20"/>
                <w:color w:val="auto"/>
              </w:rPr>
            </w:pPr>
            <w:r>
              <w:rPr>
                <w:rFonts w:ascii="Arial" w:cs="Arial" w:eastAsia="Arial" w:hAnsi="Arial"/>
                <w:sz w:val="20"/>
                <w:szCs w:val="20"/>
                <w:color w:val="auto"/>
              </w:rPr>
              <w:t>Foreign currency</w:t>
            </w:r>
          </w:p>
        </w:tc>
        <w:tc>
          <w:tcPr>
            <w:tcW w:w="360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of Operations</w:t>
            </w:r>
          </w:p>
        </w:tc>
        <w:tc>
          <w:tcPr>
            <w:tcW w:w="260" w:type="dxa"/>
            <w:vAlign w:val="bottom"/>
          </w:tcPr>
          <w:p>
            <w:pPr>
              <w:spacing w:after="0"/>
              <w:rPr>
                <w:sz w:val="22"/>
                <w:szCs w:val="22"/>
                <w:color w:val="auto"/>
              </w:rPr>
            </w:pPr>
          </w:p>
        </w:tc>
        <w:tc>
          <w:tcPr>
            <w:tcW w:w="1020" w:type="dxa"/>
            <w:vAlign w:val="bottom"/>
          </w:tcPr>
          <w:p>
            <w:pPr>
              <w:jc w:val="right"/>
              <w:ind w:right="341"/>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341"/>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41"/>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06"/>
        </w:trPr>
        <w:tc>
          <w:tcPr>
            <w:tcW w:w="1840" w:type="dxa"/>
            <w:vAlign w:val="bottom"/>
            <w:vMerge w:val="continue"/>
          </w:tcPr>
          <w:p>
            <w:pPr>
              <w:spacing w:after="0"/>
              <w:rPr>
                <w:sz w:val="17"/>
                <w:szCs w:val="17"/>
                <w:color w:val="auto"/>
              </w:rPr>
            </w:pPr>
          </w:p>
        </w:tc>
        <w:tc>
          <w:tcPr>
            <w:tcW w:w="3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840" w:type="dxa"/>
            <w:vAlign w:val="bottom"/>
          </w:tcPr>
          <w:p>
            <w:pPr>
              <w:spacing w:after="0"/>
              <w:rPr>
                <w:sz w:val="20"/>
                <w:szCs w:val="20"/>
                <w:color w:val="auto"/>
              </w:rPr>
            </w:pPr>
            <w:r>
              <w:rPr>
                <w:rFonts w:ascii="Arial" w:cs="Arial" w:eastAsia="Arial" w:hAnsi="Arial"/>
                <w:sz w:val="20"/>
                <w:szCs w:val="20"/>
                <w:color w:val="auto"/>
              </w:rPr>
              <w:t>forward contracts</w:t>
            </w:r>
          </w:p>
        </w:tc>
        <w:tc>
          <w:tcPr>
            <w:tcW w:w="3600" w:type="dxa"/>
            <w:vAlign w:val="bottom"/>
            <w:gridSpan w:val="2"/>
          </w:tcPr>
          <w:p>
            <w:pPr>
              <w:ind w:left="20"/>
              <w:spacing w:after="0"/>
              <w:rPr>
                <w:sz w:val="20"/>
                <w:szCs w:val="20"/>
                <w:color w:val="auto"/>
              </w:rPr>
            </w:pPr>
            <w:r>
              <w:rPr>
                <w:rFonts w:ascii="Arial" w:cs="Arial" w:eastAsia="Arial" w:hAnsi="Arial"/>
                <w:sz w:val="20"/>
                <w:szCs w:val="20"/>
                <w:color w:val="auto"/>
              </w:rPr>
              <w:t>Other income (expense), net</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1,358</w:t>
            </w:r>
          </w:p>
        </w:tc>
        <w:tc>
          <w:tcPr>
            <w:tcW w:w="44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74</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r>
        <w:trPr>
          <w:trHeight w:val="247"/>
        </w:trPr>
        <w:tc>
          <w:tcPr>
            <w:tcW w:w="18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1,358</w:t>
            </w:r>
          </w:p>
        </w:tc>
        <w:tc>
          <w:tcPr>
            <w:tcW w:w="180" w:type="dxa"/>
            <w:vAlign w:val="bottom"/>
          </w:tcPr>
          <w:p>
            <w:pPr>
              <w:spacing w:after="0"/>
              <w:rPr>
                <w:sz w:val="21"/>
                <w:szCs w:val="21"/>
                <w:color w:val="auto"/>
              </w:rPr>
            </w:pPr>
          </w:p>
        </w:tc>
        <w:tc>
          <w:tcPr>
            <w:tcW w:w="26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74</w:t>
            </w:r>
          </w:p>
        </w:tc>
        <w:tc>
          <w:tcPr>
            <w:tcW w:w="18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-191135</wp:posOffset>
            </wp:positionV>
            <wp:extent cx="2701290" cy="2222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0129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2240" w:h="15840" w:orient="portrait"/>
          <w:cols w:equalWidth="0" w:num="1">
            <w:col w:w="10800"/>
          </w:cols>
          <w:pgMar w:left="720" w:top="556" w:right="720" w:bottom="0" w:gutter="0" w:footer="0" w:header="0"/>
        </w:sectPr>
      </w:pPr>
    </w:p>
    <w:bookmarkStart w:id="89" w:name="page90"/>
    <w:bookmarkEnd w:id="89"/>
    <w:p>
      <w:pPr>
        <w:spacing w:after="0"/>
        <w:rPr>
          <w:sz w:val="20"/>
          <w:szCs w:val="20"/>
          <w:color w:val="auto"/>
        </w:rPr>
      </w:pPr>
      <w:r>
        <w:rPr>
          <w:rFonts w:ascii="Arial" w:cs="Arial" w:eastAsia="Arial" w:hAnsi="Arial"/>
          <w:sz w:val="20"/>
          <w:szCs w:val="20"/>
          <w:color w:val="auto"/>
        </w:rPr>
        <w:t>14. SEGMENTS</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The Company operates in one industry with three reportable operating segments, which represent the Company's three product groups, consisting of Power Solutions and Protection, Connectivity Solutions and Magnetic Solutions:</w:t>
      </w:r>
    </w:p>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u w:val="single" w:color="auto"/>
          <w:color w:val="auto"/>
        </w:rPr>
        <w:t>Power Solutions and Protection Segment</w:t>
      </w:r>
      <w:r>
        <w:rPr>
          <w:rFonts w:ascii="Arial" w:cs="Arial" w:eastAsia="Arial" w:hAnsi="Arial"/>
          <w:sz w:val="20"/>
          <w:szCs w:val="20"/>
          <w:color w:val="auto"/>
        </w:rPr>
        <w:t>: This segment includes internal and external AC/DC power supplies, DC/DC converters and DC/AC inverters utilized in defense, commercial aerospace, industrial, networking and consumer applications. Bel circuit protection products include board level fuses (miniature, micro and surface mount), and Polymeric PTC (Positive Temperature Coefficient) devices, designed for the global electronic and telecommunication markets.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u w:val="single" w:color="auto"/>
          <w:color w:val="auto"/>
        </w:rPr>
        <w:t>Connectivity Solutions Segment</w:t>
      </w:r>
      <w:r>
        <w:rPr>
          <w:rFonts w:ascii="Arial" w:cs="Arial" w:eastAsia="Arial" w:hAnsi="Arial"/>
          <w:sz w:val="20"/>
          <w:szCs w:val="20"/>
          <w:color w:val="auto"/>
        </w:rPr>
        <w:t>: This segment includes high speed and harsh environment copper and optical fiber connectors and integrated assemblies, providing connectivity solutions within the commercial aerospace, military communications, defense, network infrastructure, structured building cabling and several industrial applications.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u w:val="single" w:color="auto"/>
          <w:color w:val="auto"/>
        </w:rPr>
        <w:t>Magnetic Solutions Segment:</w:t>
      </w:r>
      <w:r>
        <w:rPr>
          <w:rFonts w:ascii="Arial" w:cs="Arial" w:eastAsia="Arial" w:hAnsi="Arial"/>
          <w:sz w:val="19"/>
          <w:szCs w:val="19"/>
          <w:color w:val="auto"/>
        </w:rPr>
        <w:t xml:space="preserve"> This segment includes the Company’s ICM products, which integrate RJ45 connectors with discrete magnetic components to provide better performance and a more robust device, substantially reducing board space and optimizing performance. This segment also includes Power Transformers for use in a wide array of applications, including industrial instrumentation, alarm and security systems, motion control, elevators, and medical products.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There are no intercompany sales between the segments.</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On a quarterly basis, the Company’s CODM, the Chief Executive Officer, utilizes gross profit (a U.S. GAAP measure) as the profitability measure in assessing segment performance. The CODM uses segment gross profit to make commercial and operational related decisions across the business and when evaluating capital deployment opportunities. In accordance with ASU 2023-07, the Company has elected to disclose gross profit as its required measure of segment profit and loss since it represents the measure of segment performance that is most consistent with U.S. GAAP measurement principles.</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following is a summary of key financial data for each of the three years ended December 31, 2025, 2024 and 2023. In addition to total segment revenues and segment gross profit, the CODM’s quarterly reporting package also includes cost of sales in arriving at the disclosed measure of profitability. The Company has determined that cost of sales is a significant segment expense and is therefore included in the financial data disclosure tables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gridSpan w:val="8"/>
          </w:tcPr>
          <w:p>
            <w:pPr>
              <w:jc w:val="right"/>
              <w:ind w:right="1080"/>
              <w:spacing w:after="0"/>
              <w:rPr>
                <w:sz w:val="20"/>
                <w:szCs w:val="20"/>
                <w:color w:val="auto"/>
              </w:rPr>
            </w:pPr>
            <w:r>
              <w:rPr>
                <w:rFonts w:ascii="Arial" w:cs="Arial" w:eastAsia="Arial" w:hAnsi="Arial"/>
                <w:sz w:val="20"/>
                <w:szCs w:val="20"/>
                <w:color w:val="auto"/>
              </w:rPr>
              <w:t>Year Ended December 31, 2025</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46"/>
        </w:trPr>
        <w:tc>
          <w:tcPr>
            <w:tcW w:w="2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20"/>
                <w:szCs w:val="20"/>
                <w:color w:val="auto"/>
                <w:w w:val="88"/>
              </w:rPr>
              <w:t>Power</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9"/>
        </w:trPr>
        <w:tc>
          <w:tcPr>
            <w:tcW w:w="2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20"/>
                <w:szCs w:val="20"/>
                <w:color w:val="auto"/>
                <w:w w:val="89"/>
              </w:rPr>
              <w:t>Solutions</w:t>
            </w:r>
          </w:p>
        </w:tc>
        <w:tc>
          <w:tcPr>
            <w:tcW w:w="12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20"/>
                <w:szCs w:val="20"/>
                <w:color w:val="auto"/>
                <w:w w:val="93"/>
              </w:rPr>
              <w:t>Connectivity</w:t>
            </w:r>
          </w:p>
        </w:tc>
        <w:tc>
          <w:tcPr>
            <w:tcW w:w="18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20"/>
                <w:szCs w:val="20"/>
                <w:color w:val="auto"/>
                <w:w w:val="98"/>
              </w:rPr>
              <w:t>Magnetic</w:t>
            </w:r>
          </w:p>
        </w:tc>
        <w:tc>
          <w:tcPr>
            <w:tcW w:w="16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20"/>
                <w:szCs w:val="20"/>
                <w:color w:val="auto"/>
                <w:w w:val="93"/>
              </w:rPr>
              <w:t>Corporate/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2"/>
        </w:trPr>
        <w:tc>
          <w:tcPr>
            <w:tcW w:w="2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and Protection</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Solutions</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97"/>
              </w:rPr>
              <w:t>Solutions</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Other</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Total</w:t>
            </w:r>
          </w:p>
        </w:tc>
        <w:tc>
          <w:tcPr>
            <w:tcW w:w="180" w:type="dxa"/>
            <w:vAlign w:val="bottom"/>
          </w:tcPr>
          <w:p>
            <w:pPr>
              <w:spacing w:after="0"/>
              <w:rPr>
                <w:sz w:val="21"/>
                <w:szCs w:val="21"/>
                <w:color w:val="auto"/>
              </w:rPr>
            </w:pPr>
          </w:p>
        </w:tc>
      </w:tr>
      <w:tr>
        <w:trPr>
          <w:trHeight w:val="237"/>
        </w:trPr>
        <w:tc>
          <w:tcPr>
            <w:tcW w:w="3260" w:type="dxa"/>
            <w:vAlign w:val="bottom"/>
            <w:gridSpan w:val="3"/>
          </w:tcPr>
          <w:p>
            <w:pPr>
              <w:spacing w:after="0"/>
              <w:rPr>
                <w:sz w:val="20"/>
                <w:szCs w:val="20"/>
                <w:color w:val="auto"/>
              </w:rPr>
            </w:pPr>
            <w:r>
              <w:rPr>
                <w:rFonts w:ascii="Arial" w:cs="Arial" w:eastAsia="Arial" w:hAnsi="Arial"/>
                <w:sz w:val="20"/>
                <w:szCs w:val="20"/>
                <w:color w:val="auto"/>
              </w:rPr>
              <w:t>Net sales</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356,805</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232,286</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86,364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675,455</w:t>
            </w:r>
          </w:p>
        </w:tc>
        <w:tc>
          <w:tcPr>
            <w:tcW w:w="180" w:type="dxa"/>
            <w:vAlign w:val="bottom"/>
          </w:tcPr>
          <w:p>
            <w:pPr>
              <w:spacing w:after="0"/>
              <w:rPr>
                <w:sz w:val="20"/>
                <w:szCs w:val="20"/>
                <w:color w:val="auto"/>
              </w:rPr>
            </w:pPr>
          </w:p>
        </w:tc>
      </w:tr>
      <w:tr>
        <w:trPr>
          <w:trHeight w:val="257"/>
        </w:trPr>
        <w:tc>
          <w:tcPr>
            <w:tcW w:w="3260" w:type="dxa"/>
            <w:vAlign w:val="bottom"/>
            <w:gridSpan w:val="3"/>
          </w:tcPr>
          <w:p>
            <w:pPr>
              <w:spacing w:after="0"/>
              <w:rPr>
                <w:sz w:val="20"/>
                <w:szCs w:val="20"/>
                <w:color w:val="auto"/>
              </w:rPr>
            </w:pPr>
            <w:r>
              <w:rPr>
                <w:rFonts w:ascii="Arial" w:cs="Arial" w:eastAsia="Arial" w:hAnsi="Arial"/>
                <w:sz w:val="20"/>
                <w:szCs w:val="20"/>
                <w:color w:val="auto"/>
              </w:rPr>
              <w:t>Cost of sales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204,414</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142,422</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62,561</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1,640</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411,037</w:t>
            </w:r>
          </w:p>
        </w:tc>
        <w:tc>
          <w:tcPr>
            <w:tcW w:w="180" w:type="dxa"/>
            <w:vAlign w:val="bottom"/>
          </w:tcPr>
          <w:p>
            <w:pPr>
              <w:spacing w:after="0"/>
              <w:rPr>
                <w:sz w:val="22"/>
                <w:szCs w:val="22"/>
                <w:color w:val="auto"/>
              </w:rPr>
            </w:pPr>
          </w:p>
        </w:tc>
      </w:tr>
      <w:tr>
        <w:trPr>
          <w:trHeight w:val="237"/>
        </w:trPr>
        <w:tc>
          <w:tcPr>
            <w:tcW w:w="3260" w:type="dxa"/>
            <w:vAlign w:val="bottom"/>
            <w:gridSpan w:val="3"/>
          </w:tcPr>
          <w:p>
            <w:pPr>
              <w:spacing w:after="0"/>
              <w:rPr>
                <w:sz w:val="20"/>
                <w:szCs w:val="20"/>
                <w:color w:val="auto"/>
              </w:rPr>
            </w:pPr>
            <w:r>
              <w:rPr>
                <w:rFonts w:ascii="Arial" w:cs="Arial" w:eastAsia="Arial" w:hAnsi="Arial"/>
                <w:sz w:val="20"/>
                <w:szCs w:val="20"/>
                <w:color w:val="auto"/>
              </w:rPr>
              <w:t>Gross profit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152,391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89,864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23,803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20"/>
                <w:szCs w:val="20"/>
                <w:color w:val="auto"/>
              </w:rPr>
              <w:t>(1,640)</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264,418</w:t>
            </w:r>
          </w:p>
        </w:tc>
        <w:tc>
          <w:tcPr>
            <w:tcW w:w="180" w:type="dxa"/>
            <w:vAlign w:val="bottom"/>
          </w:tcPr>
          <w:p>
            <w:pPr>
              <w:spacing w:after="0"/>
              <w:rPr>
                <w:sz w:val="20"/>
                <w:szCs w:val="20"/>
                <w:color w:val="auto"/>
              </w:rPr>
            </w:pPr>
          </w:p>
        </w:tc>
      </w:tr>
      <w:tr>
        <w:trPr>
          <w:trHeight w:val="254"/>
        </w:trPr>
        <w:tc>
          <w:tcPr>
            <w:tcW w:w="3260" w:type="dxa"/>
            <w:vAlign w:val="bottom"/>
            <w:gridSpan w:val="3"/>
          </w:tcPr>
          <w:p>
            <w:pPr>
              <w:spacing w:after="0"/>
              <w:rPr>
                <w:sz w:val="20"/>
                <w:szCs w:val="20"/>
                <w:color w:val="auto"/>
              </w:rPr>
            </w:pPr>
            <w:r>
              <w:rPr>
                <w:rFonts w:ascii="Arial" w:cs="Arial" w:eastAsia="Arial" w:hAnsi="Arial"/>
                <w:sz w:val="20"/>
                <w:szCs w:val="20"/>
                <w:color w:val="auto"/>
              </w:rPr>
              <w:t>Gross profit %</w:t>
            </w:r>
          </w:p>
        </w:tc>
        <w:tc>
          <w:tcPr>
            <w:tcW w:w="180" w:type="dxa"/>
            <w:vAlign w:val="bottom"/>
          </w:tcPr>
          <w:p>
            <w:pPr>
              <w:spacing w:after="0"/>
              <w:rPr>
                <w:sz w:val="22"/>
                <w:szCs w:val="2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20"/>
                <w:szCs w:val="20"/>
                <w:color w:val="auto"/>
              </w:rPr>
              <w:t>42.7%</w:t>
            </w:r>
          </w:p>
        </w:tc>
        <w:tc>
          <w:tcPr>
            <w:tcW w:w="12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auto"/>
              </w:rPr>
              <w:t>38.7%</w:t>
            </w:r>
          </w:p>
        </w:tc>
        <w:tc>
          <w:tcPr>
            <w:tcW w:w="180" w:type="dxa"/>
            <w:vAlign w:val="bottom"/>
          </w:tcPr>
          <w:p>
            <w:pPr>
              <w:spacing w:after="0"/>
              <w:rPr>
                <w:sz w:val="22"/>
                <w:szCs w:val="2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20"/>
                <w:szCs w:val="20"/>
                <w:color w:val="auto"/>
              </w:rPr>
              <w:t>27.6%</w:t>
            </w:r>
          </w:p>
        </w:tc>
        <w:tc>
          <w:tcPr>
            <w:tcW w:w="16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20"/>
                <w:szCs w:val="20"/>
                <w:color w:val="auto"/>
              </w:rPr>
              <w:t>nm</w:t>
            </w:r>
          </w:p>
        </w:tc>
        <w:tc>
          <w:tcPr>
            <w:tcW w:w="26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39.1%</w:t>
            </w:r>
          </w:p>
        </w:tc>
      </w:tr>
      <w:tr>
        <w:trPr>
          <w:trHeight w:val="474"/>
        </w:trPr>
        <w:tc>
          <w:tcPr>
            <w:tcW w:w="3260" w:type="dxa"/>
            <w:vAlign w:val="bottom"/>
            <w:gridSpan w:val="3"/>
          </w:tcPr>
          <w:p>
            <w:pPr>
              <w:spacing w:after="0"/>
              <w:rPr>
                <w:sz w:val="20"/>
                <w:szCs w:val="20"/>
                <w:color w:val="auto"/>
              </w:rPr>
            </w:pPr>
            <w:r>
              <w:rPr>
                <w:rFonts w:ascii="Arial" w:cs="Arial" w:eastAsia="Arial" w:hAnsi="Arial"/>
                <w:sz w:val="20"/>
                <w:szCs w:val="20"/>
                <w:color w:val="auto"/>
              </w:rPr>
              <w:t>Other Segment Disclosures:</w:t>
            </w: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63"/>
        </w:trPr>
        <w:tc>
          <w:tcPr>
            <w:tcW w:w="22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Total Assets</w:t>
            </w:r>
          </w:p>
        </w:tc>
        <w:tc>
          <w:tcPr>
            <w:tcW w:w="1020" w:type="dxa"/>
            <w:vAlign w:val="bottom"/>
            <w:gridSpan w:val="2"/>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633,801</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183,249</w:t>
            </w:r>
          </w:p>
        </w:tc>
        <w:tc>
          <w:tcPr>
            <w:tcW w:w="2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54,144</w:t>
            </w:r>
          </w:p>
        </w:tc>
        <w:tc>
          <w:tcPr>
            <w:tcW w:w="2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64,006</w:t>
            </w:r>
          </w:p>
        </w:tc>
        <w:tc>
          <w:tcPr>
            <w:tcW w:w="140" w:type="dxa"/>
            <w:vAlign w:val="bottom"/>
          </w:tcPr>
          <w:p>
            <w:pPr>
              <w:spacing w:after="0"/>
              <w:rPr>
                <w:sz w:val="22"/>
                <w:szCs w:val="22"/>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935,200</w:t>
            </w:r>
          </w:p>
        </w:tc>
        <w:tc>
          <w:tcPr>
            <w:tcW w:w="180" w:type="dxa"/>
            <w:vAlign w:val="bottom"/>
          </w:tcPr>
          <w:p>
            <w:pPr>
              <w:spacing w:after="0"/>
              <w:rPr>
                <w:sz w:val="22"/>
                <w:szCs w:val="22"/>
                <w:color w:val="auto"/>
              </w:rPr>
            </w:pPr>
          </w:p>
        </w:tc>
      </w:tr>
      <w:tr>
        <w:trPr>
          <w:trHeight w:val="258"/>
        </w:trPr>
        <w:tc>
          <w:tcPr>
            <w:tcW w:w="3260" w:type="dxa"/>
            <w:vAlign w:val="bottom"/>
            <w:gridSpan w:val="3"/>
          </w:tcPr>
          <w:p>
            <w:pPr>
              <w:spacing w:after="0"/>
              <w:rPr>
                <w:sz w:val="20"/>
                <w:szCs w:val="20"/>
                <w:color w:val="auto"/>
              </w:rPr>
            </w:pPr>
            <w:r>
              <w:rPr>
                <w:rFonts w:ascii="Arial" w:cs="Arial" w:eastAsia="Arial" w:hAnsi="Arial"/>
                <w:sz w:val="20"/>
                <w:szCs w:val="20"/>
                <w:color w:val="auto"/>
              </w:rPr>
              <w:t>Capital Expenditures</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5,109</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6,442</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326</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12,002</w:t>
            </w:r>
          </w:p>
        </w:tc>
        <w:tc>
          <w:tcPr>
            <w:tcW w:w="180" w:type="dxa"/>
            <w:vAlign w:val="bottom"/>
          </w:tcPr>
          <w:p>
            <w:pPr>
              <w:spacing w:after="0"/>
              <w:rPr>
                <w:sz w:val="22"/>
                <w:szCs w:val="22"/>
                <w:color w:val="auto"/>
              </w:rPr>
            </w:pPr>
          </w:p>
        </w:tc>
      </w:tr>
      <w:tr>
        <w:trPr>
          <w:trHeight w:val="229"/>
        </w:trPr>
        <w:tc>
          <w:tcPr>
            <w:tcW w:w="3260" w:type="dxa"/>
            <w:vAlign w:val="bottom"/>
            <w:gridSpan w:val="3"/>
          </w:tcPr>
          <w:p>
            <w:pPr>
              <w:spacing w:after="0"/>
              <w:rPr>
                <w:sz w:val="20"/>
                <w:szCs w:val="20"/>
                <w:color w:val="auto"/>
              </w:rPr>
            </w:pPr>
            <w:r>
              <w:rPr>
                <w:rFonts w:ascii="Arial" w:cs="Arial" w:eastAsia="Arial" w:hAnsi="Arial"/>
                <w:sz w:val="20"/>
                <w:szCs w:val="20"/>
                <w:color w:val="auto"/>
              </w:rPr>
              <w:t>Depreciation and Amortization</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60"/>
        </w:trPr>
        <w:tc>
          <w:tcPr>
            <w:tcW w:w="3260" w:type="dxa"/>
            <w:vAlign w:val="bottom"/>
            <w:gridSpan w:val="3"/>
          </w:tcPr>
          <w:p>
            <w:pPr>
              <w:spacing w:after="0"/>
              <w:rPr>
                <w:sz w:val="20"/>
                <w:szCs w:val="20"/>
                <w:color w:val="auto"/>
              </w:rPr>
            </w:pPr>
            <w:r>
              <w:rPr>
                <w:rFonts w:ascii="Arial" w:cs="Arial" w:eastAsia="Arial" w:hAnsi="Arial"/>
                <w:sz w:val="20"/>
                <w:szCs w:val="20"/>
                <w:color w:val="auto"/>
              </w:rPr>
              <w:t>Expense</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18,012</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7,034</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970</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576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26,592</w:t>
            </w:r>
          </w:p>
        </w:tc>
        <w:tc>
          <w:tcPr>
            <w:tcW w:w="180" w:type="dxa"/>
            <w:vAlign w:val="bottom"/>
          </w:tcPr>
          <w:p>
            <w:pPr>
              <w:spacing w:after="0"/>
              <w:rPr>
                <w:sz w:val="22"/>
                <w:szCs w:val="22"/>
                <w:color w:val="auto"/>
              </w:rPr>
            </w:pPr>
          </w:p>
        </w:tc>
      </w:tr>
      <w:tr>
        <w:trPr>
          <w:trHeight w:val="264"/>
        </w:trPr>
        <w:tc>
          <w:tcPr>
            <w:tcW w:w="3260" w:type="dxa"/>
            <w:vAlign w:val="bottom"/>
            <w:gridSpan w:val="3"/>
          </w:tcPr>
          <w:p>
            <w:pPr>
              <w:spacing w:after="0"/>
              <w:rPr>
                <w:sz w:val="20"/>
                <w:szCs w:val="20"/>
                <w:color w:val="auto"/>
              </w:rPr>
            </w:pPr>
            <w:r>
              <w:rPr>
                <w:rFonts w:ascii="Arial" w:cs="Arial" w:eastAsia="Arial" w:hAnsi="Arial"/>
                <w:sz w:val="20"/>
                <w:szCs w:val="20"/>
                <w:color w:val="auto"/>
              </w:rPr>
              <w:t>Interest Expense</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263</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14,485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14,751</w:t>
            </w:r>
          </w:p>
        </w:tc>
        <w:tc>
          <w:tcPr>
            <w:tcW w:w="1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2240" w:h="15840" w:orient="portrait"/>
          <w:cols w:equalWidth="0" w:num="1">
            <w:col w:w="10800"/>
          </w:cols>
          <w:pgMar w:left="720" w:top="560" w:right="720" w:bottom="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57"/>
        </w:trPr>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9"/>
          </w:tcPr>
          <w:p>
            <w:pPr>
              <w:jc w:val="right"/>
              <w:spacing w:after="0"/>
              <w:rPr>
                <w:sz w:val="20"/>
                <w:szCs w:val="20"/>
                <w:color w:val="auto"/>
              </w:rPr>
            </w:pPr>
            <w:r>
              <w:rPr>
                <w:rFonts w:ascii="Arial" w:cs="Arial" w:eastAsia="Arial" w:hAnsi="Arial"/>
                <w:sz w:val="20"/>
                <w:szCs w:val="20"/>
                <w:color w:val="auto"/>
              </w:rPr>
              <w:t>Year Ended December 31, 2024</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3"/>
          </w:tcPr>
          <w:p>
            <w:pPr>
              <w:ind w:left="40"/>
              <w:spacing w:after="0" w:line="206" w:lineRule="exact"/>
              <w:rPr>
                <w:sz w:val="20"/>
                <w:szCs w:val="20"/>
                <w:color w:val="auto"/>
              </w:rPr>
            </w:pPr>
            <w:r>
              <w:rPr>
                <w:rFonts w:ascii="Arial" w:cs="Arial" w:eastAsia="Arial" w:hAnsi="Arial"/>
                <w:sz w:val="20"/>
                <w:szCs w:val="20"/>
                <w:color w:val="auto"/>
              </w:rPr>
              <w:t>Power</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gridSpan w:val="4"/>
          </w:tcPr>
          <w:p>
            <w:pPr>
              <w:ind w:left="200"/>
              <w:spacing w:after="0" w:line="227" w:lineRule="exact"/>
              <w:rPr>
                <w:sz w:val="20"/>
                <w:szCs w:val="20"/>
                <w:color w:val="auto"/>
              </w:rPr>
            </w:pPr>
            <w:r>
              <w:rPr>
                <w:rFonts w:ascii="Arial" w:cs="Arial" w:eastAsia="Arial" w:hAnsi="Arial"/>
                <w:sz w:val="20"/>
                <w:szCs w:val="20"/>
                <w:color w:val="auto"/>
              </w:rPr>
              <w:t>Solutions</w:t>
            </w:r>
          </w:p>
        </w:tc>
        <w:tc>
          <w:tcPr>
            <w:tcW w:w="1220" w:type="dxa"/>
            <w:vAlign w:val="bottom"/>
            <w:gridSpan w:val="4"/>
          </w:tcPr>
          <w:p>
            <w:pPr>
              <w:jc w:val="right"/>
              <w:spacing w:after="0" w:line="227" w:lineRule="exact"/>
              <w:rPr>
                <w:sz w:val="20"/>
                <w:szCs w:val="20"/>
                <w:color w:val="auto"/>
              </w:rPr>
            </w:pPr>
            <w:r>
              <w:rPr>
                <w:rFonts w:ascii="Arial" w:cs="Arial" w:eastAsia="Arial" w:hAnsi="Arial"/>
                <w:sz w:val="20"/>
                <w:szCs w:val="20"/>
                <w:color w:val="auto"/>
              </w:rPr>
              <w:t>Connectivity</w:t>
            </w:r>
          </w:p>
        </w:tc>
        <w:tc>
          <w:tcPr>
            <w:tcW w:w="280" w:type="dxa"/>
            <w:vAlign w:val="bottom"/>
          </w:tcPr>
          <w:p>
            <w:pPr>
              <w:spacing w:after="0"/>
              <w:rPr>
                <w:sz w:val="19"/>
                <w:szCs w:val="19"/>
                <w:color w:val="auto"/>
              </w:rPr>
            </w:pPr>
          </w:p>
        </w:tc>
        <w:tc>
          <w:tcPr>
            <w:tcW w:w="1220" w:type="dxa"/>
            <w:vAlign w:val="bottom"/>
            <w:gridSpan w:val="4"/>
          </w:tcPr>
          <w:p>
            <w:pPr>
              <w:jc w:val="right"/>
              <w:ind w:right="141"/>
              <w:spacing w:after="0" w:line="227" w:lineRule="exact"/>
              <w:rPr>
                <w:sz w:val="20"/>
                <w:szCs w:val="20"/>
                <w:color w:val="auto"/>
              </w:rPr>
            </w:pPr>
            <w:r>
              <w:rPr>
                <w:rFonts w:ascii="Arial" w:cs="Arial" w:eastAsia="Arial" w:hAnsi="Arial"/>
                <w:sz w:val="20"/>
                <w:szCs w:val="20"/>
                <w:color w:val="auto"/>
              </w:rPr>
              <w:t>Magnetic</w:t>
            </w:r>
          </w:p>
        </w:tc>
        <w:tc>
          <w:tcPr>
            <w:tcW w:w="260" w:type="dxa"/>
            <w:vAlign w:val="bottom"/>
          </w:tcPr>
          <w:p>
            <w:pPr>
              <w:spacing w:after="0"/>
              <w:rPr>
                <w:sz w:val="19"/>
                <w:szCs w:val="19"/>
                <w:color w:val="auto"/>
              </w:rPr>
            </w:pPr>
          </w:p>
        </w:tc>
        <w:tc>
          <w:tcPr>
            <w:tcW w:w="1380" w:type="dxa"/>
            <w:vAlign w:val="bottom"/>
            <w:gridSpan w:val="4"/>
          </w:tcPr>
          <w:p>
            <w:pPr>
              <w:jc w:val="center"/>
              <w:spacing w:after="0" w:line="227" w:lineRule="exact"/>
              <w:rPr>
                <w:sz w:val="20"/>
                <w:szCs w:val="20"/>
                <w:color w:val="auto"/>
              </w:rPr>
            </w:pPr>
            <w:r>
              <w:rPr>
                <w:rFonts w:ascii="Arial" w:cs="Arial" w:eastAsia="Arial" w:hAnsi="Arial"/>
                <w:sz w:val="20"/>
                <w:szCs w:val="20"/>
                <w:color w:val="auto"/>
                <w:w w:val="90"/>
              </w:rPr>
              <w:t>Corporate/</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9"/>
              </w:rPr>
              <w:t>and Protection</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20"/>
                <w:szCs w:val="20"/>
                <w:color w:val="auto"/>
                <w:w w:val="99"/>
              </w:rPr>
              <w:t>Solutions</w:t>
            </w:r>
          </w:p>
        </w:tc>
        <w:tc>
          <w:tcPr>
            <w:tcW w:w="280" w:type="dxa"/>
            <w:vAlign w:val="bottom"/>
          </w:tcPr>
          <w:p>
            <w:pPr>
              <w:spacing w:after="0"/>
              <w:rPr>
                <w:sz w:val="22"/>
                <w:szCs w:val="22"/>
                <w:color w:val="auto"/>
              </w:rPr>
            </w:pPr>
          </w:p>
        </w:tc>
        <w:tc>
          <w:tcPr>
            <w:tcW w:w="122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20"/>
                <w:szCs w:val="20"/>
                <w:color w:val="auto"/>
              </w:rPr>
              <w:t>Solutions</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center"/>
              <w:ind w:right="221"/>
              <w:spacing w:after="0"/>
              <w:rPr>
                <w:sz w:val="20"/>
                <w:szCs w:val="20"/>
                <w:color w:val="auto"/>
              </w:rPr>
            </w:pPr>
            <w:r>
              <w:rPr>
                <w:rFonts w:ascii="Arial" w:cs="Arial" w:eastAsia="Arial" w:hAnsi="Arial"/>
                <w:sz w:val="20"/>
                <w:szCs w:val="20"/>
                <w:color w:val="auto"/>
                <w:w w:val="91"/>
              </w:rPr>
              <w:t>Other</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20"/>
                <w:szCs w:val="20"/>
                <w:color w:val="auto"/>
                <w:w w:val="94"/>
              </w:rPr>
              <w:t>Total</w:t>
            </w:r>
          </w:p>
        </w:tc>
        <w:tc>
          <w:tcPr>
            <w:tcW w:w="2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0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300" w:type="dxa"/>
            <w:vAlign w:val="bottom"/>
          </w:tcPr>
          <w:p>
            <w:pPr>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6"/>
              </w:rPr>
              <w:t>245,551</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88"/>
              </w:rPr>
              <w:t>220,370</w:t>
            </w:r>
          </w:p>
        </w:tc>
        <w:tc>
          <w:tcPr>
            <w:tcW w:w="5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91"/>
              </w:rPr>
              <w:t>68,871</w:t>
            </w:r>
          </w:p>
        </w:tc>
        <w:tc>
          <w:tcPr>
            <w:tcW w:w="580" w:type="dxa"/>
            <w:vAlign w:val="bottom"/>
            <w:gridSpan w:val="2"/>
          </w:tcPr>
          <w:p>
            <w:pPr>
              <w:jc w:val="right"/>
              <w:ind w:right="1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534,792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40" w:type="dxa"/>
            <w:vAlign w:val="bottom"/>
            <w:gridSpan w:val="2"/>
          </w:tcPr>
          <w:p>
            <w:pPr>
              <w:spacing w:after="0"/>
              <w:rPr>
                <w:sz w:val="20"/>
                <w:szCs w:val="20"/>
                <w:color w:val="auto"/>
              </w:rPr>
            </w:pPr>
            <w:r>
              <w:rPr>
                <w:rFonts w:ascii="Arial" w:cs="Arial" w:eastAsia="Arial" w:hAnsi="Arial"/>
                <w:sz w:val="20"/>
                <w:szCs w:val="20"/>
                <w:color w:val="auto"/>
              </w:rPr>
              <w:t>Cost of sales</w:t>
            </w:r>
          </w:p>
        </w:tc>
        <w:tc>
          <w:tcPr>
            <w:tcW w:w="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141,425</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138,606</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51,418</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985</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332,434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040" w:type="dxa"/>
            <w:vAlign w:val="bottom"/>
            <w:gridSpan w:val="2"/>
          </w:tcPr>
          <w:p>
            <w:pPr>
              <w:spacing w:after="0"/>
              <w:rPr>
                <w:sz w:val="20"/>
                <w:szCs w:val="20"/>
                <w:color w:val="auto"/>
              </w:rPr>
            </w:pPr>
            <w:r>
              <w:rPr>
                <w:rFonts w:ascii="Arial" w:cs="Arial" w:eastAsia="Arial" w:hAnsi="Arial"/>
                <w:sz w:val="20"/>
                <w:szCs w:val="20"/>
                <w:color w:val="auto"/>
              </w:rPr>
              <w:t>Gross profit</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6"/>
              </w:rPr>
              <w:t>104,126</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81,764</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91"/>
              </w:rPr>
              <w:t>17,453</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(985)</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202,358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040" w:type="dxa"/>
            <w:vAlign w:val="bottom"/>
            <w:gridSpan w:val="2"/>
          </w:tcPr>
          <w:p>
            <w:pPr>
              <w:spacing w:after="0"/>
              <w:rPr>
                <w:sz w:val="20"/>
                <w:szCs w:val="20"/>
                <w:color w:val="auto"/>
              </w:rPr>
            </w:pPr>
            <w:r>
              <w:rPr>
                <w:rFonts w:ascii="Arial" w:cs="Arial" w:eastAsia="Arial" w:hAnsi="Arial"/>
                <w:sz w:val="20"/>
                <w:szCs w:val="20"/>
                <w:color w:val="auto"/>
              </w:rPr>
              <w:t>Gross profit %</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20"/>
                <w:szCs w:val="20"/>
                <w:color w:val="auto"/>
              </w:rPr>
              <w:t>42.4%</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20"/>
                <w:szCs w:val="20"/>
                <w:color w:val="auto"/>
              </w:rPr>
              <w:t>37.1%</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20"/>
                <w:szCs w:val="20"/>
                <w:color w:val="auto"/>
              </w:rPr>
              <w:t>25.3%</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center"/>
              <w:ind w:left="261"/>
              <w:spacing w:after="0"/>
              <w:rPr>
                <w:sz w:val="20"/>
                <w:szCs w:val="20"/>
                <w:color w:val="auto"/>
              </w:rPr>
            </w:pPr>
            <w:r>
              <w:rPr>
                <w:rFonts w:ascii="Arial" w:cs="Arial" w:eastAsia="Arial" w:hAnsi="Arial"/>
                <w:sz w:val="20"/>
                <w:szCs w:val="20"/>
                <w:color w:val="auto"/>
                <w:w w:val="86"/>
              </w:rPr>
              <w:t>nm</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20"/>
                <w:szCs w:val="20"/>
                <w:color w:val="auto"/>
              </w:rPr>
              <w:t>37.8%</w:t>
            </w:r>
          </w:p>
        </w:tc>
        <w:tc>
          <w:tcPr>
            <w:tcW w:w="0" w:type="dxa"/>
            <w:vAlign w:val="bottom"/>
          </w:tcPr>
          <w:p>
            <w:pPr>
              <w:spacing w:after="0"/>
              <w:rPr>
                <w:sz w:val="1"/>
                <w:szCs w:val="1"/>
                <w:color w:val="auto"/>
              </w:rPr>
            </w:pPr>
          </w:p>
        </w:tc>
      </w:tr>
      <w:tr>
        <w:trPr>
          <w:trHeight w:val="496"/>
        </w:trPr>
        <w:tc>
          <w:tcPr>
            <w:tcW w:w="3040" w:type="dxa"/>
            <w:vAlign w:val="bottom"/>
            <w:gridSpan w:val="2"/>
          </w:tcPr>
          <w:p>
            <w:pPr>
              <w:spacing w:after="0"/>
              <w:rPr>
                <w:sz w:val="20"/>
                <w:szCs w:val="20"/>
                <w:color w:val="auto"/>
              </w:rPr>
            </w:pPr>
            <w:r>
              <w:rPr>
                <w:rFonts w:ascii="Arial" w:cs="Arial" w:eastAsia="Arial" w:hAnsi="Arial"/>
                <w:sz w:val="20"/>
                <w:szCs w:val="20"/>
                <w:color w:val="auto"/>
              </w:rPr>
              <w:t>Other Segment Disclosures:</w:t>
            </w: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2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Total assets</w:t>
            </w:r>
          </w:p>
        </w:tc>
        <w:tc>
          <w:tcPr>
            <w:tcW w:w="8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6"/>
              </w:rPr>
              <w:t>654,131</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88"/>
              </w:rPr>
              <w:t>177,443</w:t>
            </w:r>
          </w:p>
        </w:tc>
        <w:tc>
          <w:tcPr>
            <w:tcW w:w="5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91"/>
              </w:rPr>
              <w:t>51,415</w:t>
            </w:r>
          </w:p>
        </w:tc>
        <w:tc>
          <w:tcPr>
            <w:tcW w:w="580" w:type="dxa"/>
            <w:vAlign w:val="bottom"/>
            <w:gridSpan w:val="2"/>
          </w:tcPr>
          <w:p>
            <w:pPr>
              <w:jc w:val="right"/>
              <w:ind w:right="1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w w:val="98"/>
              </w:rPr>
              <w:t>66,800</w:t>
            </w:r>
          </w:p>
        </w:tc>
        <w:tc>
          <w:tcPr>
            <w:tcW w:w="52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949,789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040" w:type="dxa"/>
            <w:vAlign w:val="bottom"/>
            <w:gridSpan w:val="2"/>
          </w:tcPr>
          <w:p>
            <w:pPr>
              <w:spacing w:after="0"/>
              <w:rPr>
                <w:sz w:val="20"/>
                <w:szCs w:val="20"/>
                <w:color w:val="auto"/>
              </w:rPr>
            </w:pPr>
            <w:r>
              <w:rPr>
                <w:rFonts w:ascii="Arial" w:cs="Arial" w:eastAsia="Arial" w:hAnsi="Arial"/>
                <w:sz w:val="20"/>
                <w:szCs w:val="20"/>
                <w:color w:val="auto"/>
              </w:rPr>
              <w:t>Capital expenditures</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5,446</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7,908</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281</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473</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14,108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040" w:type="dxa"/>
            <w:vAlign w:val="bottom"/>
            <w:gridSpan w:val="2"/>
          </w:tcPr>
          <w:p>
            <w:pPr>
              <w:spacing w:after="0"/>
              <w:rPr>
                <w:sz w:val="20"/>
                <w:szCs w:val="20"/>
                <w:color w:val="auto"/>
              </w:rPr>
            </w:pPr>
            <w:r>
              <w:rPr>
                <w:rFonts w:ascii="Arial" w:cs="Arial" w:eastAsia="Arial" w:hAnsi="Arial"/>
                <w:sz w:val="20"/>
                <w:szCs w:val="20"/>
                <w:color w:val="auto"/>
              </w:rPr>
              <w:t>Depreciation and amortization</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40" w:type="dxa"/>
            <w:vAlign w:val="bottom"/>
            <w:gridSpan w:val="2"/>
          </w:tcPr>
          <w:p>
            <w:pPr>
              <w:spacing w:after="0"/>
              <w:rPr>
                <w:sz w:val="20"/>
                <w:szCs w:val="20"/>
                <w:color w:val="auto"/>
              </w:rPr>
            </w:pPr>
            <w:r>
              <w:rPr>
                <w:rFonts w:ascii="Arial" w:cs="Arial" w:eastAsia="Arial" w:hAnsi="Arial"/>
                <w:sz w:val="20"/>
                <w:szCs w:val="20"/>
                <w:color w:val="auto"/>
              </w:rPr>
              <w:t>expense</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8,284</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6,853</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819</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501</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16,457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040" w:type="dxa"/>
            <w:vAlign w:val="bottom"/>
            <w:gridSpan w:val="2"/>
          </w:tcPr>
          <w:p>
            <w:pPr>
              <w:spacing w:after="0"/>
              <w:rPr>
                <w:sz w:val="20"/>
                <w:szCs w:val="20"/>
                <w:color w:val="auto"/>
              </w:rPr>
            </w:pPr>
            <w:r>
              <w:rPr>
                <w:rFonts w:ascii="Arial" w:cs="Arial" w:eastAsia="Arial" w:hAnsi="Arial"/>
                <w:sz w:val="20"/>
                <w:szCs w:val="20"/>
                <w:color w:val="auto"/>
              </w:rPr>
              <w:t>Interest expense</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1,327</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68</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2,683</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4,078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1"/>
        </w:trPr>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tcPr>
          <w:p>
            <w:pPr>
              <w:jc w:val="right"/>
              <w:spacing w:after="0"/>
              <w:rPr>
                <w:sz w:val="20"/>
                <w:szCs w:val="20"/>
                <w:color w:val="auto"/>
              </w:rPr>
            </w:pPr>
            <w:r>
              <w:rPr>
                <w:rFonts w:ascii="Arial" w:cs="Arial" w:eastAsia="Arial" w:hAnsi="Arial"/>
                <w:sz w:val="20"/>
                <w:szCs w:val="20"/>
                <w:color w:val="auto"/>
              </w:rPr>
              <w:t>Year Ended December 31, 2023</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spacing w:after="0" w:line="206" w:lineRule="exact"/>
              <w:rPr>
                <w:sz w:val="20"/>
                <w:szCs w:val="20"/>
                <w:color w:val="auto"/>
              </w:rPr>
            </w:pPr>
            <w:r>
              <w:rPr>
                <w:rFonts w:ascii="Arial" w:cs="Arial" w:eastAsia="Arial" w:hAnsi="Arial"/>
                <w:sz w:val="20"/>
                <w:szCs w:val="20"/>
                <w:color w:val="auto"/>
                <w:w w:val="88"/>
              </w:rPr>
              <w:t>Power</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auto"/>
                <w:w w:val="92"/>
              </w:rPr>
              <w:t>Solutions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20"/>
                <w:szCs w:val="20"/>
                <w:color w:val="auto"/>
                <w:w w:val="93"/>
              </w:rPr>
              <w:t>Connectivity</w:t>
            </w:r>
          </w:p>
        </w:tc>
        <w:tc>
          <w:tcPr>
            <w:tcW w:w="140" w:type="dxa"/>
            <w:vAlign w:val="bottom"/>
          </w:tcPr>
          <w:p>
            <w:pPr>
              <w:spacing w:after="0"/>
              <w:rPr>
                <w:sz w:val="19"/>
                <w:szCs w:val="19"/>
                <w:color w:val="auto"/>
              </w:rPr>
            </w:pPr>
          </w:p>
        </w:tc>
        <w:tc>
          <w:tcPr>
            <w:tcW w:w="1440" w:type="dxa"/>
            <w:vAlign w:val="bottom"/>
            <w:gridSpan w:val="4"/>
          </w:tcPr>
          <w:p>
            <w:pPr>
              <w:jc w:val="right"/>
              <w:ind w:right="441"/>
              <w:spacing w:after="0"/>
              <w:rPr>
                <w:sz w:val="20"/>
                <w:szCs w:val="20"/>
                <w:color w:val="auto"/>
              </w:rPr>
            </w:pPr>
            <w:r>
              <w:rPr>
                <w:rFonts w:ascii="Arial" w:cs="Arial" w:eastAsia="Arial" w:hAnsi="Arial"/>
                <w:sz w:val="20"/>
                <w:szCs w:val="20"/>
                <w:color w:val="auto"/>
              </w:rPr>
              <w:t>Magnetic</w:t>
            </w:r>
          </w:p>
        </w:tc>
        <w:tc>
          <w:tcPr>
            <w:tcW w:w="140" w:type="dxa"/>
            <w:vAlign w:val="bottom"/>
          </w:tcPr>
          <w:p>
            <w:pPr>
              <w:spacing w:after="0"/>
              <w:rPr>
                <w:sz w:val="19"/>
                <w:szCs w:val="19"/>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20"/>
                <w:szCs w:val="20"/>
                <w:color w:val="auto"/>
                <w:w w:val="90"/>
              </w:rPr>
              <w:t>Corporate/</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5"/>
          </w:tcPr>
          <w:p>
            <w:pPr>
              <w:jc w:val="center"/>
              <w:ind w:right="161"/>
              <w:spacing w:after="0"/>
              <w:rPr>
                <w:sz w:val="20"/>
                <w:szCs w:val="20"/>
                <w:color w:val="auto"/>
              </w:rPr>
            </w:pPr>
            <w:r>
              <w:rPr>
                <w:rFonts w:ascii="Arial" w:cs="Arial" w:eastAsia="Arial" w:hAnsi="Arial"/>
                <w:sz w:val="20"/>
                <w:szCs w:val="20"/>
                <w:color w:val="auto"/>
                <w:w w:val="89"/>
              </w:rPr>
              <w:t>and Protection</w:t>
            </w:r>
          </w:p>
        </w:tc>
        <w:tc>
          <w:tcPr>
            <w:tcW w:w="120" w:type="dxa"/>
            <w:vAlign w:val="bottom"/>
          </w:tcPr>
          <w:p>
            <w:pPr>
              <w:spacing w:after="0"/>
              <w:rPr>
                <w:sz w:val="22"/>
                <w:szCs w:val="22"/>
                <w:color w:val="auto"/>
              </w:rPr>
            </w:pPr>
          </w:p>
        </w:tc>
        <w:tc>
          <w:tcPr>
            <w:tcW w:w="1440" w:type="dxa"/>
            <w:vAlign w:val="bottom"/>
            <w:gridSpan w:val="4"/>
          </w:tcPr>
          <w:p>
            <w:pPr>
              <w:jc w:val="right"/>
              <w:ind w:right="540"/>
              <w:spacing w:after="0"/>
              <w:rPr>
                <w:sz w:val="20"/>
                <w:szCs w:val="20"/>
                <w:color w:val="auto"/>
              </w:rPr>
            </w:pPr>
            <w:r>
              <w:rPr>
                <w:rFonts w:ascii="Arial" w:cs="Arial" w:eastAsia="Arial" w:hAnsi="Arial"/>
                <w:sz w:val="20"/>
                <w:szCs w:val="20"/>
                <w:color w:val="auto"/>
              </w:rPr>
              <w:t>Solutions</w:t>
            </w:r>
          </w:p>
        </w:tc>
        <w:tc>
          <w:tcPr>
            <w:tcW w:w="140" w:type="dxa"/>
            <w:vAlign w:val="bottom"/>
          </w:tcPr>
          <w:p>
            <w:pPr>
              <w:spacing w:after="0"/>
              <w:rPr>
                <w:sz w:val="22"/>
                <w:szCs w:val="22"/>
                <w:color w:val="auto"/>
              </w:rPr>
            </w:pPr>
          </w:p>
        </w:tc>
        <w:tc>
          <w:tcPr>
            <w:tcW w:w="1440" w:type="dxa"/>
            <w:vAlign w:val="bottom"/>
            <w:gridSpan w:val="4"/>
          </w:tcPr>
          <w:p>
            <w:pPr>
              <w:jc w:val="right"/>
              <w:ind w:right="441"/>
              <w:spacing w:after="0"/>
              <w:rPr>
                <w:sz w:val="20"/>
                <w:szCs w:val="20"/>
                <w:color w:val="auto"/>
              </w:rPr>
            </w:pPr>
            <w:r>
              <w:rPr>
                <w:rFonts w:ascii="Arial" w:cs="Arial" w:eastAsia="Arial" w:hAnsi="Arial"/>
                <w:sz w:val="20"/>
                <w:szCs w:val="20"/>
                <w:color w:val="auto"/>
              </w:rPr>
              <w:t>Solutions</w:t>
            </w:r>
          </w:p>
        </w:tc>
        <w:tc>
          <w:tcPr>
            <w:tcW w:w="140" w:type="dxa"/>
            <w:vAlign w:val="bottom"/>
            <w:tcBorders>
              <w:bottom w:val="single" w:sz="8" w:color="auto"/>
            </w:tcBorders>
          </w:tcPr>
          <w:p>
            <w:pPr>
              <w:spacing w:after="0"/>
              <w:rPr>
                <w:sz w:val="22"/>
                <w:szCs w:val="22"/>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20"/>
                <w:szCs w:val="20"/>
                <w:color w:val="auto"/>
                <w:w w:val="91"/>
              </w:rPr>
              <w:t>Other</w:t>
            </w:r>
          </w:p>
        </w:tc>
        <w:tc>
          <w:tcPr>
            <w:tcW w:w="60" w:type="dxa"/>
            <w:vAlign w:val="bottom"/>
          </w:tcPr>
          <w:p>
            <w:pPr>
              <w:spacing w:after="0"/>
              <w:rPr>
                <w:sz w:val="22"/>
                <w:szCs w:val="22"/>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74"/>
        </w:trPr>
        <w:tc>
          <w:tcPr>
            <w:tcW w:w="30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$314,105</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$210,572</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$115,136</w:t>
            </w:r>
          </w:p>
        </w:tc>
        <w:tc>
          <w:tcPr>
            <w:tcW w:w="280" w:type="dxa"/>
            <w:vAlign w:val="bottom"/>
          </w:tcPr>
          <w:p>
            <w:pPr>
              <w:spacing w:after="0"/>
              <w:rPr>
                <w:sz w:val="23"/>
                <w:szCs w:val="23"/>
                <w:color w:val="auto"/>
              </w:rPr>
            </w:pPr>
          </w:p>
        </w:tc>
        <w:tc>
          <w:tcPr>
            <w:tcW w:w="14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64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3"/>
                <w:szCs w:val="23"/>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20"/>
                <w:szCs w:val="20"/>
                <w:color w:val="auto"/>
              </w:rPr>
              <w:t>$639,813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040" w:type="dxa"/>
            <w:vAlign w:val="bottom"/>
            <w:gridSpan w:val="2"/>
          </w:tcPr>
          <w:p>
            <w:pPr>
              <w:spacing w:after="0"/>
              <w:rPr>
                <w:sz w:val="20"/>
                <w:szCs w:val="20"/>
                <w:color w:val="auto"/>
              </w:rPr>
            </w:pPr>
            <w:r>
              <w:rPr>
                <w:rFonts w:ascii="Arial" w:cs="Arial" w:eastAsia="Arial" w:hAnsi="Arial"/>
                <w:sz w:val="20"/>
                <w:szCs w:val="20"/>
                <w:color w:val="auto"/>
              </w:rPr>
              <w:t>Cost of sales</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194,364</w:t>
            </w: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138,541</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1"/>
              </w:rPr>
              <w:t>89,822</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9"/>
              </w:rPr>
              <w:t>1,237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423,964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040" w:type="dxa"/>
            <w:vAlign w:val="bottom"/>
            <w:gridSpan w:val="2"/>
          </w:tcPr>
          <w:p>
            <w:pPr>
              <w:spacing w:after="0"/>
              <w:rPr>
                <w:sz w:val="20"/>
                <w:szCs w:val="20"/>
                <w:color w:val="auto"/>
              </w:rPr>
            </w:pPr>
            <w:r>
              <w:rPr>
                <w:rFonts w:ascii="Arial" w:cs="Arial" w:eastAsia="Arial" w:hAnsi="Arial"/>
                <w:sz w:val="20"/>
                <w:szCs w:val="20"/>
                <w:color w:val="auto"/>
              </w:rPr>
              <w:t>Gross profit</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119,741</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72,031</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20"/>
                <w:szCs w:val="20"/>
                <w:color w:val="auto"/>
                <w:w w:val="91"/>
              </w:rPr>
              <w:t>25,314</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20"/>
                <w:szCs w:val="20"/>
                <w:color w:val="auto"/>
                <w:w w:val="91"/>
              </w:rPr>
              <w:t>(1,237)</w:t>
            </w:r>
          </w:p>
        </w:tc>
        <w:tc>
          <w:tcPr>
            <w:tcW w:w="1020" w:type="dxa"/>
            <w:vAlign w:val="bottom"/>
            <w:gridSpan w:val="3"/>
          </w:tcPr>
          <w:p>
            <w:pPr>
              <w:jc w:val="right"/>
              <w:ind w:right="20"/>
              <w:spacing w:after="0"/>
              <w:rPr>
                <w:sz w:val="20"/>
                <w:szCs w:val="20"/>
                <w:color w:val="auto"/>
              </w:rPr>
            </w:pPr>
            <w:r>
              <w:rPr>
                <w:rFonts w:ascii="Arial" w:cs="Arial" w:eastAsia="Arial" w:hAnsi="Arial"/>
                <w:sz w:val="20"/>
                <w:szCs w:val="20"/>
                <w:color w:val="auto"/>
              </w:rPr>
              <w:t>215,849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040" w:type="dxa"/>
            <w:vAlign w:val="bottom"/>
            <w:gridSpan w:val="2"/>
          </w:tcPr>
          <w:p>
            <w:pPr>
              <w:spacing w:after="0"/>
              <w:rPr>
                <w:sz w:val="20"/>
                <w:szCs w:val="20"/>
                <w:color w:val="auto"/>
              </w:rPr>
            </w:pPr>
            <w:r>
              <w:rPr>
                <w:rFonts w:ascii="Arial" w:cs="Arial" w:eastAsia="Arial" w:hAnsi="Arial"/>
                <w:sz w:val="20"/>
                <w:szCs w:val="20"/>
                <w:color w:val="auto"/>
              </w:rPr>
              <w:t>Gross profit %</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4"/>
          </w:tcPr>
          <w:p>
            <w:pPr>
              <w:jc w:val="right"/>
              <w:ind w:right="1"/>
              <w:spacing w:after="0"/>
              <w:rPr>
                <w:sz w:val="20"/>
                <w:szCs w:val="20"/>
                <w:color w:val="auto"/>
              </w:rPr>
            </w:pPr>
            <w:r>
              <w:rPr>
                <w:rFonts w:ascii="Arial" w:cs="Arial" w:eastAsia="Arial" w:hAnsi="Arial"/>
                <w:sz w:val="20"/>
                <w:szCs w:val="20"/>
                <w:color w:val="auto"/>
              </w:rPr>
              <w:t>38.1%</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20"/>
                <w:szCs w:val="20"/>
                <w:color w:val="auto"/>
              </w:rPr>
              <w:t>34.2%</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gridSpan w:val="3"/>
          </w:tcPr>
          <w:p>
            <w:pPr>
              <w:jc w:val="right"/>
              <w:ind w:right="1"/>
              <w:spacing w:after="0"/>
              <w:rPr>
                <w:sz w:val="20"/>
                <w:szCs w:val="20"/>
                <w:color w:val="auto"/>
              </w:rPr>
            </w:pPr>
            <w:r>
              <w:rPr>
                <w:rFonts w:ascii="Arial" w:cs="Arial" w:eastAsia="Arial" w:hAnsi="Arial"/>
                <w:sz w:val="20"/>
                <w:szCs w:val="20"/>
                <w:color w:val="auto"/>
              </w:rPr>
              <w:t>22.0%</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20"/>
                <w:szCs w:val="20"/>
                <w:color w:val="auto"/>
              </w:rPr>
              <w:t>nm</w:t>
            </w:r>
          </w:p>
        </w:tc>
        <w:tc>
          <w:tcPr>
            <w:tcW w:w="1180" w:type="dxa"/>
            <w:vAlign w:val="bottom"/>
            <w:gridSpan w:val="4"/>
          </w:tcPr>
          <w:p>
            <w:pPr>
              <w:jc w:val="right"/>
              <w:spacing w:after="0"/>
              <w:rPr>
                <w:sz w:val="20"/>
                <w:szCs w:val="20"/>
                <w:color w:val="auto"/>
              </w:rPr>
            </w:pPr>
            <w:r>
              <w:rPr>
                <w:rFonts w:ascii="Arial" w:cs="Arial" w:eastAsia="Arial" w:hAnsi="Arial"/>
                <w:sz w:val="20"/>
                <w:szCs w:val="20"/>
                <w:color w:val="auto"/>
              </w:rPr>
              <w:t>33.7%</w:t>
            </w:r>
          </w:p>
        </w:tc>
        <w:tc>
          <w:tcPr>
            <w:tcW w:w="0" w:type="dxa"/>
            <w:vAlign w:val="bottom"/>
          </w:tcPr>
          <w:p>
            <w:pPr>
              <w:spacing w:after="0"/>
              <w:rPr>
                <w:sz w:val="1"/>
                <w:szCs w:val="1"/>
                <w:color w:val="auto"/>
              </w:rPr>
            </w:pPr>
          </w:p>
        </w:tc>
      </w:tr>
      <w:tr>
        <w:trPr>
          <w:trHeight w:val="520"/>
        </w:trPr>
        <w:tc>
          <w:tcPr>
            <w:tcW w:w="3040" w:type="dxa"/>
            <w:vAlign w:val="bottom"/>
            <w:gridSpan w:val="2"/>
          </w:tcPr>
          <w:p>
            <w:pPr>
              <w:spacing w:after="0"/>
              <w:rPr>
                <w:sz w:val="20"/>
                <w:szCs w:val="20"/>
                <w:color w:val="auto"/>
              </w:rPr>
            </w:pPr>
            <w:r>
              <w:rPr>
                <w:rFonts w:ascii="Arial" w:cs="Arial" w:eastAsia="Arial" w:hAnsi="Arial"/>
                <w:sz w:val="20"/>
                <w:szCs w:val="20"/>
                <w:color w:val="auto"/>
              </w:rPr>
              <w:t>Other Segment Disclosures:</w:t>
            </w: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Total assets</w:t>
            </w:r>
          </w:p>
        </w:tc>
        <w:tc>
          <w:tcPr>
            <w:tcW w:w="800" w:type="dxa"/>
            <w:vAlign w:val="bottom"/>
          </w:tcPr>
          <w:p>
            <w:pPr>
              <w:spacing w:after="0"/>
              <w:rPr>
                <w:sz w:val="24"/>
                <w:szCs w:val="24"/>
                <w:color w:val="auto"/>
              </w:rPr>
            </w:pPr>
          </w:p>
        </w:tc>
        <w:tc>
          <w:tcPr>
            <w:tcW w:w="4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222,068</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197,045</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5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20"/>
                <w:szCs w:val="20"/>
                <w:color w:val="auto"/>
                <w:w w:val="91"/>
              </w:rPr>
              <w:t>47,900</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104,618</w:t>
            </w:r>
          </w:p>
        </w:tc>
        <w:tc>
          <w:tcPr>
            <w:tcW w:w="10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20"/>
                <w:szCs w:val="20"/>
                <w:color w:val="auto"/>
              </w:rPr>
              <w:t>$  571,631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40" w:type="dxa"/>
            <w:vAlign w:val="bottom"/>
            <w:gridSpan w:val="2"/>
          </w:tcPr>
          <w:p>
            <w:pPr>
              <w:spacing w:after="0"/>
              <w:rPr>
                <w:sz w:val="20"/>
                <w:szCs w:val="20"/>
                <w:color w:val="auto"/>
              </w:rPr>
            </w:pPr>
            <w:r>
              <w:rPr>
                <w:rFonts w:ascii="Arial" w:cs="Arial" w:eastAsia="Arial" w:hAnsi="Arial"/>
                <w:sz w:val="20"/>
                <w:szCs w:val="20"/>
                <w:color w:val="auto"/>
              </w:rPr>
              <w:t>Capital expenditures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4,563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20"/>
                <w:szCs w:val="20"/>
                <w:color w:val="auto"/>
                <w:w w:val="95"/>
              </w:rPr>
              <w:t>7,384</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160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19</w:t>
            </w:r>
          </w:p>
        </w:tc>
        <w:tc>
          <w:tcPr>
            <w:tcW w:w="10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20"/>
                <w:szCs w:val="20"/>
                <w:color w:val="auto"/>
              </w:rPr>
              <w:t>12,126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040" w:type="dxa"/>
            <w:vAlign w:val="bottom"/>
            <w:gridSpan w:val="2"/>
          </w:tcPr>
          <w:p>
            <w:pPr>
              <w:spacing w:after="0"/>
              <w:rPr>
                <w:sz w:val="20"/>
                <w:szCs w:val="20"/>
                <w:color w:val="auto"/>
              </w:rPr>
            </w:pPr>
            <w:r>
              <w:rPr>
                <w:rFonts w:ascii="Arial" w:cs="Arial" w:eastAsia="Arial" w:hAnsi="Arial"/>
                <w:sz w:val="20"/>
                <w:szCs w:val="20"/>
                <w:color w:val="auto"/>
              </w:rPr>
              <w:t>Depreciation and amortization</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4"/>
            <w:vMerge w:val="restart"/>
          </w:tcPr>
          <w:p>
            <w:pPr>
              <w:jc w:val="right"/>
              <w:ind w:right="181"/>
              <w:spacing w:after="0"/>
              <w:rPr>
                <w:sz w:val="20"/>
                <w:szCs w:val="20"/>
                <w:color w:val="auto"/>
              </w:rPr>
            </w:pPr>
            <w:r>
              <w:rPr>
                <w:rFonts w:ascii="Arial" w:cs="Arial" w:eastAsia="Arial" w:hAnsi="Arial"/>
                <w:sz w:val="20"/>
                <w:szCs w:val="20"/>
                <w:color w:val="auto"/>
              </w:rPr>
              <w:t>5,280</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3"/>
            <w:vMerge w:val="restart"/>
          </w:tcPr>
          <w:p>
            <w:pPr>
              <w:jc w:val="right"/>
              <w:ind w:right="260"/>
              <w:spacing w:after="0"/>
              <w:rPr>
                <w:sz w:val="20"/>
                <w:szCs w:val="20"/>
                <w:color w:val="auto"/>
              </w:rPr>
            </w:pPr>
            <w:r>
              <w:rPr>
                <w:rFonts w:ascii="Arial" w:cs="Arial" w:eastAsia="Arial" w:hAnsi="Arial"/>
                <w:sz w:val="20"/>
                <w:szCs w:val="20"/>
                <w:color w:val="auto"/>
                <w:w w:val="99"/>
              </w:rPr>
              <w:t>6,152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3"/>
            <w:vMerge w:val="restart"/>
          </w:tcPr>
          <w:p>
            <w:pPr>
              <w:jc w:val="right"/>
              <w:ind w:right="161"/>
              <w:spacing w:after="0"/>
              <w:rPr>
                <w:sz w:val="20"/>
                <w:szCs w:val="20"/>
                <w:color w:val="auto"/>
              </w:rPr>
            </w:pPr>
            <w:r>
              <w:rPr>
                <w:rFonts w:ascii="Arial" w:cs="Arial" w:eastAsia="Arial" w:hAnsi="Arial"/>
                <w:sz w:val="20"/>
                <w:szCs w:val="20"/>
                <w:color w:val="auto"/>
              </w:rPr>
              <w:t>1,094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20"/>
                <w:szCs w:val="20"/>
                <w:color w:val="auto"/>
              </w:rPr>
              <w:t>786</w:t>
            </w:r>
          </w:p>
        </w:tc>
        <w:tc>
          <w:tcPr>
            <w:tcW w:w="1180" w:type="dxa"/>
            <w:vAlign w:val="bottom"/>
            <w:gridSpan w:val="4"/>
            <w:vMerge w:val="restart"/>
          </w:tcPr>
          <w:p>
            <w:pPr>
              <w:jc w:val="right"/>
              <w:ind w:right="160"/>
              <w:spacing w:after="0"/>
              <w:rPr>
                <w:sz w:val="20"/>
                <w:szCs w:val="20"/>
                <w:color w:val="auto"/>
              </w:rPr>
            </w:pPr>
            <w:r>
              <w:rPr>
                <w:rFonts w:ascii="Arial" w:cs="Arial" w:eastAsia="Arial" w:hAnsi="Arial"/>
                <w:sz w:val="20"/>
                <w:szCs w:val="20"/>
                <w:color w:val="auto"/>
              </w:rPr>
              <w:t>13,312</w:t>
            </w:r>
          </w:p>
        </w:tc>
        <w:tc>
          <w:tcPr>
            <w:tcW w:w="0" w:type="dxa"/>
            <w:vAlign w:val="bottom"/>
          </w:tcPr>
          <w:p>
            <w:pPr>
              <w:spacing w:after="0"/>
              <w:rPr>
                <w:sz w:val="1"/>
                <w:szCs w:val="1"/>
                <w:color w:val="auto"/>
              </w:rPr>
            </w:pPr>
          </w:p>
        </w:tc>
      </w:tr>
      <w:tr>
        <w:trPr>
          <w:trHeight w:val="264"/>
        </w:trPr>
        <w:tc>
          <w:tcPr>
            <w:tcW w:w="3040" w:type="dxa"/>
            <w:vAlign w:val="bottom"/>
            <w:gridSpan w:val="2"/>
          </w:tcPr>
          <w:p>
            <w:pPr>
              <w:spacing w:after="0"/>
              <w:rPr>
                <w:sz w:val="20"/>
                <w:szCs w:val="20"/>
                <w:color w:val="auto"/>
              </w:rPr>
            </w:pPr>
            <w:r>
              <w:rPr>
                <w:rFonts w:ascii="Arial" w:cs="Arial" w:eastAsia="Arial" w:hAnsi="Arial"/>
                <w:sz w:val="20"/>
                <w:szCs w:val="20"/>
                <w:color w:val="auto"/>
              </w:rPr>
              <w:t>expense</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4"/>
            <w:vMerge w:val="continue"/>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gridSpan w:val="3"/>
            <w:vMerge w:val="continue"/>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gridSpan w:val="3"/>
            <w:vMerge w:val="continue"/>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gridSpan w:val="3"/>
            <w:vMerge w:val="continue"/>
          </w:tcPr>
          <w:p>
            <w:pPr>
              <w:spacing w:after="0"/>
              <w:rPr>
                <w:sz w:val="22"/>
                <w:szCs w:val="22"/>
                <w:color w:val="auto"/>
              </w:rPr>
            </w:pPr>
          </w:p>
        </w:tc>
        <w:tc>
          <w:tcPr>
            <w:tcW w:w="118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3040" w:type="dxa"/>
            <w:vAlign w:val="bottom"/>
            <w:gridSpan w:val="2"/>
          </w:tcPr>
          <w:p>
            <w:pPr>
              <w:spacing w:after="0"/>
              <w:rPr>
                <w:sz w:val="20"/>
                <w:szCs w:val="20"/>
                <w:color w:val="auto"/>
              </w:rPr>
            </w:pPr>
            <w:r>
              <w:rPr>
                <w:rFonts w:ascii="Arial" w:cs="Arial" w:eastAsia="Arial" w:hAnsi="Arial"/>
                <w:sz w:val="20"/>
                <w:szCs w:val="20"/>
                <w:color w:val="auto"/>
              </w:rPr>
              <w:t>Interest expense</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3"/>
          </w:tcPr>
          <w:p>
            <w:pPr>
              <w:jc w:val="right"/>
              <w:ind w:right="16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20"/>
                <w:szCs w:val="20"/>
                <w:color w:val="auto"/>
                <w:w w:val="99"/>
              </w:rPr>
              <w:t>2,850</w:t>
            </w:r>
          </w:p>
        </w:tc>
        <w:tc>
          <w:tcPr>
            <w:tcW w:w="1180" w:type="dxa"/>
            <w:vAlign w:val="bottom"/>
            <w:gridSpan w:val="4"/>
          </w:tcPr>
          <w:p>
            <w:pPr>
              <w:jc w:val="right"/>
              <w:ind w:right="160"/>
              <w:spacing w:after="0"/>
              <w:rPr>
                <w:sz w:val="20"/>
                <w:szCs w:val="20"/>
                <w:color w:val="auto"/>
              </w:rPr>
            </w:pPr>
            <w:r>
              <w:rPr>
                <w:rFonts w:ascii="Arial" w:cs="Arial" w:eastAsia="Arial" w:hAnsi="Arial"/>
                <w:sz w:val="20"/>
                <w:szCs w:val="20"/>
                <w:color w:val="auto"/>
              </w:rPr>
              <w:t>2,850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2110105</wp:posOffset>
            </wp:positionH>
            <wp:positionV relativeFrom="paragraph">
              <wp:posOffset>-1981200</wp:posOffset>
            </wp:positionV>
            <wp:extent cx="455168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51680" cy="34290"/>
                    </a:xfrm>
                    <a:prstGeom prst="rect">
                      <a:avLst/>
                    </a:prstGeom>
                    <a:noFill/>
                  </pic:spPr>
                </pic:pic>
              </a:graphicData>
            </a:graphic>
          </wp:anchor>
        </w:drawing>
      </w:r>
    </w:p>
    <w:p>
      <w:pPr>
        <w:sectPr>
          <w:pgSz w:w="12240" w:h="15840" w:orient="portrait"/>
          <w:cols w:equalWidth="0" w:num="1">
            <w:col w:w="10640"/>
          </w:cols>
          <w:pgMar w:left="720" w:top="58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81</w:t>
      </w:r>
    </w:p>
    <w:p>
      <w:pPr>
        <w:sectPr>
          <w:pgSz w:w="12240" w:h="15840" w:orient="portrait"/>
          <w:cols w:equalWidth="0" w:num="1">
            <w:col w:w="10640"/>
          </w:cols>
          <w:pgMar w:left="720" w:top="589" w:right="880" w:bottom="0" w:gutter="0" w:footer="0" w:header="0"/>
          <w:type w:val="continuous"/>
        </w:sectPr>
      </w:pPr>
    </w:p>
    <w:bookmarkStart w:id="91" w:name="page92"/>
    <w:bookmarkEnd w:id="91"/>
    <w:p>
      <w:pPr>
        <w:spacing w:after="0"/>
        <w:rPr>
          <w:sz w:val="20"/>
          <w:szCs w:val="20"/>
          <w:color w:val="auto"/>
        </w:rPr>
      </w:pPr>
      <w:r>
        <w:rPr>
          <w:rFonts w:ascii="Arial" w:cs="Arial" w:eastAsia="Arial" w:hAnsi="Arial"/>
          <w:sz w:val="20"/>
          <w:szCs w:val="20"/>
          <w:u w:val="single" w:color="auto"/>
          <w:color w:val="auto"/>
        </w:rPr>
        <w:t>Entity-Wide Information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following is a summary of entity-wide information related to the Company's net sales to external customers by geographic area and by major product line. Such information attributes net sales based on markets where revenues are reported.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8"/>
          </w:tcPr>
          <w:p>
            <w:pPr>
              <w:ind w:left="960"/>
              <w:spacing w:after="0"/>
              <w:rPr>
                <w:sz w:val="20"/>
                <w:szCs w:val="20"/>
                <w:color w:val="auto"/>
              </w:rPr>
            </w:pPr>
            <w:r>
              <w:rPr>
                <w:rFonts w:ascii="Arial" w:cs="Arial" w:eastAsia="Arial" w:hAnsi="Arial"/>
                <w:sz w:val="20"/>
                <w:szCs w:val="20"/>
                <w:color w:val="auto"/>
                <w:w w:val="95"/>
              </w:rPr>
              <w:t>Years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86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Net Sales by Geographic 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United States</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447,367</w:t>
            </w: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362,118</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447,793</w:t>
            </w: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People's Republic of China (PRC)</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52,323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23,394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43,109</w:t>
            </w: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Macao</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25,130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35,026</w:t>
            </w: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United Kingdom</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37,071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35,915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25,648</w:t>
            </w: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Slovakia</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32,172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33,228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35,555</w:t>
            </w: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Germany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14,717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15,268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17,327</w:t>
            </w: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India</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8,846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10,635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15,365</w:t>
            </w: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Switzerland</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15,747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15,594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11,237</w:t>
            </w: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Israel</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62,348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8,227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4860" w:type="dxa"/>
            <w:vAlign w:val="bottom"/>
          </w:tcPr>
          <w:p>
            <w:pPr>
              <w:ind w:left="540"/>
              <w:spacing w:after="0"/>
              <w:rPr>
                <w:sz w:val="20"/>
                <w:szCs w:val="20"/>
                <w:color w:val="auto"/>
              </w:rPr>
            </w:pPr>
            <w:r>
              <w:rPr>
                <w:rFonts w:ascii="Arial" w:cs="Arial" w:eastAsia="Arial" w:hAnsi="Arial"/>
                <w:sz w:val="20"/>
                <w:szCs w:val="20"/>
                <w:color w:val="auto"/>
              </w:rPr>
              <w:t>All other foreign countries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4,864</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5,283</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8,753</w:t>
            </w:r>
          </w:p>
        </w:tc>
        <w:tc>
          <w:tcPr>
            <w:tcW w:w="0" w:type="dxa"/>
            <w:vAlign w:val="bottom"/>
          </w:tcPr>
          <w:p>
            <w:pPr>
              <w:spacing w:after="0"/>
              <w:rPr>
                <w:sz w:val="1"/>
                <w:szCs w:val="1"/>
                <w:color w:val="auto"/>
              </w:rPr>
            </w:pPr>
          </w:p>
        </w:tc>
      </w:tr>
      <w:tr>
        <w:trPr>
          <w:trHeight w:val="259"/>
        </w:trPr>
        <w:tc>
          <w:tcPr>
            <w:tcW w:w="4860" w:type="dxa"/>
            <w:vAlign w:val="bottom"/>
          </w:tcPr>
          <w:p>
            <w:pPr>
              <w:ind w:left="540"/>
              <w:spacing w:after="0"/>
              <w:rPr>
                <w:sz w:val="20"/>
                <w:szCs w:val="20"/>
                <w:color w:val="auto"/>
              </w:rPr>
            </w:pPr>
            <w:r>
              <w:rPr>
                <w:rFonts w:ascii="Arial" w:cs="Arial" w:eastAsia="Arial" w:hAnsi="Arial"/>
                <w:sz w:val="20"/>
                <w:szCs w:val="20"/>
                <w:color w:val="auto"/>
              </w:rPr>
              <w:t>Consolidated net sales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675,455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534,792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639,813</w:t>
            </w:r>
          </w:p>
        </w:tc>
        <w:tc>
          <w:tcPr>
            <w:tcW w:w="0" w:type="dxa"/>
            <w:vAlign w:val="bottom"/>
          </w:tcPr>
          <w:p>
            <w:pPr>
              <w:spacing w:after="0"/>
              <w:rPr>
                <w:sz w:val="1"/>
                <w:szCs w:val="1"/>
                <w:color w:val="auto"/>
              </w:rPr>
            </w:pPr>
          </w:p>
        </w:tc>
      </w:tr>
      <w:tr>
        <w:trPr>
          <w:trHeight w:val="491"/>
        </w:trPr>
        <w:tc>
          <w:tcPr>
            <w:tcW w:w="4860" w:type="dxa"/>
            <w:vAlign w:val="bottom"/>
          </w:tcPr>
          <w:p>
            <w:pPr>
              <w:spacing w:after="0"/>
              <w:rPr>
                <w:sz w:val="20"/>
                <w:szCs w:val="20"/>
                <w:color w:val="auto"/>
              </w:rPr>
            </w:pPr>
            <w:r>
              <w:rPr>
                <w:rFonts w:ascii="Arial" w:cs="Arial" w:eastAsia="Arial" w:hAnsi="Arial"/>
                <w:sz w:val="20"/>
                <w:szCs w:val="20"/>
                <w:b w:val="1"/>
                <w:bCs w:val="1"/>
                <w:i w:val="1"/>
                <w:iCs w:val="1"/>
                <w:color w:val="auto"/>
              </w:rPr>
              <w:t>Net Sales by Major Product Line:</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Power solutions and protection</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356,805</w:t>
            </w: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245,551</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314,105</w:t>
            </w: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20"/>
                <w:szCs w:val="20"/>
                <w:color w:val="auto"/>
              </w:rPr>
              <w:t>Connectivity solutions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232,286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220,370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210,572</w:t>
            </w:r>
          </w:p>
        </w:tc>
        <w:tc>
          <w:tcPr>
            <w:tcW w:w="0" w:type="dxa"/>
            <w:vAlign w:val="bottom"/>
          </w:tcPr>
          <w:p>
            <w:pPr>
              <w:spacing w:after="0"/>
              <w:rPr>
                <w:sz w:val="1"/>
                <w:szCs w:val="1"/>
                <w:color w:val="auto"/>
              </w:rPr>
            </w:pPr>
          </w:p>
        </w:tc>
      </w:tr>
      <w:tr>
        <w:trPr>
          <w:trHeight w:val="254"/>
        </w:trPr>
        <w:tc>
          <w:tcPr>
            <w:tcW w:w="4860" w:type="dxa"/>
            <w:vAlign w:val="bottom"/>
          </w:tcPr>
          <w:p>
            <w:pPr>
              <w:ind w:left="540"/>
              <w:spacing w:after="0"/>
              <w:rPr>
                <w:sz w:val="20"/>
                <w:szCs w:val="20"/>
                <w:color w:val="auto"/>
              </w:rPr>
            </w:pPr>
            <w:r>
              <w:rPr>
                <w:rFonts w:ascii="Arial" w:cs="Arial" w:eastAsia="Arial" w:hAnsi="Arial"/>
                <w:sz w:val="20"/>
                <w:szCs w:val="20"/>
                <w:color w:val="auto"/>
              </w:rPr>
              <w:t>Magnetic solutions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86,364</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68,871</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115,136</w:t>
            </w:r>
          </w:p>
        </w:tc>
        <w:tc>
          <w:tcPr>
            <w:tcW w:w="0" w:type="dxa"/>
            <w:vAlign w:val="bottom"/>
          </w:tcPr>
          <w:p>
            <w:pPr>
              <w:spacing w:after="0"/>
              <w:rPr>
                <w:sz w:val="1"/>
                <w:szCs w:val="1"/>
                <w:color w:val="auto"/>
              </w:rPr>
            </w:pPr>
          </w:p>
        </w:tc>
      </w:tr>
      <w:tr>
        <w:trPr>
          <w:trHeight w:val="247"/>
        </w:trPr>
        <w:tc>
          <w:tcPr>
            <w:tcW w:w="4860" w:type="dxa"/>
            <w:vAlign w:val="bottom"/>
          </w:tcPr>
          <w:p>
            <w:pPr>
              <w:ind w:left="540"/>
              <w:spacing w:after="0"/>
              <w:rPr>
                <w:sz w:val="20"/>
                <w:szCs w:val="20"/>
                <w:color w:val="auto"/>
              </w:rPr>
            </w:pPr>
            <w:r>
              <w:rPr>
                <w:rFonts w:ascii="Arial" w:cs="Arial" w:eastAsia="Arial" w:hAnsi="Arial"/>
                <w:sz w:val="20"/>
                <w:szCs w:val="20"/>
                <w:color w:val="auto"/>
              </w:rPr>
              <w:t>Consolidated net sales</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675,455</w:t>
            </w:r>
          </w:p>
        </w:tc>
        <w:tc>
          <w:tcPr>
            <w:tcW w:w="20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534,792</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639,813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-976630</wp:posOffset>
            </wp:positionV>
            <wp:extent cx="3061335" cy="52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61335" cy="5270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-191135</wp:posOffset>
            </wp:positionV>
            <wp:extent cx="3070225" cy="2222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70225" cy="22225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long-lived assets by geographic area as of December 31, 2025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5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5"/>
          </w:tcPr>
          <w:p>
            <w:pPr>
              <w:ind w:left="700"/>
              <w:spacing w:after="0"/>
              <w:rPr>
                <w:sz w:val="20"/>
                <w:szCs w:val="20"/>
                <w:color w:val="auto"/>
              </w:rPr>
            </w:pPr>
            <w:r>
              <w:rPr>
                <w:rFonts w:ascii="Arial" w:cs="Arial" w:eastAsia="Arial" w:hAnsi="Arial"/>
                <w:sz w:val="20"/>
                <w:szCs w:val="20"/>
                <w:color w:val="auto"/>
                <w:w w:val="89"/>
              </w:rPr>
              <w:t>December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52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Long-lived Assets by Geographic Location:</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w w:val="94"/>
              </w:rPr>
              <w:t>2024</w:t>
            </w:r>
          </w:p>
        </w:tc>
        <w:tc>
          <w:tcPr>
            <w:tcW w:w="0" w:type="dxa"/>
            <w:vAlign w:val="bottom"/>
          </w:tcPr>
          <w:p>
            <w:pPr>
              <w:spacing w:after="0"/>
              <w:rPr>
                <w:sz w:val="1"/>
                <w:szCs w:val="1"/>
                <w:color w:val="auto"/>
              </w:rPr>
            </w:pPr>
          </w:p>
        </w:tc>
      </w:tr>
      <w:tr>
        <w:trPr>
          <w:trHeight w:val="215"/>
        </w:trPr>
        <w:tc>
          <w:tcPr>
            <w:tcW w:w="65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r>
              <w:rPr>
                <w:rFonts w:ascii="Arial" w:cs="Arial" w:eastAsia="Arial" w:hAnsi="Arial"/>
                <w:sz w:val="20"/>
                <w:szCs w:val="20"/>
                <w:color w:val="auto"/>
              </w:rPr>
              <w:t>United States</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50,836</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40,840</w:t>
            </w: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r>
              <w:rPr>
                <w:rFonts w:ascii="Arial" w:cs="Arial" w:eastAsia="Arial" w:hAnsi="Arial"/>
                <w:sz w:val="20"/>
                <w:szCs w:val="20"/>
                <w:color w:val="auto"/>
              </w:rPr>
              <w:t>People's Republic of China (PRC)</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13,701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23,942</w:t>
            </w: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r>
              <w:rPr>
                <w:rFonts w:ascii="Arial" w:cs="Arial" w:eastAsia="Arial" w:hAnsi="Arial"/>
                <w:sz w:val="20"/>
                <w:szCs w:val="20"/>
                <w:color w:val="auto"/>
              </w:rPr>
              <w:t>Slovakia</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6,666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6,553</w:t>
            </w: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r>
              <w:rPr>
                <w:rFonts w:ascii="Arial" w:cs="Arial" w:eastAsia="Arial" w:hAnsi="Arial"/>
                <w:sz w:val="20"/>
                <w:szCs w:val="20"/>
                <w:color w:val="auto"/>
              </w:rPr>
              <w:t>Israel</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3,687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4,125</w:t>
            </w: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r>
              <w:rPr>
                <w:rFonts w:ascii="Arial" w:cs="Arial" w:eastAsia="Arial" w:hAnsi="Arial"/>
                <w:sz w:val="20"/>
                <w:szCs w:val="20"/>
                <w:color w:val="auto"/>
              </w:rPr>
              <w:t>United Kingdom</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3,314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3,001</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20"/>
                <w:szCs w:val="20"/>
                <w:color w:val="auto"/>
              </w:rPr>
              <w:t>All other foreign countries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3,737</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4,057</w:t>
            </w:r>
          </w:p>
        </w:tc>
        <w:tc>
          <w:tcPr>
            <w:tcW w:w="0" w:type="dxa"/>
            <w:vAlign w:val="bottom"/>
          </w:tcPr>
          <w:p>
            <w:pPr>
              <w:spacing w:after="0"/>
              <w:rPr>
                <w:sz w:val="1"/>
                <w:szCs w:val="1"/>
                <w:color w:val="auto"/>
              </w:rPr>
            </w:pPr>
          </w:p>
        </w:tc>
      </w:tr>
      <w:tr>
        <w:trPr>
          <w:trHeight w:val="247"/>
        </w:trPr>
        <w:tc>
          <w:tcPr>
            <w:tcW w:w="6520" w:type="dxa"/>
            <w:vAlign w:val="bottom"/>
          </w:tcPr>
          <w:p>
            <w:pPr>
              <w:ind w:left="180"/>
              <w:spacing w:after="0"/>
              <w:rPr>
                <w:sz w:val="20"/>
                <w:szCs w:val="20"/>
                <w:color w:val="auto"/>
              </w:rPr>
            </w:pPr>
            <w:r>
              <w:rPr>
                <w:rFonts w:ascii="Arial" w:cs="Arial" w:eastAsia="Arial" w:hAnsi="Arial"/>
                <w:sz w:val="20"/>
                <w:szCs w:val="20"/>
                <w:color w:val="auto"/>
              </w:rPr>
              <w:t>Consolidated long-lived assets</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81,941</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82,518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-191135</wp:posOffset>
            </wp:positionV>
            <wp:extent cx="2018665" cy="2222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18665" cy="222250"/>
                    </a:xfrm>
                    <a:prstGeom prst="rect">
                      <a:avLst/>
                    </a:prstGeom>
                    <a:noFill/>
                  </pic:spPr>
                </pic:pic>
              </a:graphicData>
            </a:graphic>
          </wp:anchor>
        </w:drawing>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Long-lived assets consist of property, plant and equipment, net and other assets of the Company that are identified with the operations of each geographic area.</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territory of Hong Kong became a Special Administrative Region ("SAR") of the PRC in the middle of 1997. The territory of Macao became a SAR of the PRC at the end of 1999. Management cannot presently predict what future impact the current status of these territories, along with evolving political landscape in the region, will have on the Company, if any, or how the political climate in the PRC will affect the Company's contractual arrangements in the PRC (including risks arising out of any changes in governmental and economic policy, such as increased or new tariffs, and current or additional trade restrictions, and the potential for adverse developments arising out of any political or economic instability related to Hong Kong or Taiwan). A significant portion of the Company's manufacturing operations and approximately 32.0% of its identifiable assets are located in Asia.</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Sales to Major Customers</w:t>
      </w:r>
    </w:p>
    <w:p>
      <w:pPr>
        <w:spacing w:after="0" w:line="229"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The Company had no direct customers whose net sales represented in excess of ten percent of the Company's consolidated net sales in 2025, 2024 or 2023.</w:t>
      </w:r>
    </w:p>
    <w:p>
      <w:pPr>
        <w:sectPr>
          <w:pgSz w:w="12240" w:h="15840" w:orient="portrait"/>
          <w:cols w:equalWidth="0" w:num="1">
            <w:col w:w="10800"/>
          </w:cols>
          <w:pgMar w:left="720" w:top="5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2240" w:h="15840" w:orient="portrait"/>
          <w:cols w:equalWidth="0" w:num="1">
            <w:col w:w="10800"/>
          </w:cols>
          <w:pgMar w:left="720" w:top="557" w:right="720" w:bottom="0"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color w:val="auto"/>
        </w:rPr>
        <w:t>15. RETIREMENT FUND AND PROFIT SHARING PLAN</w:t>
      </w: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maintains the Bel Fuse Inc. Employees' Savings Plan, a defined contribution plan that is intended to meet the applicable requirements for tax -qualification under sections 401(a) and (k) of the Internal Revenue Code of 1986, as amended (the "Code"). The Employees' Savings Plan allows eligible employees to voluntarily contribute a percentage of their eligible compensation, subject to Code limitations, which contributions are matched by the Company in an amount equal to 100% of the first 1% of compensation contributed by participants, and 50% of the next 5% of compensation contributed by participants. The Company's matching contribution is made in the form of Bel Fuse Inc. Class A common stock. Prior to January 1, 2012, the Company's matching and profit sharing contributions were made in the form of shares of Bel Fuse Inc. Class A and Class B common stock. The expense for each of the years ended December 31, 2025, 2024 and 2023 amounted to $1.5 million, $1.4 million and $1.3 million, respectively. As of December 31, 2025, the plan owned approximately 231,162 shares and 46,531 shares of Bel Fuse Inc. Class A and Class B common stock, respectively.</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Company also maintains a Nonqualified Deferred Compensation Plan (the "DCP"). With certain exceptions, the Company's contributions to the DCP are discretionary and become fully vested by the participants upon reaching age 65. The expense for the years ended December 31, 2025, 2024 and 2023 amounted to $0.2 million, $0.2 million and $ 0.2 million, respectively. As the plan is fully funded, the assets and liabilities related to the DCP were in equal amounts of $1.7 million at December 31, 2025 and $1.3 million at December 31, 2024. These amounts are included in other assets and other liabilities, respectively, on the accompanying consolidated balance sheets as of each date.</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Company's subsidiaries in Asia have a retirement fund covering substantially all of their Hong Kong based full-time employees. Eligible employees contribute up to 5% of salary to the fund. In addition, the Company must contribute a minimum of 5% of eligible salary, as determined by Hong Kong government regulations. The Company currently contributes 7% of eligible salary in cash. The expense for the years ended December 31, 2025, 2024 and 2023 amounted to approximately $0.3 million, $0.3 million and $1.5 million, respectively.</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Company maintains a SERP (sometimes referenced in this discussion as the “Plan”), which is designed to provide a limited group of key management and other key employees of the Company with supplemental retirement and death benefits. Participants in the SERP are selected by the Compensation Committee of the Board of Directors. The SERP initially became effective in 2002 and was amended and restated in April 2007 to conform with applicable requirements of Section 409A of the Internal Revenue Code and to modify the provisions regarding benefits payable in connection with a change in control of the Company. The Plan is unfunded. Benefits under the SERP are payable from the general assets of the Company, but the Company has established a rabbi trust which includes certain life insurance policies in effect on participants as well as other investments to partially cover the Company's obligations under the Plan. See Note 7, "</w:t>
      </w:r>
      <w:r>
        <w:rPr>
          <w:rFonts w:ascii="Arial" w:cs="Arial" w:eastAsia="Arial" w:hAnsi="Arial"/>
          <w:sz w:val="18"/>
          <w:szCs w:val="18"/>
          <w:i w:val="1"/>
          <w:iCs w:val="1"/>
          <w:color w:val="auto"/>
        </w:rPr>
        <w:t>Other Assets</w:t>
      </w:r>
      <w:r>
        <w:rPr>
          <w:rFonts w:ascii="Arial" w:cs="Arial" w:eastAsia="Arial" w:hAnsi="Arial"/>
          <w:sz w:val="18"/>
          <w:szCs w:val="18"/>
          <w:color w:val="auto"/>
        </w:rPr>
        <w:t>," for further information on these assets.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benefits available under the SERP vary according to when and how the participant terminates employment with the Company. If a participant retires (with the prior written consent of the Company) on his normal retirement date (65 years old, 20 years of service, and 5 years of Plan participation), his normal retirement benefit under the Plan would be annual payments equal to 40% of his average base compensation (calculated using compensation from the highest five consecutive calendar years of Plan participation), payable in monthly installments for the remainder of his life. If a participant retires early from the Company (55 years old, 20 years of service, and five years of Plan participation), his early retirement benefit under the Plan would be an amount (i) calculated as if his early retirement date were in fact his normal retirement date, (ii) multiplied by a fraction, with the numerator being the actual years of service the participant has with the Company and the denominator being the years of service the participant would have had if he had retired at age 65, and (iii) actuarially reduced to reflect the early retirement date. If a participant dies prior to receiving 120 monthly payments under the Plan, his beneficiary would be entitled to continue receiving benefits for the shorter of (i) the time necessary to complete 120 monthly payments or (ii) 60 months. If a participant dies while employed by the Company, his beneficiary would receive, as a survivor benefit, an annual amount equal to (i) 100% of the participant's annual base salary at date of death for one year, and (ii) 50% of the participant's annual base salary at date of death for each of the following four years, each payable in monthly installments. The Plan also provides for disability benefits, and a forfeiture of benefits if a participant terminates employment for reasons other than those contemplated under the Plan. The expense related to the Plan for the years ended December 31, 2025, 2024 and 2023 amounted to $1.1 million, $1.4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2240" w:h="15840" w:orient="portrait"/>
          <w:cols w:equalWidth="0" w:num="1">
            <w:col w:w="10800"/>
          </w:cols>
          <w:pgMar w:left="720" w:top="560" w:right="720" w:bottom="0" w:gutter="0" w:footer="0" w:header="0"/>
        </w:sectPr>
      </w:pPr>
    </w:p>
    <w:bookmarkStart w:id="93" w:name="page94"/>
    <w:bookmarkEnd w:id="93"/>
    <w:p>
      <w:pPr>
        <w:ind w:left="20"/>
        <w:spacing w:after="0"/>
        <w:rPr>
          <w:sz w:val="20"/>
          <w:szCs w:val="20"/>
          <w:color w:val="auto"/>
        </w:rPr>
      </w:pPr>
      <w:r>
        <w:rPr>
          <w:rFonts w:ascii="Arial" w:cs="Arial" w:eastAsia="Arial" w:hAnsi="Arial"/>
          <w:sz w:val="20"/>
          <w:szCs w:val="20"/>
          <w:u w:val="single" w:color="auto"/>
          <w:color w:val="auto"/>
        </w:rPr>
        <w:t>Net Periodic Benefit Cost</w:t>
      </w:r>
    </w:p>
    <w:p>
      <w:pPr>
        <w:spacing w:after="0" w:line="226" w:lineRule="exact"/>
        <w:rPr>
          <w:sz w:val="20"/>
          <w:szCs w:val="20"/>
          <w:color w:val="auto"/>
        </w:rPr>
      </w:pPr>
    </w:p>
    <w:p>
      <w:pPr>
        <w:ind w:left="20"/>
        <w:spacing w:after="0" w:line="274" w:lineRule="auto"/>
        <w:rPr>
          <w:sz w:val="20"/>
          <w:szCs w:val="20"/>
          <w:color w:val="auto"/>
        </w:rPr>
      </w:pPr>
      <w:r>
        <w:rPr>
          <w:rFonts w:ascii="Arial" w:cs="Arial" w:eastAsia="Arial" w:hAnsi="Arial"/>
          <w:sz w:val="20"/>
          <w:szCs w:val="20"/>
          <w:color w:val="auto"/>
        </w:rPr>
        <w:t>The net periodic benefit cost related to the SERP consisted of the following components during the years ended December 31, 2025, 2024 and 2023:</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486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8"/>
          </w:tcPr>
          <w:p>
            <w:pPr>
              <w:ind w:left="320"/>
              <w:spacing w:after="0"/>
              <w:rPr>
                <w:sz w:val="20"/>
                <w:szCs w:val="20"/>
                <w:color w:val="auto"/>
              </w:rPr>
            </w:pPr>
            <w:r>
              <w:rPr>
                <w:rFonts w:ascii="Arial" w:cs="Arial" w:eastAsia="Arial" w:hAnsi="Arial"/>
                <w:sz w:val="20"/>
                <w:szCs w:val="20"/>
                <w:color w:val="auto"/>
                <w:w w:val="95"/>
              </w:rPr>
              <w:t>Years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860" w:type="dxa"/>
            <w:vAlign w:val="bottom"/>
            <w:vMerge w:val="restart"/>
          </w:tcPr>
          <w:p>
            <w:pPr>
              <w:spacing w:after="0"/>
              <w:rPr>
                <w:sz w:val="20"/>
                <w:szCs w:val="20"/>
                <w:color w:val="auto"/>
              </w:rPr>
            </w:pPr>
            <w:r>
              <w:rPr>
                <w:rFonts w:ascii="Arial" w:cs="Arial" w:eastAsia="Arial" w:hAnsi="Arial"/>
                <w:sz w:val="20"/>
                <w:szCs w:val="20"/>
                <w:color w:val="auto"/>
              </w:rPr>
              <w:t>Service Cost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960" w:type="dxa"/>
            <w:vAlign w:val="bottom"/>
          </w:tcPr>
          <w:p>
            <w:pPr>
              <w:jc w:val="right"/>
              <w:ind w:right="761"/>
              <w:spacing w:after="0" w:line="215" w:lineRule="exact"/>
              <w:rPr>
                <w:sz w:val="20"/>
                <w:szCs w:val="20"/>
                <w:color w:val="auto"/>
              </w:rPr>
            </w:pPr>
            <w:r>
              <w:rPr>
                <w:rFonts w:ascii="Arial" w:cs="Arial" w:eastAsia="Arial" w:hAnsi="Arial"/>
                <w:sz w:val="20"/>
                <w:szCs w:val="20"/>
                <w:color w:val="auto"/>
                <w:w w:val="71"/>
              </w:rPr>
              <w:t>$</w:t>
            </w:r>
          </w:p>
        </w:tc>
        <w:tc>
          <w:tcPr>
            <w:tcW w:w="500" w:type="dxa"/>
            <w:vAlign w:val="bottom"/>
          </w:tcPr>
          <w:p>
            <w:pPr>
              <w:jc w:val="right"/>
              <w:spacing w:after="0" w:line="215" w:lineRule="exact"/>
              <w:rPr>
                <w:sz w:val="20"/>
                <w:szCs w:val="20"/>
                <w:color w:val="auto"/>
              </w:rPr>
            </w:pPr>
            <w:r>
              <w:rPr>
                <w:rFonts w:ascii="Arial" w:cs="Arial" w:eastAsia="Arial" w:hAnsi="Arial"/>
                <w:sz w:val="20"/>
                <w:szCs w:val="20"/>
                <w:color w:val="auto"/>
              </w:rPr>
              <w:t>284</w:t>
            </w:r>
          </w:p>
        </w:tc>
        <w:tc>
          <w:tcPr>
            <w:tcW w:w="200" w:type="dxa"/>
            <w:vAlign w:val="bottom"/>
          </w:tcPr>
          <w:p>
            <w:pPr>
              <w:spacing w:after="0"/>
              <w:rPr>
                <w:sz w:val="18"/>
                <w:szCs w:val="18"/>
                <w:color w:val="auto"/>
              </w:rPr>
            </w:pPr>
          </w:p>
        </w:tc>
        <w:tc>
          <w:tcPr>
            <w:tcW w:w="300" w:type="dxa"/>
            <w:vAlign w:val="bottom"/>
          </w:tcPr>
          <w:p>
            <w:pPr>
              <w:jc w:val="right"/>
              <w:ind w:right="101"/>
              <w:spacing w:after="0" w:line="215" w:lineRule="exact"/>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line="215" w:lineRule="exact"/>
              <w:rPr>
                <w:sz w:val="20"/>
                <w:szCs w:val="20"/>
                <w:color w:val="auto"/>
              </w:rPr>
            </w:pPr>
            <w:r>
              <w:rPr>
                <w:rFonts w:ascii="Arial" w:cs="Arial" w:eastAsia="Arial" w:hAnsi="Arial"/>
                <w:sz w:val="20"/>
                <w:szCs w:val="20"/>
                <w:color w:val="auto"/>
              </w:rPr>
              <w:t>395</w:t>
            </w:r>
          </w:p>
        </w:tc>
        <w:tc>
          <w:tcPr>
            <w:tcW w:w="18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Arial" w:cs="Arial" w:eastAsia="Arial" w:hAnsi="Arial"/>
                <w:sz w:val="20"/>
                <w:szCs w:val="20"/>
                <w:color w:val="auto"/>
              </w:rPr>
              <w:t>369</w:t>
            </w:r>
          </w:p>
        </w:tc>
        <w:tc>
          <w:tcPr>
            <w:tcW w:w="0" w:type="dxa"/>
            <w:vAlign w:val="bottom"/>
          </w:tcPr>
          <w:p>
            <w:pPr>
              <w:spacing w:after="0"/>
              <w:rPr>
                <w:sz w:val="1"/>
                <w:szCs w:val="1"/>
                <w:color w:val="auto"/>
              </w:rPr>
            </w:pPr>
          </w:p>
        </w:tc>
      </w:tr>
      <w:tr>
        <w:trPr>
          <w:trHeight w:val="239"/>
        </w:trPr>
        <w:tc>
          <w:tcPr>
            <w:tcW w:w="4860" w:type="dxa"/>
            <w:vAlign w:val="bottom"/>
          </w:tcPr>
          <w:p>
            <w:pPr>
              <w:spacing w:after="0"/>
              <w:rPr>
                <w:sz w:val="20"/>
                <w:szCs w:val="20"/>
                <w:color w:val="auto"/>
              </w:rPr>
            </w:pPr>
            <w:r>
              <w:rPr>
                <w:rFonts w:ascii="Arial" w:cs="Arial" w:eastAsia="Arial" w:hAnsi="Arial"/>
                <w:sz w:val="20"/>
                <w:szCs w:val="20"/>
                <w:color w:val="auto"/>
              </w:rPr>
              <w:t>Interest Cost</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961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903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886</w:t>
            </w:r>
          </w:p>
        </w:tc>
        <w:tc>
          <w:tcPr>
            <w:tcW w:w="0" w:type="dxa"/>
            <w:vAlign w:val="bottom"/>
          </w:tcPr>
          <w:p>
            <w:pPr>
              <w:spacing w:after="0"/>
              <w:rPr>
                <w:sz w:val="1"/>
                <w:szCs w:val="1"/>
                <w:color w:val="auto"/>
              </w:rPr>
            </w:pPr>
          </w:p>
        </w:tc>
      </w:tr>
      <w:tr>
        <w:trPr>
          <w:trHeight w:val="254"/>
        </w:trPr>
        <w:tc>
          <w:tcPr>
            <w:tcW w:w="4860" w:type="dxa"/>
            <w:vAlign w:val="bottom"/>
          </w:tcPr>
          <w:p>
            <w:pPr>
              <w:spacing w:after="0"/>
              <w:rPr>
                <w:sz w:val="20"/>
                <w:szCs w:val="20"/>
                <w:color w:val="auto"/>
              </w:rPr>
            </w:pPr>
            <w:r>
              <w:rPr>
                <w:rFonts w:ascii="Arial" w:cs="Arial" w:eastAsia="Arial" w:hAnsi="Arial"/>
                <w:sz w:val="20"/>
                <w:szCs w:val="20"/>
                <w:color w:val="auto"/>
              </w:rPr>
              <w:t>Net amortization</w:t>
            </w:r>
          </w:p>
        </w:tc>
        <w:tc>
          <w:tcPr>
            <w:tcW w:w="96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20"/>
                <w:szCs w:val="20"/>
                <w:color w:val="auto"/>
              </w:rPr>
              <w:t>(141)</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47"/>
        </w:trPr>
        <w:tc>
          <w:tcPr>
            <w:tcW w:w="4860" w:type="dxa"/>
            <w:vAlign w:val="bottom"/>
          </w:tcPr>
          <w:p>
            <w:pPr>
              <w:ind w:left="180"/>
              <w:spacing w:after="0"/>
              <w:rPr>
                <w:sz w:val="20"/>
                <w:szCs w:val="20"/>
                <w:color w:val="auto"/>
              </w:rPr>
            </w:pPr>
            <w:r>
              <w:rPr>
                <w:rFonts w:ascii="Arial" w:cs="Arial" w:eastAsia="Arial" w:hAnsi="Arial"/>
                <w:sz w:val="20"/>
                <w:szCs w:val="20"/>
                <w:color w:val="auto"/>
              </w:rPr>
              <w:t>Net periodic benefit cost</w:t>
            </w:r>
          </w:p>
        </w:tc>
        <w:tc>
          <w:tcPr>
            <w:tcW w:w="960" w:type="dxa"/>
            <w:vAlign w:val="bottom"/>
            <w:tcBorders>
              <w:top w:val="single" w:sz="8" w:color="auto"/>
            </w:tcBorders>
          </w:tcPr>
          <w:p>
            <w:pPr>
              <w:jc w:val="right"/>
              <w:ind w:right="761"/>
              <w:spacing w:after="0"/>
              <w:rPr>
                <w:sz w:val="20"/>
                <w:szCs w:val="20"/>
                <w:color w:val="auto"/>
              </w:rPr>
            </w:pPr>
            <w:r>
              <w:rPr>
                <w:rFonts w:ascii="Arial" w:cs="Arial" w:eastAsia="Arial" w:hAnsi="Arial"/>
                <w:sz w:val="20"/>
                <w:szCs w:val="2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5"/>
              </w:rPr>
              <w:t>1,104</w:t>
            </w:r>
          </w:p>
        </w:tc>
        <w:tc>
          <w:tcPr>
            <w:tcW w:w="200" w:type="dxa"/>
            <w:vAlign w:val="bottom"/>
          </w:tcPr>
          <w:p>
            <w:pPr>
              <w:spacing w:after="0"/>
              <w:rPr>
                <w:sz w:val="21"/>
                <w:szCs w:val="21"/>
                <w:color w:val="auto"/>
              </w:rPr>
            </w:pPr>
          </w:p>
        </w:tc>
        <w:tc>
          <w:tcPr>
            <w:tcW w:w="30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1,377</w:t>
            </w:r>
          </w:p>
        </w:tc>
        <w:tc>
          <w:tcPr>
            <w:tcW w:w="18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-191135</wp:posOffset>
            </wp:positionV>
            <wp:extent cx="3070225" cy="2222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70225" cy="222250"/>
                    </a:xfrm>
                    <a:prstGeom prst="rect">
                      <a:avLst/>
                    </a:prstGeom>
                    <a:noFill/>
                  </pic:spPr>
                </pic:pic>
              </a:graphicData>
            </a:graphic>
          </wp:anchor>
        </w:drawing>
      </w:r>
    </w:p>
    <w:p>
      <w:pPr>
        <w:spacing w:after="0" w:line="220" w:lineRule="exact"/>
        <w:rPr>
          <w:sz w:val="20"/>
          <w:szCs w:val="20"/>
          <w:color w:val="auto"/>
        </w:rPr>
      </w:pPr>
    </w:p>
    <w:p>
      <w:pPr>
        <w:jc w:val="both"/>
        <w:ind w:left="20"/>
        <w:spacing w:after="0" w:line="250" w:lineRule="auto"/>
        <w:rPr>
          <w:sz w:val="20"/>
          <w:szCs w:val="20"/>
          <w:color w:val="auto"/>
        </w:rPr>
      </w:pPr>
      <w:r>
        <w:rPr>
          <w:rFonts w:ascii="Arial" w:cs="Arial" w:eastAsia="Arial" w:hAnsi="Arial"/>
          <w:sz w:val="20"/>
          <w:szCs w:val="20"/>
          <w:color w:val="auto"/>
        </w:rPr>
        <w:t>The service cost component of net benefit cost is presented within cost of sales or selling, general and administrative expense on the accompanying consolidated statements of operations, in accordance with where compensation cost for the related associate is reported. All other components of net benefit cost, including interest cost and net amortization noted above, are presented within other income/expense, net in the accompanying consolidated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Obligations and Funded Status</w:t>
      </w:r>
    </w:p>
    <w:p>
      <w:pPr>
        <w:spacing w:after="0" w:line="229" w:lineRule="exact"/>
        <w:rPr>
          <w:sz w:val="20"/>
          <w:szCs w:val="20"/>
          <w:color w:val="auto"/>
        </w:rPr>
      </w:pPr>
    </w:p>
    <w:p>
      <w:pPr>
        <w:jc w:val="both"/>
        <w:ind w:left="20"/>
        <w:spacing w:after="0" w:line="272" w:lineRule="auto"/>
        <w:rPr>
          <w:sz w:val="20"/>
          <w:szCs w:val="20"/>
          <w:color w:val="auto"/>
        </w:rPr>
      </w:pPr>
      <w:r>
        <w:rPr>
          <w:rFonts w:ascii="Arial" w:cs="Arial" w:eastAsia="Arial" w:hAnsi="Arial"/>
          <w:sz w:val="20"/>
          <w:szCs w:val="20"/>
          <w:color w:val="auto"/>
        </w:rPr>
        <w:t>Summarized information related to the SERP about the changes in Plan assets and benefit obligation, the funded status and the amounts recorded at December 31, 2025 and 2024 are as follows: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6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00" w:type="dxa"/>
            <w:vAlign w:val="bottom"/>
            <w:gridSpan w:val="6"/>
          </w:tcPr>
          <w:p>
            <w:pPr>
              <w:jc w:val="right"/>
              <w:ind w:right="520"/>
              <w:spacing w:after="0"/>
              <w:rPr>
                <w:sz w:val="20"/>
                <w:szCs w:val="20"/>
                <w:color w:val="auto"/>
              </w:rPr>
            </w:pPr>
            <w:r>
              <w:rPr>
                <w:rFonts w:ascii="Arial" w:cs="Arial" w:eastAsia="Arial" w:hAnsi="Arial"/>
                <w:sz w:val="20"/>
                <w:szCs w:val="20"/>
                <w:color w:val="auto"/>
                <w:w w:val="95"/>
              </w:rPr>
              <w:t>Years Ended December 31,</w:t>
            </w:r>
          </w:p>
        </w:tc>
        <w:tc>
          <w:tcPr>
            <w:tcW w:w="0" w:type="dxa"/>
            <w:vAlign w:val="bottom"/>
          </w:tcPr>
          <w:p>
            <w:pPr>
              <w:spacing w:after="0"/>
              <w:rPr>
                <w:sz w:val="1"/>
                <w:szCs w:val="1"/>
                <w:color w:val="auto"/>
              </w:rPr>
            </w:pPr>
          </w:p>
        </w:tc>
      </w:tr>
      <w:tr>
        <w:trPr>
          <w:trHeight w:val="233"/>
        </w:trPr>
        <w:tc>
          <w:tcPr>
            <w:tcW w:w="6520" w:type="dxa"/>
            <w:vAlign w:val="bottom"/>
            <w:vMerge w:val="restart"/>
          </w:tcPr>
          <w:p>
            <w:pPr>
              <w:spacing w:after="0"/>
              <w:rPr>
                <w:sz w:val="20"/>
                <w:szCs w:val="20"/>
                <w:color w:val="auto"/>
              </w:rPr>
            </w:pPr>
            <w:r>
              <w:rPr>
                <w:rFonts w:ascii="Arial" w:cs="Arial" w:eastAsia="Arial" w:hAnsi="Arial"/>
                <w:sz w:val="20"/>
                <w:szCs w:val="20"/>
                <w:color w:val="auto"/>
              </w:rPr>
              <w:t>Fair value of Plan assets, January 1</w:t>
            </w:r>
          </w:p>
        </w:tc>
        <w:tc>
          <w:tcPr>
            <w:tcW w:w="2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gridSpan w:val="2"/>
          </w:tcPr>
          <w:p>
            <w:pPr>
              <w:jc w:val="right"/>
              <w:ind w:right="441"/>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520" w:type="dxa"/>
            <w:vAlign w:val="bottom"/>
            <w:vMerge w:val="continue"/>
          </w:tcPr>
          <w:p>
            <w:pPr>
              <w:spacing w:after="0"/>
              <w:rPr>
                <w:sz w:val="18"/>
                <w:szCs w:val="18"/>
                <w:color w:val="auto"/>
              </w:rPr>
            </w:pPr>
          </w:p>
        </w:tc>
        <w:tc>
          <w:tcPr>
            <w:tcW w:w="280" w:type="dxa"/>
            <w:vAlign w:val="bottom"/>
          </w:tcPr>
          <w:p>
            <w:pPr>
              <w:jc w:val="right"/>
              <w:ind w:right="81"/>
              <w:spacing w:after="0" w:line="215" w:lineRule="exact"/>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line="215"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89"/>
              </w:rPr>
              <w:t>$</w:t>
            </w:r>
          </w:p>
        </w:tc>
        <w:tc>
          <w:tcPr>
            <w:tcW w:w="136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180"/>
              <w:spacing w:after="0"/>
              <w:rPr>
                <w:sz w:val="20"/>
                <w:szCs w:val="20"/>
                <w:color w:val="auto"/>
              </w:rPr>
            </w:pPr>
            <w:r>
              <w:rPr>
                <w:rFonts w:ascii="Arial" w:cs="Arial" w:eastAsia="Arial" w:hAnsi="Arial"/>
                <w:sz w:val="20"/>
                <w:szCs w:val="20"/>
                <w:color w:val="auto"/>
              </w:rPr>
              <w:t>Company contributions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1,012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775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520" w:type="dxa"/>
            <w:vAlign w:val="bottom"/>
          </w:tcPr>
          <w:p>
            <w:pPr>
              <w:ind w:left="180"/>
              <w:spacing w:after="0"/>
              <w:rPr>
                <w:sz w:val="20"/>
                <w:szCs w:val="20"/>
                <w:color w:val="auto"/>
              </w:rPr>
            </w:pPr>
            <w:r>
              <w:rPr>
                <w:rFonts w:ascii="Arial" w:cs="Arial" w:eastAsia="Arial" w:hAnsi="Arial"/>
                <w:sz w:val="20"/>
                <w:szCs w:val="20"/>
                <w:color w:val="auto"/>
              </w:rPr>
              <w:t>Benefits paid</w:t>
            </w:r>
          </w:p>
        </w:tc>
        <w:tc>
          <w:tcPr>
            <w:tcW w:w="28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0"/>
                <w:szCs w:val="20"/>
                <w:color w:val="auto"/>
              </w:rPr>
              <w:t>(1,012)</w:t>
            </w:r>
          </w:p>
        </w:tc>
        <w:tc>
          <w:tcPr>
            <w:tcW w:w="12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(775)</w:t>
            </w:r>
          </w:p>
        </w:tc>
        <w:tc>
          <w:tcPr>
            <w:tcW w:w="0" w:type="dxa"/>
            <w:vAlign w:val="bottom"/>
          </w:tcPr>
          <w:p>
            <w:pPr>
              <w:spacing w:after="0"/>
              <w:rPr>
                <w:sz w:val="1"/>
                <w:szCs w:val="1"/>
                <w:color w:val="auto"/>
              </w:rPr>
            </w:pPr>
          </w:p>
        </w:tc>
      </w:tr>
      <w:tr>
        <w:trPr>
          <w:trHeight w:val="259"/>
        </w:trPr>
        <w:tc>
          <w:tcPr>
            <w:tcW w:w="6520" w:type="dxa"/>
            <w:vAlign w:val="bottom"/>
          </w:tcPr>
          <w:p>
            <w:pPr>
              <w:spacing w:after="0"/>
              <w:rPr>
                <w:sz w:val="20"/>
                <w:szCs w:val="20"/>
                <w:color w:val="auto"/>
              </w:rPr>
            </w:pPr>
            <w:r>
              <w:rPr>
                <w:rFonts w:ascii="Arial" w:cs="Arial" w:eastAsia="Arial" w:hAnsi="Arial"/>
                <w:sz w:val="20"/>
                <w:szCs w:val="20"/>
                <w:color w:val="auto"/>
              </w:rPr>
              <w:t>Fair value of Plan assets, December 31</w:t>
            </w:r>
          </w:p>
        </w:tc>
        <w:tc>
          <w:tcPr>
            <w:tcW w:w="280" w:type="dxa"/>
            <w:vAlign w:val="bottom"/>
            <w:tcBorders>
              <w:top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520" w:type="dxa"/>
            <w:vAlign w:val="bottom"/>
          </w:tcPr>
          <w:p>
            <w:pPr>
              <w:ind w:left="180"/>
              <w:spacing w:after="0"/>
              <w:rPr>
                <w:sz w:val="20"/>
                <w:szCs w:val="20"/>
                <w:color w:val="auto"/>
              </w:rPr>
            </w:pPr>
            <w:r>
              <w:rPr>
                <w:rFonts w:ascii="Arial" w:cs="Arial" w:eastAsia="Arial" w:hAnsi="Arial"/>
                <w:sz w:val="20"/>
                <w:szCs w:val="20"/>
                <w:color w:val="auto"/>
              </w:rPr>
              <w:t>Benefit obligation, January 1</w:t>
            </w: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18,039</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19,484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180"/>
              <w:spacing w:after="0"/>
              <w:rPr>
                <w:sz w:val="20"/>
                <w:szCs w:val="20"/>
                <w:color w:val="auto"/>
              </w:rPr>
            </w:pPr>
            <w:r>
              <w:rPr>
                <w:rFonts w:ascii="Arial" w:cs="Arial" w:eastAsia="Arial" w:hAnsi="Arial"/>
                <w:sz w:val="20"/>
                <w:szCs w:val="20"/>
                <w:color w:val="auto"/>
              </w:rPr>
              <w:t>Service cost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284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180"/>
              <w:spacing w:after="0"/>
              <w:rPr>
                <w:sz w:val="20"/>
                <w:szCs w:val="20"/>
                <w:color w:val="auto"/>
              </w:rPr>
            </w:pPr>
            <w:r>
              <w:rPr>
                <w:rFonts w:ascii="Arial" w:cs="Arial" w:eastAsia="Arial" w:hAnsi="Arial"/>
                <w:sz w:val="20"/>
                <w:szCs w:val="20"/>
                <w:color w:val="auto"/>
              </w:rPr>
              <w:t>Interest cost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903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180"/>
              <w:spacing w:after="0"/>
              <w:rPr>
                <w:sz w:val="20"/>
                <w:szCs w:val="20"/>
                <w:color w:val="auto"/>
              </w:rPr>
            </w:pPr>
            <w:r>
              <w:rPr>
                <w:rFonts w:ascii="Arial" w:cs="Arial" w:eastAsia="Arial" w:hAnsi="Arial"/>
                <w:sz w:val="20"/>
                <w:szCs w:val="20"/>
                <w:color w:val="auto"/>
              </w:rPr>
              <w:t>Benefits paid</w:t>
            </w:r>
          </w:p>
        </w:tc>
        <w:tc>
          <w:tcPr>
            <w:tcW w:w="28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0"/>
                <w:szCs w:val="20"/>
                <w:color w:val="auto"/>
              </w:rPr>
              <w:t>(1,012)</w:t>
            </w:r>
          </w:p>
        </w:tc>
        <w:tc>
          <w:tcPr>
            <w:tcW w:w="1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(775)</w:t>
            </w:r>
          </w:p>
        </w:tc>
        <w:tc>
          <w:tcPr>
            <w:tcW w:w="0" w:type="dxa"/>
            <w:vAlign w:val="bottom"/>
          </w:tcPr>
          <w:p>
            <w:pPr>
              <w:spacing w:after="0"/>
              <w:rPr>
                <w:sz w:val="1"/>
                <w:szCs w:val="1"/>
                <w:color w:val="auto"/>
              </w:rPr>
            </w:pPr>
          </w:p>
        </w:tc>
      </w:tr>
      <w:tr>
        <w:trPr>
          <w:trHeight w:val="254"/>
        </w:trPr>
        <w:tc>
          <w:tcPr>
            <w:tcW w:w="6520" w:type="dxa"/>
            <w:vAlign w:val="bottom"/>
          </w:tcPr>
          <w:p>
            <w:pPr>
              <w:ind w:left="180"/>
              <w:spacing w:after="0"/>
              <w:rPr>
                <w:sz w:val="20"/>
                <w:szCs w:val="20"/>
                <w:color w:val="auto"/>
              </w:rPr>
            </w:pPr>
            <w:r>
              <w:rPr>
                <w:rFonts w:ascii="Arial" w:cs="Arial" w:eastAsia="Arial" w:hAnsi="Arial"/>
                <w:sz w:val="20"/>
                <w:szCs w:val="20"/>
                <w:color w:val="auto"/>
              </w:rPr>
              <w:t>Actuarial loss (gain)</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639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(1,968)</w:t>
            </w:r>
          </w:p>
        </w:tc>
        <w:tc>
          <w:tcPr>
            <w:tcW w:w="0" w:type="dxa"/>
            <w:vAlign w:val="bottom"/>
          </w:tcPr>
          <w:p>
            <w:pPr>
              <w:spacing w:after="0"/>
              <w:rPr>
                <w:sz w:val="1"/>
                <w:szCs w:val="1"/>
                <w:color w:val="auto"/>
              </w:rPr>
            </w:pPr>
          </w:p>
        </w:tc>
      </w:tr>
      <w:tr>
        <w:trPr>
          <w:trHeight w:val="233"/>
        </w:trPr>
        <w:tc>
          <w:tcPr>
            <w:tcW w:w="6520" w:type="dxa"/>
            <w:vAlign w:val="bottom"/>
          </w:tcPr>
          <w:p>
            <w:pPr>
              <w:spacing w:after="0"/>
              <w:rPr>
                <w:sz w:val="20"/>
                <w:szCs w:val="20"/>
                <w:color w:val="auto"/>
              </w:rPr>
            </w:pPr>
            <w:r>
              <w:rPr>
                <w:rFonts w:ascii="Arial" w:cs="Arial" w:eastAsia="Arial" w:hAnsi="Arial"/>
                <w:sz w:val="20"/>
                <w:szCs w:val="20"/>
                <w:color w:val="auto"/>
              </w:rPr>
              <w:t>Benefit obligation, December 31</w:t>
            </w: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18,911</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18,039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tcPr>
          <w:p>
            <w:pPr>
              <w:spacing w:after="0"/>
              <w:rPr>
                <w:sz w:val="20"/>
                <w:szCs w:val="20"/>
                <w:color w:val="auto"/>
              </w:rPr>
            </w:pPr>
            <w:r>
              <w:rPr>
                <w:rFonts w:ascii="Arial" w:cs="Arial" w:eastAsia="Arial" w:hAnsi="Arial"/>
                <w:sz w:val="20"/>
                <w:szCs w:val="20"/>
                <w:color w:val="auto"/>
              </w:rPr>
              <w:t>Underfunded status, December 31</w:t>
            </w: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(18,911)</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(18,039)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-1135380</wp:posOffset>
            </wp:positionV>
            <wp:extent cx="2009775" cy="52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09775" cy="52705"/>
                    </a:xfrm>
                    <a:prstGeom prst="rect">
                      <a:avLst/>
                    </a:prstGeom>
                    <a:noFill/>
                  </pic:spPr>
                </pic:pic>
              </a:graphicData>
            </a:graphic>
          </wp:anchor>
        </w:drawing>
        <w:drawing>
          <wp:anchor simplePos="0" relativeHeight="251657728" behindDoc="1" locked="0" layoutInCell="0" allowOverlap="1">
            <wp:simplePos x="0" y="0"/>
            <wp:positionH relativeFrom="column">
              <wp:posOffset>4125595</wp:posOffset>
            </wp:positionH>
            <wp:positionV relativeFrom="paragraph">
              <wp:posOffset>-191135</wp:posOffset>
            </wp:positionV>
            <wp:extent cx="2018665" cy="2222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18665" cy="222250"/>
                    </a:xfrm>
                    <a:prstGeom prst="rect">
                      <a:avLst/>
                    </a:prstGeom>
                    <a:noFill/>
                  </pic:spPr>
                </pic:pic>
              </a:graphicData>
            </a:graphic>
          </wp:anchor>
        </w:drawing>
      </w:r>
    </w:p>
    <w:p>
      <w:pPr>
        <w:spacing w:after="0" w:line="218" w:lineRule="exact"/>
        <w:rPr>
          <w:sz w:val="20"/>
          <w:szCs w:val="20"/>
          <w:color w:val="auto"/>
        </w:rPr>
      </w:pPr>
    </w:p>
    <w:p>
      <w:pPr>
        <w:jc w:val="both"/>
        <w:ind w:left="20"/>
        <w:spacing w:after="0" w:line="248" w:lineRule="auto"/>
        <w:rPr>
          <w:sz w:val="20"/>
          <w:szCs w:val="20"/>
          <w:color w:val="auto"/>
        </w:rPr>
      </w:pPr>
      <w:r>
        <w:rPr>
          <w:rFonts w:ascii="Arial" w:cs="Arial" w:eastAsia="Arial" w:hAnsi="Arial"/>
          <w:sz w:val="20"/>
          <w:szCs w:val="20"/>
          <w:color w:val="auto"/>
        </w:rPr>
        <w:t>The Company has recorded the 2025 and 2024 underfunded status as a long-term liability on the consolidated balance sheets. The accumulated benefit obligation for the SERP was $18.0 million as of December 31, 2025 and $ 17.2 million as of December 31, 2024. The aforementioned company-owned life insurance policies and marketable securities held in a rabbi trust had a combined value of $18.4 million and $17.0 million at December 31, 2025 and 2024, respectively. See Note 7, "</w:t>
      </w:r>
      <w:r>
        <w:rPr>
          <w:rFonts w:ascii="Arial" w:cs="Arial" w:eastAsia="Arial" w:hAnsi="Arial"/>
          <w:sz w:val="20"/>
          <w:szCs w:val="20"/>
          <w:i w:val="1"/>
          <w:iCs w:val="1"/>
          <w:color w:val="auto"/>
        </w:rPr>
        <w:t>Other Assets,</w:t>
      </w:r>
      <w:r>
        <w:rPr>
          <w:rFonts w:ascii="Arial" w:cs="Arial" w:eastAsia="Arial" w:hAnsi="Arial"/>
          <w:sz w:val="20"/>
          <w:szCs w:val="20"/>
          <w:color w:val="auto"/>
        </w:rPr>
        <w:t>" for additional information on these investments.</w:t>
      </w:r>
    </w:p>
    <w:p>
      <w:pPr>
        <w:spacing w:after="0" w:line="185" w:lineRule="exact"/>
        <w:rPr>
          <w:sz w:val="20"/>
          <w:szCs w:val="20"/>
          <w:color w:val="auto"/>
        </w:rPr>
      </w:pPr>
    </w:p>
    <w:p>
      <w:pPr>
        <w:jc w:val="both"/>
        <w:ind w:left="20"/>
        <w:spacing w:after="0" w:line="288" w:lineRule="auto"/>
        <w:rPr>
          <w:sz w:val="20"/>
          <w:szCs w:val="20"/>
          <w:color w:val="auto"/>
        </w:rPr>
      </w:pPr>
      <w:r>
        <w:rPr>
          <w:rFonts w:ascii="Arial" w:cs="Arial" w:eastAsia="Arial" w:hAnsi="Arial"/>
          <w:sz w:val="18"/>
          <w:szCs w:val="18"/>
          <w:color w:val="auto"/>
        </w:rPr>
        <w:t>The estimated net loss and prior service cost for the SERP that will be amortized from accumulated other comprehensive loss into net periodic benefit cost over the next fiscal year is $0.1 million. The Company expects to make contributions of $1.1 million to the SERP in 2026. The Company had no net transition assets or obligations recognized as an adjustment to other comprehensive income and does not anticipate any Plan assets being returned to the Company during 2026, as the Plan has no assets.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following benefit payments, which reflect expected future service, are expected to be paid:</w:t>
      </w:r>
    </w:p>
    <w:p>
      <w:pPr>
        <w:spacing w:after="0" w:line="231" w:lineRule="exact"/>
        <w:rPr>
          <w:sz w:val="20"/>
          <w:szCs w:val="20"/>
          <w:color w:val="auto"/>
        </w:rPr>
      </w:pPr>
    </w:p>
    <w:tbl>
      <w:tblPr>
        <w:tblLayout w:type="fixed"/>
        <w:tblInd w:w="2180" w:type="dxa"/>
        <w:tblCellMar>
          <w:top w:w="0" w:type="dxa"/>
          <w:left w:w="0" w:type="dxa"/>
          <w:bottom w:w="0" w:type="dxa"/>
          <w:right w:w="0" w:type="dxa"/>
        </w:tblCellMar>
      </w:tblPr>
      <w:tr>
        <w:trPr>
          <w:trHeight w:val="239"/>
        </w:trPr>
        <w:tc>
          <w:tcPr>
            <w:tcW w:w="5020" w:type="dxa"/>
            <w:vAlign w:val="bottom"/>
          </w:tcPr>
          <w:p>
            <w:pPr>
              <w:ind w:left="1960"/>
              <w:spacing w:after="0"/>
              <w:rPr>
                <w:sz w:val="20"/>
                <w:szCs w:val="20"/>
                <w:color w:val="auto"/>
              </w:rPr>
            </w:pPr>
            <w:r>
              <w:rPr>
                <w:rFonts w:ascii="Arial" w:cs="Arial" w:eastAsia="Arial" w:hAnsi="Arial"/>
                <w:sz w:val="20"/>
                <w:szCs w:val="20"/>
                <w:color w:val="auto"/>
              </w:rPr>
              <w:t>Years Ending</w:t>
            </w: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tcPr>
          <w:p>
            <w:pPr>
              <w:ind w:left="1940"/>
              <w:spacing w:after="0"/>
              <w:rPr>
                <w:sz w:val="20"/>
                <w:szCs w:val="20"/>
                <w:color w:val="auto"/>
              </w:rPr>
            </w:pPr>
            <w:r>
              <w:rPr>
                <w:rFonts w:ascii="Arial" w:cs="Arial" w:eastAsia="Arial" w:hAnsi="Arial"/>
                <w:sz w:val="20"/>
                <w:szCs w:val="20"/>
                <w:color w:val="auto"/>
              </w:rPr>
              <w:t>December 31,</w:t>
            </w:r>
          </w:p>
        </w:tc>
        <w:tc>
          <w:tcPr>
            <w:tcW w:w="600" w:type="dxa"/>
            <w:vAlign w:val="bottom"/>
            <w:vMerge w:val="restart"/>
          </w:tcPr>
          <w:p>
            <w:pPr>
              <w:jc w:val="right"/>
              <w:ind w:right="201"/>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1,143</w:t>
            </w:r>
          </w:p>
        </w:tc>
        <w:tc>
          <w:tcPr>
            <w:tcW w:w="0" w:type="dxa"/>
            <w:vAlign w:val="bottom"/>
          </w:tcPr>
          <w:p>
            <w:pPr>
              <w:spacing w:after="0"/>
              <w:rPr>
                <w:sz w:val="1"/>
                <w:szCs w:val="1"/>
                <w:color w:val="auto"/>
              </w:rPr>
            </w:pPr>
          </w:p>
        </w:tc>
      </w:tr>
      <w:tr>
        <w:trPr>
          <w:trHeight w:val="215"/>
        </w:trPr>
        <w:tc>
          <w:tcPr>
            <w:tcW w:w="5020" w:type="dxa"/>
            <w:vAlign w:val="bottom"/>
          </w:tcPr>
          <w:p>
            <w:pPr>
              <w:jc w:val="center"/>
              <w:spacing w:after="0" w:line="215" w:lineRule="exact"/>
              <w:rPr>
                <w:sz w:val="20"/>
                <w:szCs w:val="20"/>
                <w:color w:val="auto"/>
              </w:rPr>
            </w:pPr>
            <w:r>
              <w:rPr>
                <w:rFonts w:ascii="Arial" w:cs="Arial" w:eastAsia="Arial" w:hAnsi="Arial"/>
                <w:sz w:val="20"/>
                <w:szCs w:val="20"/>
                <w:color w:val="auto"/>
                <w:w w:val="89"/>
              </w:rPr>
              <w:t>2026</w:t>
            </w:r>
          </w:p>
        </w:tc>
        <w:tc>
          <w:tcPr>
            <w:tcW w:w="6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020" w:type="dxa"/>
            <w:vAlign w:val="bottom"/>
          </w:tcPr>
          <w:p>
            <w:pPr>
              <w:jc w:val="center"/>
              <w:spacing w:after="0"/>
              <w:rPr>
                <w:sz w:val="20"/>
                <w:szCs w:val="20"/>
                <w:color w:val="auto"/>
              </w:rPr>
            </w:pPr>
            <w:r>
              <w:rPr>
                <w:rFonts w:ascii="Arial" w:cs="Arial" w:eastAsia="Arial" w:hAnsi="Arial"/>
                <w:sz w:val="20"/>
                <w:szCs w:val="20"/>
                <w:color w:val="auto"/>
                <w:w w:val="89"/>
              </w:rPr>
              <w:t>2027</w:t>
            </w:r>
          </w:p>
        </w:tc>
        <w:tc>
          <w:tcPr>
            <w:tcW w:w="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1,212</w:t>
            </w:r>
          </w:p>
        </w:tc>
        <w:tc>
          <w:tcPr>
            <w:tcW w:w="0" w:type="dxa"/>
            <w:vAlign w:val="bottom"/>
          </w:tcPr>
          <w:p>
            <w:pPr>
              <w:spacing w:after="0"/>
              <w:rPr>
                <w:sz w:val="1"/>
                <w:szCs w:val="1"/>
                <w:color w:val="auto"/>
              </w:rPr>
            </w:pPr>
          </w:p>
        </w:tc>
      </w:tr>
      <w:tr>
        <w:trPr>
          <w:trHeight w:val="239"/>
        </w:trPr>
        <w:tc>
          <w:tcPr>
            <w:tcW w:w="5020" w:type="dxa"/>
            <w:vAlign w:val="bottom"/>
          </w:tcPr>
          <w:p>
            <w:pPr>
              <w:jc w:val="center"/>
              <w:spacing w:after="0"/>
              <w:rPr>
                <w:sz w:val="20"/>
                <w:szCs w:val="20"/>
                <w:color w:val="auto"/>
              </w:rPr>
            </w:pPr>
            <w:r>
              <w:rPr>
                <w:rFonts w:ascii="Arial" w:cs="Arial" w:eastAsia="Arial" w:hAnsi="Arial"/>
                <w:sz w:val="20"/>
                <w:szCs w:val="20"/>
                <w:color w:val="auto"/>
                <w:w w:val="89"/>
              </w:rPr>
              <w:t>2028</w:t>
            </w:r>
          </w:p>
        </w:tc>
        <w:tc>
          <w:tcPr>
            <w:tcW w:w="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1,304</w:t>
            </w:r>
          </w:p>
        </w:tc>
        <w:tc>
          <w:tcPr>
            <w:tcW w:w="0" w:type="dxa"/>
            <w:vAlign w:val="bottom"/>
          </w:tcPr>
          <w:p>
            <w:pPr>
              <w:spacing w:after="0"/>
              <w:rPr>
                <w:sz w:val="1"/>
                <w:szCs w:val="1"/>
                <w:color w:val="auto"/>
              </w:rPr>
            </w:pPr>
          </w:p>
        </w:tc>
      </w:tr>
      <w:tr>
        <w:trPr>
          <w:trHeight w:val="239"/>
        </w:trPr>
        <w:tc>
          <w:tcPr>
            <w:tcW w:w="5020" w:type="dxa"/>
            <w:vAlign w:val="bottom"/>
          </w:tcPr>
          <w:p>
            <w:pPr>
              <w:jc w:val="center"/>
              <w:spacing w:after="0"/>
              <w:rPr>
                <w:sz w:val="20"/>
                <w:szCs w:val="20"/>
                <w:color w:val="auto"/>
              </w:rPr>
            </w:pPr>
            <w:r>
              <w:rPr>
                <w:rFonts w:ascii="Arial" w:cs="Arial" w:eastAsia="Arial" w:hAnsi="Arial"/>
                <w:sz w:val="20"/>
                <w:szCs w:val="20"/>
                <w:color w:val="auto"/>
                <w:w w:val="89"/>
              </w:rPr>
              <w:t>2029</w:t>
            </w:r>
          </w:p>
        </w:tc>
        <w:tc>
          <w:tcPr>
            <w:tcW w:w="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1,319</w:t>
            </w:r>
          </w:p>
        </w:tc>
        <w:tc>
          <w:tcPr>
            <w:tcW w:w="0" w:type="dxa"/>
            <w:vAlign w:val="bottom"/>
          </w:tcPr>
          <w:p>
            <w:pPr>
              <w:spacing w:after="0"/>
              <w:rPr>
                <w:sz w:val="1"/>
                <w:szCs w:val="1"/>
                <w:color w:val="auto"/>
              </w:rPr>
            </w:pPr>
          </w:p>
        </w:tc>
      </w:tr>
      <w:tr>
        <w:trPr>
          <w:trHeight w:val="239"/>
        </w:trPr>
        <w:tc>
          <w:tcPr>
            <w:tcW w:w="5020" w:type="dxa"/>
            <w:vAlign w:val="bottom"/>
          </w:tcPr>
          <w:p>
            <w:pPr>
              <w:jc w:val="center"/>
              <w:spacing w:after="0"/>
              <w:rPr>
                <w:sz w:val="20"/>
                <w:szCs w:val="20"/>
                <w:color w:val="auto"/>
              </w:rPr>
            </w:pPr>
            <w:r>
              <w:rPr>
                <w:rFonts w:ascii="Arial" w:cs="Arial" w:eastAsia="Arial" w:hAnsi="Arial"/>
                <w:sz w:val="20"/>
                <w:szCs w:val="20"/>
                <w:color w:val="auto"/>
                <w:w w:val="89"/>
              </w:rPr>
              <w:t>2030</w:t>
            </w:r>
          </w:p>
        </w:tc>
        <w:tc>
          <w:tcPr>
            <w:tcW w:w="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1,360</w:t>
            </w:r>
          </w:p>
        </w:tc>
        <w:tc>
          <w:tcPr>
            <w:tcW w:w="0" w:type="dxa"/>
            <w:vAlign w:val="bottom"/>
          </w:tcPr>
          <w:p>
            <w:pPr>
              <w:spacing w:after="0"/>
              <w:rPr>
                <w:sz w:val="1"/>
                <w:szCs w:val="1"/>
                <w:color w:val="auto"/>
              </w:rPr>
            </w:pPr>
          </w:p>
        </w:tc>
      </w:tr>
      <w:tr>
        <w:trPr>
          <w:trHeight w:val="264"/>
        </w:trPr>
        <w:tc>
          <w:tcPr>
            <w:tcW w:w="5020" w:type="dxa"/>
            <w:vAlign w:val="bottom"/>
          </w:tcPr>
          <w:p>
            <w:pPr>
              <w:jc w:val="center"/>
              <w:spacing w:after="0"/>
              <w:rPr>
                <w:sz w:val="20"/>
                <w:szCs w:val="20"/>
                <w:color w:val="auto"/>
              </w:rPr>
            </w:pPr>
            <w:r>
              <w:rPr>
                <w:rFonts w:ascii="Arial" w:cs="Arial" w:eastAsia="Arial" w:hAnsi="Arial"/>
                <w:sz w:val="20"/>
                <w:szCs w:val="20"/>
                <w:color w:val="auto"/>
                <w:w w:val="91"/>
              </w:rPr>
              <w:t>2031 - 2035</w:t>
            </w:r>
          </w:p>
        </w:tc>
        <w:tc>
          <w:tcPr>
            <w:tcW w:w="6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7,379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84</w:t>
      </w:r>
    </w:p>
    <w:p>
      <w:pPr>
        <w:sectPr>
          <w:pgSz w:w="12240" w:h="15840" w:orient="portrait"/>
          <w:cols w:equalWidth="0" w:num="1">
            <w:col w:w="10820"/>
          </w:cols>
          <w:pgMar w:left="700" w:top="555" w:right="720" w:bottom="0" w:gutter="0" w:footer="0" w:header="0"/>
        </w:sectPr>
      </w:pPr>
    </w:p>
    <w:bookmarkStart w:id="94" w:name="page95"/>
    <w:bookmarkEnd w:id="94"/>
    <w:p>
      <w:pPr>
        <w:spacing w:after="0"/>
        <w:rPr>
          <w:sz w:val="20"/>
          <w:szCs w:val="20"/>
          <w:color w:val="auto"/>
        </w:rPr>
      </w:pPr>
      <w:r>
        <w:rPr>
          <w:rFonts w:ascii="Arial" w:cs="Arial" w:eastAsia="Arial" w:hAnsi="Arial"/>
          <w:sz w:val="20"/>
          <w:szCs w:val="20"/>
          <w:color w:val="auto"/>
        </w:rPr>
        <w:t>The following gross amounts are recognized net of tax in accumulated other comprehensive loss: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4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20"/>
                <w:szCs w:val="20"/>
                <w:color w:val="auto"/>
                <w:w w:val="92"/>
              </w:rPr>
              <w:t>December 31,</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040" w:type="dxa"/>
            <w:vAlign w:val="bottom"/>
            <w:vMerge w:val="restart"/>
          </w:tcPr>
          <w:p>
            <w:pPr>
              <w:spacing w:after="0"/>
              <w:rPr>
                <w:sz w:val="20"/>
                <w:szCs w:val="20"/>
                <w:color w:val="auto"/>
              </w:rPr>
            </w:pPr>
            <w:r>
              <w:rPr>
                <w:rFonts w:ascii="Arial" w:cs="Arial" w:eastAsia="Arial" w:hAnsi="Arial"/>
                <w:sz w:val="20"/>
                <w:szCs w:val="20"/>
                <w:color w:val="auto"/>
              </w:rPr>
              <w:t>Prior service cost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2024</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40" w:type="dxa"/>
            <w:vAlign w:val="bottom"/>
            <w:vMerge w:val="continue"/>
          </w:tcPr>
          <w:p>
            <w:pPr>
              <w:spacing w:after="0"/>
              <w:rPr>
                <w:sz w:val="18"/>
                <w:szCs w:val="18"/>
                <w:color w:val="auto"/>
              </w:rPr>
            </w:pPr>
          </w:p>
        </w:tc>
        <w:tc>
          <w:tcPr>
            <w:tcW w:w="1020" w:type="dxa"/>
            <w:vAlign w:val="bottom"/>
          </w:tcPr>
          <w:p>
            <w:pPr>
              <w:jc w:val="right"/>
              <w:ind w:right="821"/>
              <w:spacing w:after="0" w:line="215" w:lineRule="exact"/>
              <w:rPr>
                <w:sz w:val="20"/>
                <w:szCs w:val="20"/>
                <w:color w:val="auto"/>
              </w:rPr>
            </w:pPr>
            <w:r>
              <w:rPr>
                <w:rFonts w:ascii="Arial" w:cs="Arial" w:eastAsia="Arial" w:hAnsi="Arial"/>
                <w:sz w:val="20"/>
                <w:szCs w:val="20"/>
                <w:color w:val="auto"/>
                <w:w w:val="71"/>
              </w:rPr>
              <w:t>$</w:t>
            </w:r>
          </w:p>
        </w:tc>
        <w:tc>
          <w:tcPr>
            <w:tcW w:w="540" w:type="dxa"/>
            <w:vAlign w:val="bottom"/>
          </w:tcPr>
          <w:p>
            <w:pPr>
              <w:jc w:val="right"/>
              <w:spacing w:after="0" w:line="215" w:lineRule="exact"/>
              <w:rPr>
                <w:sz w:val="20"/>
                <w:szCs w:val="20"/>
                <w:color w:val="auto"/>
              </w:rPr>
            </w:pPr>
            <w:r>
              <w:rPr>
                <w:rFonts w:ascii="Arial" w:cs="Arial" w:eastAsia="Arial" w:hAnsi="Arial"/>
                <w:sz w:val="20"/>
                <w:szCs w:val="20"/>
                <w:color w:val="auto"/>
              </w:rPr>
              <w:t>55</w:t>
            </w:r>
          </w:p>
        </w:tc>
        <w:tc>
          <w:tcPr>
            <w:tcW w:w="18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1420" w:type="dxa"/>
            <w:vAlign w:val="bottom"/>
          </w:tcPr>
          <w:p>
            <w:pPr>
              <w:jc w:val="right"/>
              <w:spacing w:after="0" w:line="215" w:lineRule="exact"/>
              <w:rPr>
                <w:sz w:val="20"/>
                <w:szCs w:val="20"/>
                <w:color w:val="auto"/>
              </w:rPr>
            </w:pPr>
            <w:r>
              <w:rPr>
                <w:rFonts w:ascii="Arial" w:cs="Arial" w:eastAsia="Arial" w:hAnsi="Arial"/>
                <w:sz w:val="20"/>
                <w:szCs w:val="20"/>
                <w:color w:val="auto"/>
              </w:rPr>
              <w:t>132</w:t>
            </w:r>
          </w:p>
        </w:tc>
        <w:tc>
          <w:tcPr>
            <w:tcW w:w="16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Arial" w:cs="Arial" w:eastAsia="Arial" w:hAnsi="Arial"/>
                <w:sz w:val="20"/>
                <w:szCs w:val="20"/>
                <w:color w:val="auto"/>
                <w:w w:val="89"/>
              </w:rPr>
              <w:t>$</w:t>
            </w:r>
          </w:p>
        </w:tc>
        <w:tc>
          <w:tcPr>
            <w:tcW w:w="1440" w:type="dxa"/>
            <w:vAlign w:val="bottom"/>
          </w:tcPr>
          <w:p>
            <w:pPr>
              <w:jc w:val="right"/>
              <w:spacing w:after="0" w:line="215" w:lineRule="exact"/>
              <w:rPr>
                <w:sz w:val="20"/>
                <w:szCs w:val="20"/>
                <w:color w:val="auto"/>
              </w:rPr>
            </w:pPr>
            <w:r>
              <w:rPr>
                <w:rFonts w:ascii="Arial" w:cs="Arial" w:eastAsia="Arial" w:hAnsi="Arial"/>
                <w:sz w:val="20"/>
                <w:szCs w:val="20"/>
                <w:color w:val="auto"/>
              </w:rPr>
              <w:t>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0"/>
                <w:szCs w:val="20"/>
                <w:color w:val="auto"/>
              </w:rPr>
            </w:pPr>
            <w:r>
              <w:rPr>
                <w:rFonts w:ascii="Arial" w:cs="Arial" w:eastAsia="Arial" w:hAnsi="Arial"/>
                <w:sz w:val="20"/>
                <w:szCs w:val="20"/>
                <w:color w:val="auto"/>
              </w:rPr>
              <w:t>Net loss</w:t>
            </w:r>
          </w:p>
        </w:tc>
        <w:tc>
          <w:tcPr>
            <w:tcW w:w="10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20"/>
                <w:szCs w:val="20"/>
                <w:color w:val="auto"/>
                <w:w w:val="94"/>
              </w:rPr>
              <w:t>(3,085)</w:t>
            </w:r>
          </w:p>
        </w:tc>
        <w:tc>
          <w:tcPr>
            <w:tcW w:w="160" w:type="dxa"/>
            <w:vAlign w:val="bottom"/>
          </w:tcPr>
          <w:p>
            <w:pPr>
              <w:spacing w:after="0"/>
              <w:rPr>
                <w:sz w:val="22"/>
                <w:szCs w:val="2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20"/>
                <w:szCs w:val="20"/>
                <w:color w:val="auto"/>
              </w:rPr>
              <w:t>(3,303)</w:t>
            </w:r>
          </w:p>
        </w:tc>
        <w:tc>
          <w:tcPr>
            <w:tcW w:w="1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(1,336)</w:t>
            </w:r>
          </w:p>
        </w:tc>
        <w:tc>
          <w:tcPr>
            <w:tcW w:w="0" w:type="dxa"/>
            <w:vAlign w:val="bottom"/>
          </w:tcPr>
          <w:p>
            <w:pPr>
              <w:spacing w:after="0"/>
              <w:rPr>
                <w:sz w:val="1"/>
                <w:szCs w:val="1"/>
                <w:color w:val="auto"/>
              </w:rPr>
            </w:pPr>
          </w:p>
        </w:tc>
      </w:tr>
      <w:tr>
        <w:trPr>
          <w:trHeight w:val="247"/>
        </w:trPr>
        <w:tc>
          <w:tcPr>
            <w:tcW w:w="4040" w:type="dxa"/>
            <w:vAlign w:val="bottom"/>
          </w:tcPr>
          <w:p>
            <w:pPr>
              <w:spacing w:after="0"/>
              <w:rPr>
                <w:sz w:val="21"/>
                <w:szCs w:val="21"/>
                <w:color w:val="auto"/>
              </w:rPr>
            </w:pPr>
          </w:p>
        </w:tc>
        <w:tc>
          <w:tcPr>
            <w:tcW w:w="1020" w:type="dxa"/>
            <w:vAlign w:val="bottom"/>
            <w:tcBorders>
              <w:top w:val="single" w:sz="8" w:color="auto"/>
            </w:tcBorders>
          </w:tcPr>
          <w:p>
            <w:pPr>
              <w:jc w:val="right"/>
              <w:ind w:right="821"/>
              <w:spacing w:after="0"/>
              <w:rPr>
                <w:sz w:val="20"/>
                <w:szCs w:val="20"/>
                <w:color w:val="auto"/>
              </w:rPr>
            </w:pPr>
            <w:r>
              <w:rPr>
                <w:rFonts w:ascii="Arial" w:cs="Arial" w:eastAsia="Arial" w:hAnsi="Arial"/>
                <w:sz w:val="20"/>
                <w:szCs w:val="2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1"/>
              </w:rPr>
              <w:t>(3,030)</w:t>
            </w:r>
          </w:p>
        </w:tc>
        <w:tc>
          <w:tcPr>
            <w:tcW w:w="1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(3,171)</w:t>
            </w:r>
          </w:p>
        </w:tc>
        <w:tc>
          <w:tcPr>
            <w:tcW w:w="16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(1,124)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-191135</wp:posOffset>
            </wp:positionV>
            <wp:extent cx="3255010" cy="2222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55010" cy="2222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Actuarial Assumptions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weighted average assumptions used in determining the periodic net cost and benefit obligation information related to the SERP are as follows:</w:t>
      </w:r>
    </w:p>
    <w:p>
      <w:pPr>
        <w:spacing w:after="0" w:line="16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20" w:type="dxa"/>
            <w:vAlign w:val="bottom"/>
            <w:gridSpan w:val="3"/>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4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20"/>
                <w:szCs w:val="20"/>
                <w:color w:val="auto"/>
              </w:rPr>
              <w:t>2024</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20"/>
                <w:szCs w:val="20"/>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20"/>
                <w:szCs w:val="20"/>
                <w:color w:val="auto"/>
                <w:w w:val="91"/>
              </w:rPr>
              <w:t>Net periodic benefit cost:</w:t>
            </w:r>
          </w:p>
        </w:tc>
        <w:tc>
          <w:tcPr>
            <w:tcW w:w="2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5.50%</w:t>
            </w:r>
          </w:p>
        </w:tc>
        <w:tc>
          <w:tcPr>
            <w:tcW w:w="166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4.75%</w:t>
            </w:r>
          </w:p>
        </w:tc>
        <w:tc>
          <w:tcPr>
            <w:tcW w:w="1580" w:type="dxa"/>
            <w:vAlign w:val="bottom"/>
            <w:gridSpan w:val="2"/>
            <w:vMerge w:val="restart"/>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32"/>
        </w:trPr>
        <w:tc>
          <w:tcPr>
            <w:tcW w:w="5800" w:type="dxa"/>
            <w:vAlign w:val="bottom"/>
            <w:gridSpan w:val="4"/>
          </w:tcPr>
          <w:p>
            <w:pPr>
              <w:spacing w:after="0"/>
              <w:rPr>
                <w:sz w:val="20"/>
                <w:szCs w:val="20"/>
                <w:color w:val="auto"/>
              </w:rPr>
            </w:pPr>
            <w:r>
              <w:rPr>
                <w:rFonts w:ascii="Arial" w:cs="Arial" w:eastAsia="Arial" w:hAnsi="Arial"/>
                <w:sz w:val="20"/>
                <w:szCs w:val="20"/>
                <w:color w:val="auto"/>
              </w:rPr>
              <w:t>Discount rate</w:t>
            </w:r>
          </w:p>
        </w:tc>
        <w:tc>
          <w:tcPr>
            <w:tcW w:w="680" w:type="dxa"/>
            <w:vAlign w:val="bottom"/>
            <w:gridSpan w:val="2"/>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0" w:type="dxa"/>
            <w:vAlign w:val="bottom"/>
            <w:gridSpan w:val="4"/>
          </w:tcPr>
          <w:p>
            <w:pPr>
              <w:spacing w:after="0"/>
              <w:rPr>
                <w:sz w:val="20"/>
                <w:szCs w:val="20"/>
                <w:color w:val="auto"/>
              </w:rPr>
            </w:pPr>
            <w:r>
              <w:rPr>
                <w:rFonts w:ascii="Arial" w:cs="Arial" w:eastAsia="Arial" w:hAnsi="Arial"/>
                <w:sz w:val="20"/>
                <w:szCs w:val="20"/>
                <w:color w:val="auto"/>
              </w:rPr>
              <w:t>Rate of compensation increase</w:t>
            </w:r>
          </w:p>
        </w:tc>
        <w:tc>
          <w:tcPr>
            <w:tcW w:w="680" w:type="dxa"/>
            <w:vAlign w:val="bottom"/>
            <w:gridSpan w:val="2"/>
          </w:tcPr>
          <w:p>
            <w:pPr>
              <w:jc w:val="right"/>
              <w:ind w:right="80"/>
              <w:spacing w:after="0"/>
              <w:rPr>
                <w:sz w:val="20"/>
                <w:szCs w:val="20"/>
                <w:color w:val="auto"/>
              </w:rPr>
            </w:pPr>
            <w:r>
              <w:rPr>
                <w:rFonts w:ascii="Arial" w:cs="Arial" w:eastAsia="Arial" w:hAnsi="Arial"/>
                <w:sz w:val="20"/>
                <w:szCs w:val="20"/>
                <w:color w:val="auto"/>
              </w:rPr>
              <w:t>2.50%</w:t>
            </w:r>
          </w:p>
        </w:tc>
        <w:tc>
          <w:tcPr>
            <w:tcW w:w="1660" w:type="dxa"/>
            <w:vAlign w:val="bottom"/>
            <w:gridSpan w:val="2"/>
          </w:tcPr>
          <w:p>
            <w:pPr>
              <w:jc w:val="right"/>
              <w:ind w:right="80"/>
              <w:spacing w:after="0"/>
              <w:rPr>
                <w:sz w:val="20"/>
                <w:szCs w:val="20"/>
                <w:color w:val="auto"/>
              </w:rPr>
            </w:pPr>
            <w:r>
              <w:rPr>
                <w:rFonts w:ascii="Arial" w:cs="Arial" w:eastAsia="Arial" w:hAnsi="Arial"/>
                <w:sz w:val="20"/>
                <w:szCs w:val="20"/>
                <w:color w:val="auto"/>
              </w:rPr>
              <w:t>2.50%</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2.50%</w:t>
            </w:r>
          </w:p>
        </w:tc>
        <w:tc>
          <w:tcPr>
            <w:tcW w:w="0" w:type="dxa"/>
            <w:vAlign w:val="bottom"/>
          </w:tcPr>
          <w:p>
            <w:pPr>
              <w:spacing w:after="0"/>
              <w:rPr>
                <w:sz w:val="1"/>
                <w:szCs w:val="1"/>
                <w:color w:val="auto"/>
              </w:rPr>
            </w:pPr>
          </w:p>
        </w:tc>
      </w:tr>
      <w:tr>
        <w:trPr>
          <w:trHeight w:val="226"/>
        </w:trPr>
        <w:tc>
          <w:tcPr>
            <w:tcW w:w="5800" w:type="dxa"/>
            <w:vAlign w:val="bottom"/>
            <w:gridSpan w:val="4"/>
          </w:tcPr>
          <w:p>
            <w:pPr>
              <w:spacing w:after="0" w:line="226" w:lineRule="exact"/>
              <w:rPr>
                <w:sz w:val="20"/>
                <w:szCs w:val="20"/>
                <w:color w:val="auto"/>
              </w:rPr>
            </w:pPr>
            <w:r>
              <w:rPr>
                <w:rFonts w:ascii="Arial" w:cs="Arial" w:eastAsia="Arial" w:hAnsi="Arial"/>
                <w:sz w:val="20"/>
                <w:szCs w:val="20"/>
                <w:color w:val="auto"/>
              </w:rPr>
              <w:t>Benefit obligation:</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5.25%</w:t>
            </w:r>
          </w:p>
        </w:tc>
        <w:tc>
          <w:tcPr>
            <w:tcW w:w="166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5.50%</w:t>
            </w:r>
          </w:p>
        </w:tc>
        <w:tc>
          <w:tcPr>
            <w:tcW w:w="1580" w:type="dxa"/>
            <w:vAlign w:val="bottom"/>
            <w:gridSpan w:val="2"/>
            <w:vMerge w:val="restart"/>
          </w:tcPr>
          <w:p>
            <w:pPr>
              <w:jc w:val="right"/>
              <w:spacing w:after="0"/>
              <w:rPr>
                <w:sz w:val="20"/>
                <w:szCs w:val="20"/>
                <w:color w:val="auto"/>
              </w:rPr>
            </w:pPr>
            <w:r>
              <w:rPr>
                <w:rFonts w:ascii="Arial" w:cs="Arial" w:eastAsia="Arial" w:hAnsi="Arial"/>
                <w:sz w:val="20"/>
                <w:szCs w:val="20"/>
                <w:color w:val="auto"/>
              </w:rPr>
              <w:t>4.75%</w:t>
            </w:r>
          </w:p>
        </w:tc>
        <w:tc>
          <w:tcPr>
            <w:tcW w:w="0" w:type="dxa"/>
            <w:vAlign w:val="bottom"/>
          </w:tcPr>
          <w:p>
            <w:pPr>
              <w:spacing w:after="0"/>
              <w:rPr>
                <w:sz w:val="1"/>
                <w:szCs w:val="1"/>
                <w:color w:val="auto"/>
              </w:rPr>
            </w:pPr>
          </w:p>
        </w:tc>
      </w:tr>
      <w:tr>
        <w:trPr>
          <w:trHeight w:val="232"/>
        </w:trPr>
        <w:tc>
          <w:tcPr>
            <w:tcW w:w="15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Discount rate</w:t>
            </w:r>
          </w:p>
        </w:tc>
        <w:tc>
          <w:tcPr>
            <w:tcW w:w="4300" w:type="dxa"/>
            <w:vAlign w:val="bottom"/>
            <w:gridSpan w:val="3"/>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800" w:type="dxa"/>
            <w:vAlign w:val="bottom"/>
            <w:gridSpan w:val="4"/>
          </w:tcPr>
          <w:p>
            <w:pPr>
              <w:spacing w:after="0"/>
              <w:rPr>
                <w:sz w:val="20"/>
                <w:szCs w:val="20"/>
                <w:color w:val="auto"/>
              </w:rPr>
            </w:pPr>
            <w:r>
              <w:rPr>
                <w:rFonts w:ascii="Arial" w:cs="Arial" w:eastAsia="Arial" w:hAnsi="Arial"/>
                <w:sz w:val="20"/>
                <w:szCs w:val="20"/>
                <w:color w:val="auto"/>
              </w:rPr>
              <w:t>Rate of compensation increase</w:t>
            </w:r>
          </w:p>
        </w:tc>
        <w:tc>
          <w:tcPr>
            <w:tcW w:w="680" w:type="dxa"/>
            <w:vAlign w:val="bottom"/>
            <w:gridSpan w:val="2"/>
          </w:tcPr>
          <w:p>
            <w:pPr>
              <w:jc w:val="right"/>
              <w:ind w:right="80"/>
              <w:spacing w:after="0"/>
              <w:rPr>
                <w:sz w:val="20"/>
                <w:szCs w:val="20"/>
                <w:color w:val="auto"/>
              </w:rPr>
            </w:pPr>
            <w:r>
              <w:rPr>
                <w:rFonts w:ascii="Arial" w:cs="Arial" w:eastAsia="Arial" w:hAnsi="Arial"/>
                <w:sz w:val="20"/>
                <w:szCs w:val="20"/>
                <w:color w:val="auto"/>
              </w:rPr>
              <w:t>2.50%</w:t>
            </w:r>
          </w:p>
        </w:tc>
        <w:tc>
          <w:tcPr>
            <w:tcW w:w="1660" w:type="dxa"/>
            <w:vAlign w:val="bottom"/>
            <w:gridSpan w:val="2"/>
          </w:tcPr>
          <w:p>
            <w:pPr>
              <w:jc w:val="right"/>
              <w:ind w:right="80"/>
              <w:spacing w:after="0"/>
              <w:rPr>
                <w:sz w:val="20"/>
                <w:szCs w:val="20"/>
                <w:color w:val="auto"/>
              </w:rPr>
            </w:pPr>
            <w:r>
              <w:rPr>
                <w:rFonts w:ascii="Arial" w:cs="Arial" w:eastAsia="Arial" w:hAnsi="Arial"/>
                <w:sz w:val="20"/>
                <w:szCs w:val="20"/>
                <w:color w:val="auto"/>
              </w:rPr>
              <w:t>2.50%</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16. SHARE-BASED COMPENSATION</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Company has an equity compensation program (the "Program") which provides for the granting of "Incentive Stock Options" within the meaning of Section 422 of the Code, non- qualified stock options and restricted stock awards. The Company believes that such awards better align the interests of its employees with those of its shareholders. The 2020 Equity Compensation Plan provides for the issuance of 1.0 million shares of the Company's Class B common stock. At December 31, 2025, 356,889 shares remained available for future issuance under the 2020 Equity Compensation Plan.</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Company records compensation expense in its consolidated statements of operations related to employee stock-based options and awards. The aggregate pretax compensation cost recognized for stock-based compensation amounted to approximately $6.8 million, $3.7 million and $3.5 million for 2025, 2024 and 2023, respectively, and related solely to restricted stock awards. The Company did not use any cash to settle any equity instruments granted under share-based arrangements during 2025 and 2024. At December 31, 2025 and 2024, the only instruments issued and outstanding under the Program related to restricted stock awards.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Restricted Stock Awards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provides common stock awards to certain officers, directors and key employees. The Company grants these awards, at its discretion, from the shares available under the Program. Unless otherwise provided at the date of grant or unless subsequently accelerated, effective January 1, 2024, shares awarded are typically earned in one-third increments on the first, second and third anniversaries of the award and are distributed provided the employee has remained employed by the Company through such anniversary date; otherwise the unearned shares are forfeited. Prior to January 1, 2024, shares awarded were typically earned in 25% increments on the second, third, fourth and fifth anniversaries of the award. The market value of these shares at the date of award is recorded as compensation expense on the straight- line method over the applicable vesting period from the respective award dates utilizing an estimated annual forfeiture rate of 5%. During 2025, 2024 and 2023, the Company issued 128,462 shares, 57,960 shares and 10,000 shares of the Company's Class B common stock, respectively, under a restricted stock plan to various officers, directors and employees.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Performance Stock Units (PSUs)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In 2025, the Company began granting performance stock units (“PSUs”) to certain associates as part of its long-term incentive compensation program. During the year ended December 31, 2025, a total of 18,012 PSUs were granted.</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PSUs granted in 2025 are subject to both a service condition and a market performance condition, each measured over a three-year performance period. The actual number of shares earned at the end of the performance period may range from 0% to 200% of the target award, depending on the degree to which the specified market performance conditions are achieved, as set forth in the applicable PSU agreements.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2240" w:h="15840" w:orient="portrait"/>
          <w:cols w:equalWidth="0" w:num="1">
            <w:col w:w="10800"/>
          </w:cols>
          <w:pgMar w:left="720" w:top="555" w:right="720" w:bottom="0" w:gutter="0" w:footer="0" w:header="0"/>
        </w:sectPr>
      </w:pPr>
    </w:p>
    <w:bookmarkStart w:id="95" w:name="page96"/>
    <w:bookmarkEnd w:id="95"/>
    <w:p>
      <w:pPr>
        <w:jc w:val="both"/>
        <w:spacing w:after="0" w:line="247" w:lineRule="auto"/>
        <w:rPr>
          <w:sz w:val="20"/>
          <w:szCs w:val="20"/>
          <w:color w:val="auto"/>
        </w:rPr>
      </w:pPr>
      <w:r>
        <w:rPr>
          <w:rFonts w:ascii="Arial" w:cs="Arial" w:eastAsia="Arial" w:hAnsi="Arial"/>
          <w:sz w:val="20"/>
          <w:szCs w:val="20"/>
          <w:color w:val="auto"/>
        </w:rPr>
        <w:t>The grant-date fair value of the PSUs granted in 2025 was $103.50 per unit, as determined using a Monte Carlo simulation model to incorporate the market performance conditions. The valuation utilized the following key assumptions: grant date closing price of $73.91, 2.595-year interpolated risk- free rate of 3.93%, and historical volatility of 51.83% over the simulation period. The model also incorporated peer group correlations and payout factors based on the Company’s Total Shareholder Return relative to 38 comparator companies over the performance period.</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year ended December 31, 2025, the Company recognized stock-based compensation expense related to PSUs of $0.4 million. There was no stock-based compensation expense related to PSUs recognized during the years ended December 31, 2024 or December 31, 2023. Compensation expense for PSUs is recognized on a straight-line basis over the requisite service period, based on the estimated number of units expected to vest.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restricted stock activity under the Program for the year ended December 31, 2025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20"/>
                <w:szCs w:val="20"/>
                <w:color w:val="auto"/>
                <w:w w:val="89"/>
              </w:rPr>
              <w:t>Weighted</w:t>
            </w:r>
          </w:p>
        </w:tc>
      </w:tr>
      <w:tr>
        <w:trPr>
          <w:trHeight w:val="229"/>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Average</w:t>
            </w:r>
          </w:p>
        </w:tc>
      </w:tr>
      <w:tr>
        <w:trPr>
          <w:trHeight w:val="229"/>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21"/>
              <w:spacing w:after="0"/>
              <w:rPr>
                <w:sz w:val="20"/>
                <w:szCs w:val="20"/>
                <w:color w:val="auto"/>
              </w:rPr>
            </w:pPr>
            <w:r>
              <w:rPr>
                <w:rFonts w:ascii="Arial" w:cs="Arial" w:eastAsia="Arial" w:hAnsi="Arial"/>
                <w:sz w:val="20"/>
                <w:szCs w:val="20"/>
                <w:color w:val="auto"/>
                <w:w w:val="92"/>
              </w:rPr>
              <w:t>Weighted</w:t>
            </w:r>
          </w:p>
        </w:tc>
        <w:tc>
          <w:tcPr>
            <w:tcW w:w="2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20"/>
                <w:szCs w:val="20"/>
                <w:color w:val="auto"/>
                <w:w w:val="92"/>
              </w:rPr>
              <w:t>Remaining</w:t>
            </w:r>
          </w:p>
        </w:tc>
      </w:tr>
      <w:tr>
        <w:trPr>
          <w:trHeight w:val="229"/>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93"/>
              </w:rPr>
              <w:t>Average Award</w:t>
            </w:r>
          </w:p>
        </w:tc>
        <w:tc>
          <w:tcPr>
            <w:tcW w:w="2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Contractual Term</w:t>
            </w:r>
          </w:p>
        </w:tc>
      </w:tr>
      <w:tr>
        <w:trPr>
          <w:trHeight w:val="254"/>
        </w:trPr>
        <w:tc>
          <w:tcPr>
            <w:tcW w:w="4760" w:type="dxa"/>
            <w:vAlign w:val="bottom"/>
          </w:tcPr>
          <w:p>
            <w:pPr>
              <w:ind w:left="1380"/>
              <w:spacing w:after="0"/>
              <w:rPr>
                <w:sz w:val="20"/>
                <w:szCs w:val="20"/>
                <w:color w:val="auto"/>
              </w:rPr>
            </w:pPr>
            <w:r>
              <w:rPr>
                <w:rFonts w:ascii="Arial" w:cs="Arial" w:eastAsia="Arial" w:hAnsi="Arial"/>
                <w:sz w:val="20"/>
                <w:szCs w:val="20"/>
                <w:color w:val="auto"/>
              </w:rPr>
              <w:t>Restricted Stock Awards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20"/>
                <w:szCs w:val="20"/>
                <w:color w:val="auto"/>
              </w:rPr>
              <w:t>Shares</w:t>
            </w:r>
          </w:p>
        </w:tc>
        <w:tc>
          <w:tcPr>
            <w:tcW w:w="220" w:type="dxa"/>
            <w:vAlign w:val="bottom"/>
          </w:tcPr>
          <w:p>
            <w:pPr>
              <w:spacing w:after="0"/>
              <w:rPr>
                <w:sz w:val="22"/>
                <w:szCs w:val="22"/>
                <w:color w:val="auto"/>
              </w:rPr>
            </w:pPr>
          </w:p>
        </w:tc>
        <w:tc>
          <w:tcPr>
            <w:tcW w:w="1240" w:type="dxa"/>
            <w:vAlign w:val="bottom"/>
          </w:tcPr>
          <w:p>
            <w:pPr>
              <w:jc w:val="center"/>
              <w:ind w:right="121"/>
              <w:spacing w:after="0"/>
              <w:rPr>
                <w:sz w:val="20"/>
                <w:szCs w:val="20"/>
                <w:color w:val="auto"/>
              </w:rPr>
            </w:pPr>
            <w:r>
              <w:rPr>
                <w:rFonts w:ascii="Arial" w:cs="Arial" w:eastAsia="Arial" w:hAnsi="Arial"/>
                <w:sz w:val="20"/>
                <w:szCs w:val="20"/>
                <w:color w:val="auto"/>
                <w:w w:val="92"/>
              </w:rPr>
              <w:t>Price</w:t>
            </w:r>
          </w:p>
        </w:tc>
        <w:tc>
          <w:tcPr>
            <w:tcW w:w="2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(In Years)</w:t>
            </w:r>
          </w:p>
        </w:tc>
      </w:tr>
      <w:tr>
        <w:trPr>
          <w:trHeight w:val="215"/>
        </w:trPr>
        <w:tc>
          <w:tcPr>
            <w:tcW w:w="4760" w:type="dxa"/>
            <w:vAlign w:val="bottom"/>
            <w:tcBorders>
              <w:top w:val="single" w:sz="8" w:color="auto"/>
            </w:tcBorders>
          </w:tcPr>
          <w:p>
            <w:pPr>
              <w:spacing w:after="0" w:line="215" w:lineRule="exact"/>
              <w:rPr>
                <w:sz w:val="20"/>
                <w:szCs w:val="20"/>
                <w:color w:val="auto"/>
              </w:rPr>
            </w:pPr>
            <w:r>
              <w:rPr>
                <w:rFonts w:ascii="Arial" w:cs="Arial" w:eastAsia="Arial" w:hAnsi="Arial"/>
                <w:sz w:val="20"/>
                <w:szCs w:val="20"/>
                <w:color w:val="auto"/>
              </w:rPr>
              <w:t>Outstanding at January 1, 2025</w:t>
            </w:r>
          </w:p>
        </w:tc>
        <w:tc>
          <w:tcPr>
            <w:tcW w:w="100" w:type="dxa"/>
            <w:vAlign w:val="bottom"/>
          </w:tcPr>
          <w:p>
            <w:pPr>
              <w:spacing w:after="0"/>
              <w:rPr>
                <w:sz w:val="18"/>
                <w:szCs w:val="18"/>
                <w:color w:val="auto"/>
              </w:rPr>
            </w:pPr>
          </w:p>
        </w:tc>
        <w:tc>
          <w:tcPr>
            <w:tcW w:w="1460" w:type="dxa"/>
            <w:vAlign w:val="bottom"/>
            <w:tcBorders>
              <w:top w:val="single" w:sz="8" w:color="auto"/>
            </w:tcBorders>
            <w:gridSpan w:val="2"/>
          </w:tcPr>
          <w:p>
            <w:pPr>
              <w:jc w:val="right"/>
              <w:spacing w:after="0" w:line="215" w:lineRule="exact"/>
              <w:rPr>
                <w:sz w:val="20"/>
                <w:szCs w:val="20"/>
                <w:color w:val="auto"/>
              </w:rPr>
            </w:pPr>
            <w:r>
              <w:rPr>
                <w:rFonts w:ascii="Arial" w:cs="Arial" w:eastAsia="Arial" w:hAnsi="Arial"/>
                <w:sz w:val="20"/>
                <w:szCs w:val="20"/>
                <w:color w:val="auto"/>
              </w:rPr>
              <w:t>389,110</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21"/>
              <w:spacing w:after="0" w:line="215"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20"/>
                <w:szCs w:val="20"/>
                <w:color w:val="auto"/>
              </w:rPr>
              <w:t>34.31</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right"/>
              <w:ind w:right="461"/>
              <w:spacing w:after="0" w:line="215" w:lineRule="exact"/>
              <w:rPr>
                <w:sz w:val="20"/>
                <w:szCs w:val="20"/>
                <w:color w:val="auto"/>
              </w:rPr>
            </w:pPr>
            <w:r>
              <w:rPr>
                <w:rFonts w:ascii="Arial" w:cs="Arial" w:eastAsia="Arial" w:hAnsi="Arial"/>
                <w:sz w:val="20"/>
                <w:szCs w:val="20"/>
                <w:color w:val="auto"/>
              </w:rPr>
              <w:t>2.6</w:t>
            </w:r>
          </w:p>
        </w:tc>
      </w:tr>
      <w:tr>
        <w:trPr>
          <w:trHeight w:val="239"/>
        </w:trPr>
        <w:tc>
          <w:tcPr>
            <w:tcW w:w="4760" w:type="dxa"/>
            <w:vAlign w:val="bottom"/>
          </w:tcPr>
          <w:p>
            <w:pPr>
              <w:ind w:left="180"/>
              <w:spacing w:after="0"/>
              <w:rPr>
                <w:sz w:val="20"/>
                <w:szCs w:val="20"/>
                <w:color w:val="auto"/>
              </w:rPr>
            </w:pPr>
            <w:r>
              <w:rPr>
                <w:rFonts w:ascii="Arial" w:cs="Arial" w:eastAsia="Arial" w:hAnsi="Arial"/>
                <w:sz w:val="20"/>
                <w:szCs w:val="20"/>
                <w:color w:val="auto"/>
              </w:rPr>
              <w:t>Granted</w:t>
            </w:r>
          </w:p>
        </w:tc>
        <w:tc>
          <w:tcPr>
            <w:tcW w:w="1560" w:type="dxa"/>
            <w:vAlign w:val="bottom"/>
            <w:gridSpan w:val="3"/>
          </w:tcPr>
          <w:p>
            <w:pPr>
              <w:jc w:val="right"/>
              <w:spacing w:after="0"/>
              <w:rPr>
                <w:sz w:val="20"/>
                <w:szCs w:val="20"/>
                <w:color w:val="auto"/>
              </w:rPr>
            </w:pPr>
            <w:r>
              <w:rPr>
                <w:rFonts w:ascii="Arial" w:cs="Arial" w:eastAsia="Arial" w:hAnsi="Arial"/>
                <w:sz w:val="20"/>
                <w:szCs w:val="20"/>
                <w:color w:val="auto"/>
              </w:rPr>
              <w:t>128,462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76.66</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9"/>
        </w:trPr>
        <w:tc>
          <w:tcPr>
            <w:tcW w:w="4760" w:type="dxa"/>
            <w:vAlign w:val="bottom"/>
          </w:tcPr>
          <w:p>
            <w:pPr>
              <w:ind w:left="180"/>
              <w:spacing w:after="0"/>
              <w:rPr>
                <w:sz w:val="20"/>
                <w:szCs w:val="20"/>
                <w:color w:val="auto"/>
              </w:rPr>
            </w:pPr>
            <w:r>
              <w:rPr>
                <w:rFonts w:ascii="Arial" w:cs="Arial" w:eastAsia="Arial" w:hAnsi="Arial"/>
                <w:sz w:val="20"/>
                <w:szCs w:val="20"/>
                <w:color w:val="auto"/>
              </w:rPr>
              <w:t>Vested</w:t>
            </w:r>
          </w:p>
        </w:tc>
        <w:tc>
          <w:tcPr>
            <w:tcW w:w="1760" w:type="dxa"/>
            <w:vAlign w:val="bottom"/>
            <w:gridSpan w:val="4"/>
          </w:tcPr>
          <w:p>
            <w:pPr>
              <w:jc w:val="right"/>
              <w:ind w:right="120"/>
              <w:spacing w:after="0"/>
              <w:rPr>
                <w:sz w:val="20"/>
                <w:szCs w:val="20"/>
                <w:color w:val="auto"/>
              </w:rPr>
            </w:pPr>
            <w:r>
              <w:rPr>
                <w:rFonts w:ascii="Arial" w:cs="Arial" w:eastAsia="Arial" w:hAnsi="Arial"/>
                <w:sz w:val="20"/>
                <w:szCs w:val="20"/>
                <w:color w:val="auto"/>
              </w:rPr>
              <w:t>(151,620)</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30.42</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7"/>
        </w:trPr>
        <w:tc>
          <w:tcPr>
            <w:tcW w:w="4760" w:type="dxa"/>
            <w:vAlign w:val="bottom"/>
          </w:tcPr>
          <w:p>
            <w:pPr>
              <w:ind w:left="180"/>
              <w:spacing w:after="0"/>
              <w:rPr>
                <w:sz w:val="20"/>
                <w:szCs w:val="20"/>
                <w:color w:val="auto"/>
              </w:rPr>
            </w:pPr>
            <w:r>
              <w:rPr>
                <w:rFonts w:ascii="Arial" w:cs="Arial" w:eastAsia="Arial" w:hAnsi="Arial"/>
                <w:sz w:val="20"/>
                <w:szCs w:val="20"/>
                <w:color w:val="auto"/>
              </w:rPr>
              <w:t>Forfeited</w:t>
            </w:r>
          </w:p>
        </w:tc>
        <w:tc>
          <w:tcPr>
            <w:tcW w:w="1760" w:type="dxa"/>
            <w:vAlign w:val="bottom"/>
            <w:gridSpan w:val="4"/>
          </w:tcPr>
          <w:p>
            <w:pPr>
              <w:jc w:val="right"/>
              <w:ind w:right="120"/>
              <w:spacing w:after="0"/>
              <w:rPr>
                <w:sz w:val="20"/>
                <w:szCs w:val="20"/>
                <w:color w:val="auto"/>
              </w:rPr>
            </w:pPr>
            <w:r>
              <w:rPr>
                <w:rFonts w:ascii="Arial" w:cs="Arial" w:eastAsia="Arial" w:hAnsi="Arial"/>
                <w:sz w:val="20"/>
                <w:szCs w:val="20"/>
                <w:color w:val="auto"/>
              </w:rPr>
              <w:t>(11,587)</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39.49</w:t>
            </w: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46"/>
        </w:trPr>
        <w:tc>
          <w:tcPr>
            <w:tcW w:w="4760" w:type="dxa"/>
            <w:vAlign w:val="bottom"/>
          </w:tcPr>
          <w:p>
            <w:pPr>
              <w:spacing w:after="0"/>
              <w:rPr>
                <w:sz w:val="20"/>
                <w:szCs w:val="20"/>
                <w:color w:val="auto"/>
              </w:rPr>
            </w:pPr>
            <w:r>
              <w:rPr>
                <w:rFonts w:ascii="Arial" w:cs="Arial" w:eastAsia="Arial" w:hAnsi="Arial"/>
                <w:sz w:val="20"/>
                <w:szCs w:val="20"/>
                <w:color w:val="auto"/>
              </w:rPr>
              <w:t>Outstanding at December 31, 2025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354,365</w:t>
            </w:r>
          </w:p>
        </w:tc>
        <w:tc>
          <w:tcPr>
            <w:tcW w:w="20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51.16</w:t>
            </w:r>
          </w:p>
        </w:tc>
        <w:tc>
          <w:tcPr>
            <w:tcW w:w="1660" w:type="dxa"/>
            <w:vAlign w:val="bottom"/>
            <w:gridSpan w:val="2"/>
          </w:tcPr>
          <w:p>
            <w:pPr>
              <w:jc w:val="right"/>
              <w:ind w:right="461"/>
              <w:spacing w:after="0"/>
              <w:rPr>
                <w:sz w:val="20"/>
                <w:szCs w:val="20"/>
                <w:color w:val="auto"/>
              </w:rPr>
            </w:pPr>
            <w:r>
              <w:rPr>
                <w:rFonts w:ascii="Arial" w:cs="Arial" w:eastAsia="Arial" w:hAnsi="Arial"/>
                <w:sz w:val="20"/>
                <w:szCs w:val="20"/>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-191135</wp:posOffset>
            </wp:positionV>
            <wp:extent cx="959485" cy="2222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59485" cy="222250"/>
                    </a:xfrm>
                    <a:prstGeom prst="rect">
                      <a:avLst/>
                    </a:prstGeom>
                    <a:noFill/>
                  </pic:spPr>
                </pic:pic>
              </a:graphicData>
            </a:graphic>
          </wp:anchor>
        </w:drawing>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As of December 31, 2025, there was $12.3 million of total pretax unrecognized compensation cost related to non-vested stock-based compensation arrangements granted under the restricted stock award plan. That cost is expected to be recognized over a period of 2.2 years. This expense is recorded in cost of sales, R&amp;D and SG&amp;A expense based upon the employment classification of the award recipients.</w:t>
      </w:r>
    </w:p>
    <w:p>
      <w:pPr>
        <w:spacing w:after="0" w:line="182" w:lineRule="exact"/>
        <w:rPr>
          <w:sz w:val="20"/>
          <w:szCs w:val="20"/>
          <w:color w:val="auto"/>
        </w:rPr>
      </w:pPr>
    </w:p>
    <w:p>
      <w:pPr>
        <w:ind w:right="400"/>
        <w:spacing w:after="0" w:line="274" w:lineRule="auto"/>
        <w:rPr>
          <w:sz w:val="20"/>
          <w:szCs w:val="20"/>
          <w:color w:val="auto"/>
        </w:rPr>
      </w:pPr>
      <w:r>
        <w:rPr>
          <w:rFonts w:ascii="Arial" w:cs="Arial" w:eastAsia="Arial" w:hAnsi="Arial"/>
          <w:sz w:val="20"/>
          <w:szCs w:val="20"/>
          <w:color w:val="auto"/>
        </w:rPr>
        <w:t>The Company's policy in 2025 was to issue new shares to satisfy restricted stock awards. Currently the Company believes that the majority of its restricted stock awards will vest.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17. COMMON STOCK</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Throughout 2025, 2024 and 2023, the Company declared cash dividends on a quarterly basis at a rate of $0.06 per Class A (voting) share of common stock and $0.07 per Class B (non-voting) share of common stock. The Company declared and paid cash dividends totaling $ 3.5 million in 2025, $3.5 million in 2024, and $3.5 million in 2023. There are no contractual restrictions on the Company's ability to pay dividends, provided that the Company is not in default under its credit agreement immediately before such payment and after giving effect to such payment.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18. LEASES</w:t>
      </w: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has operating leases for its facilities used for manufacturing, research and development, sales and administration. There are also operating and finance leases related to manufacturing equipment, office equipment and vehicles. These leases have remaining lease terms ranging from 1 year to 9 years. Certain of the leases contain options to extend the term of the lease and certain of the leases contain options to terminate the lease within a specified period of time. These options to extend or terminate a lease are included in the lease term only when it is reasonably likely that the Company will elect that option. The Company is not a party to any material sublease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2240" w:h="15840" w:orient="portrait"/>
          <w:cols w:equalWidth="0" w:num="1">
            <w:col w:w="10800"/>
          </w:cols>
          <w:pgMar w:left="720" w:top="555" w:right="720" w:bottom="0" w:gutter="0" w:footer="0" w:header="0"/>
        </w:sectPr>
      </w:pPr>
    </w:p>
    <w:bookmarkStart w:id="96" w:name="page97"/>
    <w:bookmarkEnd w:id="96"/>
    <w:p>
      <w:pPr>
        <w:spacing w:after="0" w:line="274" w:lineRule="auto"/>
        <w:rPr>
          <w:sz w:val="20"/>
          <w:szCs w:val="20"/>
          <w:color w:val="auto"/>
        </w:rPr>
      </w:pPr>
      <w:r>
        <w:rPr>
          <w:rFonts w:ascii="Arial" w:cs="Arial" w:eastAsia="Arial" w:hAnsi="Arial"/>
          <w:sz w:val="20"/>
          <w:szCs w:val="20"/>
          <w:color w:val="auto"/>
        </w:rPr>
        <w:t>The components of lease expense, which are included in cost of sales, research and development costs, and selling, general and administrative expense, based on the underlying use of the ROU asset,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8"/>
          </w:tcPr>
          <w:p>
            <w:pPr>
              <w:ind w:left="1000"/>
              <w:spacing w:after="0"/>
              <w:rPr>
                <w:sz w:val="20"/>
                <w:szCs w:val="20"/>
                <w:color w:val="auto"/>
              </w:rPr>
            </w:pPr>
            <w:r>
              <w:rPr>
                <w:rFonts w:ascii="Arial" w:cs="Arial" w:eastAsia="Arial" w:hAnsi="Arial"/>
                <w:sz w:val="20"/>
                <w:szCs w:val="20"/>
                <w:color w:val="auto"/>
                <w:w w:val="97"/>
              </w:rPr>
              <w:t>Year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800" w:type="dxa"/>
            <w:vAlign w:val="bottom"/>
            <w:vMerge w:val="restart"/>
          </w:tcPr>
          <w:p>
            <w:pPr>
              <w:spacing w:after="0"/>
              <w:rPr>
                <w:sz w:val="20"/>
                <w:szCs w:val="20"/>
                <w:color w:val="auto"/>
              </w:rPr>
            </w:pPr>
            <w:r>
              <w:rPr>
                <w:rFonts w:ascii="Arial" w:cs="Arial" w:eastAsia="Arial" w:hAnsi="Arial"/>
                <w:sz w:val="20"/>
                <w:szCs w:val="20"/>
                <w:color w:val="auto"/>
                <w:w w:val="96"/>
              </w:rPr>
              <w:t>Amortization of ROU assets - finance leases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15"/>
        </w:trPr>
        <w:tc>
          <w:tcPr>
            <w:tcW w:w="3800" w:type="dxa"/>
            <w:vAlign w:val="bottom"/>
            <w:vMerge w:val="continue"/>
          </w:tcPr>
          <w:p>
            <w:pPr>
              <w:spacing w:after="0"/>
              <w:rPr>
                <w:sz w:val="18"/>
                <w:szCs w:val="18"/>
                <w:color w:val="auto"/>
              </w:rPr>
            </w:pPr>
          </w:p>
        </w:tc>
        <w:tc>
          <w:tcPr>
            <w:tcW w:w="320" w:type="dxa"/>
            <w:vAlign w:val="bottom"/>
          </w:tcPr>
          <w:p>
            <w:pPr>
              <w:jc w:val="right"/>
              <w:ind w:right="121"/>
              <w:spacing w:after="0" w:line="215" w:lineRule="exact"/>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line="215" w:lineRule="exact"/>
              <w:rPr>
                <w:sz w:val="20"/>
                <w:szCs w:val="20"/>
                <w:color w:val="auto"/>
              </w:rPr>
            </w:pPr>
            <w:r>
              <w:rPr>
                <w:rFonts w:ascii="Arial" w:cs="Arial" w:eastAsia="Arial" w:hAnsi="Arial"/>
                <w:sz w:val="20"/>
                <w:szCs w:val="20"/>
                <w:color w:val="auto"/>
              </w:rPr>
              <w:t>415</w:t>
            </w:r>
          </w:p>
        </w:tc>
        <w:tc>
          <w:tcPr>
            <w:tcW w:w="160" w:type="dxa"/>
            <w:vAlign w:val="bottom"/>
          </w:tcPr>
          <w:p>
            <w:pPr>
              <w:spacing w:after="0"/>
              <w:rPr>
                <w:sz w:val="18"/>
                <w:szCs w:val="18"/>
                <w:color w:val="auto"/>
              </w:rPr>
            </w:pPr>
          </w:p>
        </w:tc>
        <w:tc>
          <w:tcPr>
            <w:tcW w:w="320" w:type="dxa"/>
            <w:vAlign w:val="bottom"/>
          </w:tcPr>
          <w:p>
            <w:pPr>
              <w:jc w:val="right"/>
              <w:ind w:right="121"/>
              <w:spacing w:after="0" w:line="215" w:lineRule="exact"/>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line="215" w:lineRule="exact"/>
              <w:rPr>
                <w:sz w:val="20"/>
                <w:szCs w:val="20"/>
                <w:color w:val="auto"/>
              </w:rPr>
            </w:pPr>
            <w:r>
              <w:rPr>
                <w:rFonts w:ascii="Arial" w:cs="Arial" w:eastAsia="Arial" w:hAnsi="Arial"/>
                <w:sz w:val="20"/>
                <w:szCs w:val="20"/>
                <w:color w:val="auto"/>
              </w:rPr>
              <w:t>819</w:t>
            </w:r>
          </w:p>
        </w:tc>
        <w:tc>
          <w:tcPr>
            <w:tcW w:w="16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Arial" w:cs="Arial" w:eastAsia="Arial" w:hAnsi="Arial"/>
                <w:sz w:val="20"/>
                <w:szCs w:val="20"/>
                <w:color w:val="auto"/>
              </w:rPr>
              <w:t>491</w:t>
            </w:r>
          </w:p>
        </w:tc>
        <w:tc>
          <w:tcPr>
            <w:tcW w:w="0" w:type="dxa"/>
            <w:vAlign w:val="bottom"/>
          </w:tcPr>
          <w:p>
            <w:pPr>
              <w:spacing w:after="0"/>
              <w:rPr>
                <w:sz w:val="1"/>
                <w:szCs w:val="1"/>
                <w:color w:val="auto"/>
              </w:rPr>
            </w:pPr>
          </w:p>
        </w:tc>
      </w:tr>
      <w:tr>
        <w:trPr>
          <w:trHeight w:val="239"/>
        </w:trPr>
        <w:tc>
          <w:tcPr>
            <w:tcW w:w="3800" w:type="dxa"/>
            <w:vAlign w:val="bottom"/>
          </w:tcPr>
          <w:p>
            <w:pPr>
              <w:spacing w:after="0"/>
              <w:rPr>
                <w:sz w:val="20"/>
                <w:szCs w:val="20"/>
                <w:color w:val="auto"/>
              </w:rPr>
            </w:pPr>
            <w:r>
              <w:rPr>
                <w:rFonts w:ascii="Arial" w:cs="Arial" w:eastAsia="Arial" w:hAnsi="Arial"/>
                <w:sz w:val="20"/>
                <w:szCs w:val="20"/>
                <w:color w:val="auto"/>
              </w:rPr>
              <w:t>Interest on lease liabilities - finance leases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121</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20"/>
                <w:szCs w:val="20"/>
                <w:color w:val="auto"/>
                <w:w w:val="91"/>
              </w:rPr>
              <w:t>Operating lease cost (cost resulting from lease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00" w:type="dxa"/>
            <w:vAlign w:val="bottom"/>
          </w:tcPr>
          <w:p>
            <w:pPr>
              <w:spacing w:after="0"/>
              <w:rPr>
                <w:sz w:val="20"/>
                <w:szCs w:val="20"/>
                <w:color w:val="auto"/>
              </w:rPr>
            </w:pPr>
            <w:r>
              <w:rPr>
                <w:rFonts w:ascii="Arial" w:cs="Arial" w:eastAsia="Arial" w:hAnsi="Arial"/>
                <w:sz w:val="20"/>
                <w:szCs w:val="20"/>
                <w:color w:val="auto"/>
              </w:rPr>
              <w:t>payments)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9,997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9,441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8,127</w:t>
            </w:r>
          </w:p>
        </w:tc>
        <w:tc>
          <w:tcPr>
            <w:tcW w:w="0" w:type="dxa"/>
            <w:vAlign w:val="bottom"/>
          </w:tcPr>
          <w:p>
            <w:pPr>
              <w:spacing w:after="0"/>
              <w:rPr>
                <w:sz w:val="1"/>
                <w:szCs w:val="1"/>
                <w:color w:val="auto"/>
              </w:rPr>
            </w:pPr>
          </w:p>
        </w:tc>
      </w:tr>
      <w:tr>
        <w:trPr>
          <w:trHeight w:val="239"/>
        </w:trPr>
        <w:tc>
          <w:tcPr>
            <w:tcW w:w="3800" w:type="dxa"/>
            <w:vAlign w:val="bottom"/>
          </w:tcPr>
          <w:p>
            <w:pPr>
              <w:spacing w:after="0"/>
              <w:rPr>
                <w:sz w:val="20"/>
                <w:szCs w:val="20"/>
                <w:color w:val="auto"/>
              </w:rPr>
            </w:pPr>
            <w:r>
              <w:rPr>
                <w:rFonts w:ascii="Arial" w:cs="Arial" w:eastAsia="Arial" w:hAnsi="Arial"/>
                <w:sz w:val="20"/>
                <w:szCs w:val="20"/>
                <w:color w:val="auto"/>
              </w:rPr>
              <w:t>Short-term lease cost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361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207</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20"/>
                <w:szCs w:val="20"/>
                <w:color w:val="auto"/>
                <w:w w:val="93"/>
              </w:rPr>
              <w:t>Variable lease cost (cost excluded from lease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800" w:type="dxa"/>
            <w:vAlign w:val="bottom"/>
          </w:tcPr>
          <w:p>
            <w:pPr>
              <w:spacing w:after="0"/>
              <w:rPr>
                <w:sz w:val="20"/>
                <w:szCs w:val="20"/>
                <w:color w:val="auto"/>
              </w:rPr>
            </w:pPr>
            <w:r>
              <w:rPr>
                <w:rFonts w:ascii="Arial" w:cs="Arial" w:eastAsia="Arial" w:hAnsi="Arial"/>
                <w:sz w:val="20"/>
                <w:szCs w:val="20"/>
                <w:color w:val="auto"/>
              </w:rPr>
              <w:t>payments)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1,302</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1,218</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397</w:t>
            </w:r>
          </w:p>
        </w:tc>
        <w:tc>
          <w:tcPr>
            <w:tcW w:w="0" w:type="dxa"/>
            <w:vAlign w:val="bottom"/>
          </w:tcPr>
          <w:p>
            <w:pPr>
              <w:spacing w:after="0"/>
              <w:rPr>
                <w:sz w:val="1"/>
                <w:szCs w:val="1"/>
                <w:color w:val="auto"/>
              </w:rPr>
            </w:pPr>
          </w:p>
        </w:tc>
      </w:tr>
      <w:tr>
        <w:trPr>
          <w:trHeight w:val="247"/>
        </w:trPr>
        <w:tc>
          <w:tcPr>
            <w:tcW w:w="3800" w:type="dxa"/>
            <w:vAlign w:val="bottom"/>
          </w:tcPr>
          <w:p>
            <w:pPr>
              <w:ind w:left="180"/>
              <w:spacing w:after="0"/>
              <w:rPr>
                <w:sz w:val="20"/>
                <w:szCs w:val="20"/>
                <w:color w:val="auto"/>
              </w:rPr>
            </w:pPr>
            <w:r>
              <w:rPr>
                <w:rFonts w:ascii="Arial" w:cs="Arial" w:eastAsia="Arial" w:hAnsi="Arial"/>
                <w:sz w:val="20"/>
                <w:szCs w:val="20"/>
                <w:color w:val="auto"/>
              </w:rPr>
              <w:t>Total lease cost</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12,158</w:t>
            </w:r>
          </w:p>
        </w:tc>
        <w:tc>
          <w:tcPr>
            <w:tcW w:w="16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11,725</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-191135</wp:posOffset>
            </wp:positionV>
            <wp:extent cx="3067050" cy="2222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67050" cy="22225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information related to leases is as follows:</w:t>
      </w:r>
    </w:p>
    <w:p>
      <w:pPr>
        <w:spacing w:after="0" w:line="233"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00" w:type="dxa"/>
            <w:vAlign w:val="bottom"/>
            <w:gridSpan w:val="2"/>
            <w:vMerge w:val="restart"/>
          </w:tcPr>
          <w:p>
            <w:pPr>
              <w:spacing w:after="0"/>
              <w:rPr>
                <w:sz w:val="20"/>
                <w:szCs w:val="20"/>
                <w:color w:val="auto"/>
              </w:rPr>
            </w:pPr>
            <w:r>
              <w:rPr>
                <w:rFonts w:ascii="Arial" w:cs="Arial" w:eastAsia="Arial" w:hAnsi="Arial"/>
                <w:sz w:val="20"/>
                <w:szCs w:val="20"/>
                <w:color w:val="auto"/>
              </w:rPr>
              <w:t>Cash paid for amounts included in the</w:t>
            </w: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20"/>
                <w:szCs w:val="20"/>
                <w:color w:val="auto"/>
              </w:rPr>
              <w:t>2025</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gridSpan w:val="2"/>
          </w:tcPr>
          <w:p>
            <w:pPr>
              <w:jc w:val="right"/>
              <w:ind w:right="361"/>
              <w:spacing w:after="0"/>
              <w:rPr>
                <w:sz w:val="20"/>
                <w:szCs w:val="20"/>
                <w:color w:val="auto"/>
              </w:rPr>
            </w:pPr>
            <w:r>
              <w:rPr>
                <w:rFonts w:ascii="Arial" w:cs="Arial" w:eastAsia="Arial" w:hAnsi="Arial"/>
                <w:sz w:val="20"/>
                <w:szCs w:val="20"/>
                <w:color w:val="auto"/>
              </w:rPr>
              <w:t>2023</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80" w:type="dxa"/>
            <w:vAlign w:val="bottom"/>
            <w:gridSpan w:val="3"/>
          </w:tcPr>
          <w:p>
            <w:pPr>
              <w:spacing w:after="0"/>
              <w:rPr>
                <w:sz w:val="20"/>
                <w:szCs w:val="20"/>
                <w:color w:val="auto"/>
              </w:rPr>
            </w:pPr>
            <w:r>
              <w:rPr>
                <w:rFonts w:ascii="Arial" w:cs="Arial" w:eastAsia="Arial" w:hAnsi="Arial"/>
                <w:sz w:val="20"/>
                <w:szCs w:val="20"/>
                <w:color w:val="auto"/>
              </w:rPr>
              <w:t>measurement of lease liabilities: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80" w:type="dxa"/>
            <w:vAlign w:val="bottom"/>
            <w:gridSpan w:val="3"/>
          </w:tcPr>
          <w:p>
            <w:pPr>
              <w:ind w:left="180"/>
              <w:spacing w:after="0"/>
              <w:rPr>
                <w:sz w:val="20"/>
                <w:szCs w:val="20"/>
                <w:color w:val="auto"/>
              </w:rPr>
            </w:pPr>
            <w:r>
              <w:rPr>
                <w:rFonts w:ascii="Arial" w:cs="Arial" w:eastAsia="Arial" w:hAnsi="Arial"/>
                <w:sz w:val="20"/>
                <w:szCs w:val="20"/>
                <w:color w:val="auto"/>
                <w:w w:val="95"/>
              </w:rPr>
              <w:t>Operating cash flows from operating leases  $</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10,063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jc w:val="right"/>
              <w:ind w:right="221"/>
              <w:spacing w:after="0"/>
              <w:rPr>
                <w:sz w:val="20"/>
                <w:szCs w:val="20"/>
                <w:color w:val="auto"/>
              </w:rPr>
            </w:pPr>
            <w:r>
              <w:rPr>
                <w:rFonts w:ascii="Arial" w:cs="Arial" w:eastAsia="Arial" w:hAnsi="Arial"/>
                <w:sz w:val="20"/>
                <w:szCs w:val="20"/>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9,099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8,090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Operating cash flows from finance leases</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83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190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121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Finance cash flows from finance leases</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418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790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527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gridSpan w:val="3"/>
          </w:tcPr>
          <w:p>
            <w:pPr>
              <w:spacing w:after="0"/>
              <w:rPr>
                <w:sz w:val="20"/>
                <w:szCs w:val="20"/>
                <w:color w:val="auto"/>
              </w:rPr>
            </w:pPr>
            <w:r>
              <w:rPr>
                <w:rFonts w:ascii="Arial" w:cs="Arial" w:eastAsia="Arial" w:hAnsi="Arial"/>
                <w:sz w:val="20"/>
                <w:szCs w:val="20"/>
                <w:color w:val="auto"/>
              </w:rPr>
              <w:t>Right-of-use assets obtained in exchange for</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gridSpan w:val="3"/>
          </w:tcPr>
          <w:p>
            <w:pPr>
              <w:spacing w:after="0"/>
              <w:rPr>
                <w:sz w:val="20"/>
                <w:szCs w:val="20"/>
                <w:color w:val="auto"/>
              </w:rPr>
            </w:pPr>
            <w:r>
              <w:rPr>
                <w:rFonts w:ascii="Arial" w:cs="Arial" w:eastAsia="Arial" w:hAnsi="Arial"/>
                <w:sz w:val="20"/>
                <w:szCs w:val="20"/>
                <w:color w:val="auto"/>
              </w:rPr>
              <w:t>lease obligations: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Operating leases</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4,763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6,870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5,999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Finance leases</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83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1,309</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199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3"/>
        </w:trPr>
        <w:tc>
          <w:tcPr>
            <w:tcW w:w="5860" w:type="dxa"/>
            <w:vAlign w:val="bottom"/>
            <w:gridSpan w:val="8"/>
          </w:tcPr>
          <w:p>
            <w:pPr>
              <w:spacing w:after="0"/>
              <w:rPr>
                <w:sz w:val="20"/>
                <w:szCs w:val="20"/>
                <w:color w:val="auto"/>
              </w:rPr>
            </w:pPr>
            <w:r>
              <w:rPr>
                <w:rFonts w:ascii="Arial" w:cs="Arial" w:eastAsia="Arial" w:hAnsi="Arial"/>
                <w:sz w:val="20"/>
                <w:szCs w:val="20"/>
                <w:color w:val="auto"/>
                <w:w w:val="89"/>
              </w:rPr>
              <w:t>Supplemental balance sheet information related to leases was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80" w:type="dxa"/>
            <w:vAlign w:val="bottom"/>
            <w:gridSpan w:val="3"/>
            <w:vMerge w:val="restart"/>
          </w:tcPr>
          <w:p>
            <w:pPr>
              <w:spacing w:after="0"/>
              <w:rPr>
                <w:sz w:val="20"/>
                <w:szCs w:val="20"/>
                <w:color w:val="auto"/>
              </w:rPr>
            </w:pPr>
            <w:r>
              <w:rPr>
                <w:rFonts w:ascii="Arial" w:cs="Arial" w:eastAsia="Arial" w:hAnsi="Arial"/>
                <w:sz w:val="20"/>
                <w:szCs w:val="20"/>
                <w:color w:val="auto"/>
              </w:rPr>
              <w:t>Operating Leases: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2025</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361"/>
              <w:spacing w:after="0"/>
              <w:rPr>
                <w:sz w:val="20"/>
                <w:szCs w:val="20"/>
                <w:color w:val="auto"/>
              </w:rPr>
            </w:pPr>
            <w:r>
              <w:rPr>
                <w:rFonts w:ascii="Arial" w:cs="Arial" w:eastAsia="Arial" w:hAnsi="Arial"/>
                <w:sz w:val="20"/>
                <w:szCs w:val="20"/>
                <w:color w:val="auto"/>
              </w:rPr>
              <w:t>2024</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80" w:type="dxa"/>
            <w:vAlign w:val="bottom"/>
            <w:gridSpan w:val="3"/>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Operating lease right-of-use assets</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jc w:val="right"/>
              <w:ind w:right="221"/>
              <w:spacing w:after="0"/>
              <w:rPr>
                <w:sz w:val="20"/>
                <w:szCs w:val="20"/>
                <w:color w:val="auto"/>
              </w:rPr>
            </w:pPr>
            <w:r>
              <w:rPr>
                <w:rFonts w:ascii="Arial" w:cs="Arial" w:eastAsia="Arial" w:hAnsi="Arial"/>
                <w:sz w:val="20"/>
                <w:szCs w:val="20"/>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22,868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25,125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Operating lease liability, current</w:t>
            </w: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8,029</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7,954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Operating lease liability, long-term</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15,867</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17,763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080" w:type="dxa"/>
            <w:vAlign w:val="bottom"/>
            <w:gridSpan w:val="3"/>
          </w:tcPr>
          <w:p>
            <w:pPr>
              <w:spacing w:after="0"/>
              <w:rPr>
                <w:sz w:val="20"/>
                <w:szCs w:val="20"/>
                <w:color w:val="auto"/>
              </w:rPr>
            </w:pPr>
            <w:r>
              <w:rPr>
                <w:rFonts w:ascii="Arial" w:cs="Arial" w:eastAsia="Arial" w:hAnsi="Arial"/>
                <w:sz w:val="20"/>
                <w:szCs w:val="20"/>
                <w:color w:val="auto"/>
              </w:rPr>
              <w:t>Total operating lease liabilities</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jc w:val="right"/>
              <w:ind w:right="221"/>
              <w:spacing w:after="0"/>
              <w:rPr>
                <w:sz w:val="20"/>
                <w:szCs w:val="20"/>
                <w:color w:val="auto"/>
              </w:rPr>
            </w:pPr>
            <w:r>
              <w:rPr>
                <w:rFonts w:ascii="Arial" w:cs="Arial" w:eastAsia="Arial" w:hAnsi="Arial"/>
                <w:sz w:val="20"/>
                <w:szCs w:val="20"/>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23,896</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25,717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1"/>
        </w:trPr>
        <w:tc>
          <w:tcPr>
            <w:tcW w:w="4080" w:type="dxa"/>
            <w:vAlign w:val="bottom"/>
            <w:gridSpan w:val="3"/>
          </w:tcPr>
          <w:p>
            <w:pPr>
              <w:spacing w:after="0"/>
              <w:rPr>
                <w:sz w:val="20"/>
                <w:szCs w:val="20"/>
                <w:color w:val="auto"/>
              </w:rPr>
            </w:pPr>
            <w:r>
              <w:rPr>
                <w:rFonts w:ascii="Arial" w:cs="Arial" w:eastAsia="Arial" w:hAnsi="Arial"/>
                <w:sz w:val="20"/>
                <w:szCs w:val="20"/>
                <w:color w:val="auto"/>
              </w:rPr>
              <w:t>Finance Leases: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Property, plant and equipment, gross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jc w:val="right"/>
              <w:ind w:right="221"/>
              <w:spacing w:after="0"/>
              <w:rPr>
                <w:sz w:val="20"/>
                <w:szCs w:val="20"/>
                <w:color w:val="auto"/>
              </w:rPr>
            </w:pPr>
            <w:r>
              <w:rPr>
                <w:rFonts w:ascii="Arial" w:cs="Arial" w:eastAsia="Arial" w:hAnsi="Arial"/>
                <w:sz w:val="20"/>
                <w:szCs w:val="20"/>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2,933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2,596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Accumulated depreciation</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20"/>
                <w:szCs w:val="20"/>
                <w:color w:val="auto"/>
              </w:rPr>
              <w:t>(1,768)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(1,185)</w:t>
            </w:r>
          </w:p>
        </w:tc>
        <w:tc>
          <w:tcPr>
            <w:tcW w:w="0" w:type="dxa"/>
            <w:vAlign w:val="bottom"/>
          </w:tcPr>
          <w:p>
            <w:pPr>
              <w:spacing w:after="0"/>
              <w:rPr>
                <w:sz w:val="1"/>
                <w:szCs w:val="1"/>
                <w:color w:val="auto"/>
              </w:rPr>
            </w:pPr>
          </w:p>
        </w:tc>
      </w:tr>
      <w:tr>
        <w:trPr>
          <w:trHeight w:val="259"/>
        </w:trPr>
        <w:tc>
          <w:tcPr>
            <w:tcW w:w="4080" w:type="dxa"/>
            <w:vAlign w:val="bottom"/>
            <w:gridSpan w:val="3"/>
          </w:tcPr>
          <w:p>
            <w:pPr>
              <w:ind w:left="360"/>
              <w:spacing w:after="0"/>
              <w:rPr>
                <w:sz w:val="20"/>
                <w:szCs w:val="20"/>
                <w:color w:val="auto"/>
              </w:rPr>
            </w:pPr>
            <w:r>
              <w:rPr>
                <w:rFonts w:ascii="Arial" w:cs="Arial" w:eastAsia="Arial" w:hAnsi="Arial"/>
                <w:sz w:val="20"/>
                <w:szCs w:val="20"/>
                <w:color w:val="auto"/>
              </w:rPr>
              <w:t>Property, plant and equipment, net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1,165</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tcBorders>
              <w:top w:val="single" w:sz="8" w:color="auto"/>
            </w:tcBorders>
            <w:gridSpan w:val="3"/>
          </w:tcPr>
          <w:p>
            <w:pPr>
              <w:jc w:val="right"/>
              <w:spacing w:after="0"/>
              <w:rPr>
                <w:sz w:val="20"/>
                <w:szCs w:val="20"/>
                <w:color w:val="auto"/>
              </w:rPr>
            </w:pPr>
            <w:r>
              <w:rPr>
                <w:rFonts w:ascii="Arial" w:cs="Arial" w:eastAsia="Arial" w:hAnsi="Arial"/>
                <w:sz w:val="20"/>
                <w:szCs w:val="20"/>
                <w:color w:val="auto"/>
              </w:rPr>
              <w:t>1,411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Other current liabilities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ind w:right="221"/>
              <w:spacing w:after="0"/>
              <w:rPr>
                <w:sz w:val="20"/>
                <w:szCs w:val="20"/>
                <w:color w:val="auto"/>
              </w:rPr>
            </w:pPr>
            <w:r>
              <w:rPr>
                <w:rFonts w:ascii="Arial" w:cs="Arial" w:eastAsia="Arial" w:hAnsi="Arial"/>
                <w:sz w:val="20"/>
                <w:szCs w:val="20"/>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423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374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Other long-term liabilities</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838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1,054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080" w:type="dxa"/>
            <w:vAlign w:val="bottom"/>
            <w:gridSpan w:val="3"/>
          </w:tcPr>
          <w:p>
            <w:pPr>
              <w:ind w:left="360"/>
              <w:spacing w:after="0"/>
              <w:rPr>
                <w:sz w:val="20"/>
                <w:szCs w:val="20"/>
                <w:color w:val="auto"/>
              </w:rPr>
            </w:pPr>
            <w:r>
              <w:rPr>
                <w:rFonts w:ascii="Arial" w:cs="Arial" w:eastAsia="Arial" w:hAnsi="Arial"/>
                <w:sz w:val="20"/>
                <w:szCs w:val="20"/>
                <w:color w:val="auto"/>
              </w:rPr>
              <w:t>Total finance lease liabilities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ind w:right="221"/>
              <w:spacing w:after="0"/>
              <w:rPr>
                <w:sz w:val="20"/>
                <w:szCs w:val="20"/>
                <w:color w:val="auto"/>
              </w:rPr>
            </w:pPr>
            <w:r>
              <w:rPr>
                <w:rFonts w:ascii="Arial" w:cs="Arial" w:eastAsia="Arial" w:hAnsi="Arial"/>
                <w:sz w:val="20"/>
                <w:szCs w:val="20"/>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1,261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1,428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3760" w:type="dxa"/>
            <w:vAlign w:val="bottom"/>
            <w:vMerge w:val="restart"/>
          </w:tcPr>
          <w:p>
            <w:pPr>
              <w:spacing w:after="0"/>
              <w:rPr>
                <w:sz w:val="20"/>
                <w:szCs w:val="20"/>
                <w:color w:val="auto"/>
              </w:rPr>
            </w:pPr>
            <w:r>
              <w:rPr>
                <w:rFonts w:ascii="Arial" w:cs="Arial" w:eastAsia="Arial" w:hAnsi="Arial"/>
                <w:sz w:val="20"/>
                <w:szCs w:val="20"/>
                <w:color w:val="auto"/>
                <w:w w:val="97"/>
              </w:rPr>
              <w:t>Weighted-Average Remaining Lease Term:</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2025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2024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20"/>
                <w:szCs w:val="20"/>
                <w:color w:val="auto"/>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760" w:type="dxa"/>
            <w:vAlign w:val="bottom"/>
            <w:vMerge w:val="continue"/>
          </w:tcPr>
          <w:p>
            <w:pPr>
              <w:spacing w:after="0"/>
              <w:rPr>
                <w:sz w:val="18"/>
                <w:szCs w:val="18"/>
                <w:color w:val="auto"/>
              </w:rPr>
            </w:pPr>
          </w:p>
        </w:tc>
        <w:tc>
          <w:tcPr>
            <w:tcW w:w="3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Operating leases (in years)</w:t>
            </w:r>
          </w:p>
        </w:tc>
        <w:tc>
          <w:tcPr>
            <w:tcW w:w="1080" w:type="dxa"/>
            <w:vAlign w:val="bottom"/>
          </w:tcPr>
          <w:p>
            <w:pPr>
              <w:ind w:left="840"/>
              <w:spacing w:after="0"/>
              <w:rPr>
                <w:sz w:val="20"/>
                <w:szCs w:val="20"/>
                <w:color w:val="auto"/>
              </w:rPr>
            </w:pPr>
            <w:r>
              <w:rPr>
                <w:rFonts w:ascii="Arial" w:cs="Arial" w:eastAsia="Arial" w:hAnsi="Arial"/>
                <w:sz w:val="20"/>
                <w:szCs w:val="20"/>
                <w:color w:val="auto"/>
                <w:w w:val="78"/>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20"/>
                <w:szCs w:val="20"/>
                <w:color w:val="auto"/>
                <w:w w:val="86"/>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1020"/>
              <w:spacing w:after="0"/>
              <w:rPr>
                <w:sz w:val="20"/>
                <w:szCs w:val="20"/>
                <w:color w:val="auto"/>
              </w:rPr>
            </w:pPr>
            <w:r>
              <w:rPr>
                <w:rFonts w:ascii="Arial" w:cs="Arial" w:eastAsia="Arial" w:hAnsi="Arial"/>
                <w:sz w:val="20"/>
                <w:szCs w:val="20"/>
                <w:color w:val="auto"/>
                <w:w w:val="86"/>
              </w:rPr>
              <w:t>4.3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Finance leases (in years)</w:t>
            </w:r>
          </w:p>
        </w:tc>
        <w:tc>
          <w:tcPr>
            <w:tcW w:w="1080" w:type="dxa"/>
            <w:vAlign w:val="bottom"/>
          </w:tcPr>
          <w:p>
            <w:pPr>
              <w:ind w:left="840"/>
              <w:spacing w:after="0"/>
              <w:rPr>
                <w:sz w:val="20"/>
                <w:szCs w:val="20"/>
                <w:color w:val="auto"/>
              </w:rPr>
            </w:pPr>
            <w:r>
              <w:rPr>
                <w:rFonts w:ascii="Arial" w:cs="Arial" w:eastAsia="Arial" w:hAnsi="Arial"/>
                <w:sz w:val="20"/>
                <w:szCs w:val="20"/>
                <w:color w:val="auto"/>
                <w:w w:val="78"/>
              </w:rPr>
              <w:t>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ind w:left="700"/>
              <w:spacing w:after="0"/>
              <w:rPr>
                <w:sz w:val="20"/>
                <w:szCs w:val="20"/>
                <w:color w:val="auto"/>
              </w:rPr>
            </w:pPr>
            <w:r>
              <w:rPr>
                <w:rFonts w:ascii="Arial" w:cs="Arial" w:eastAsia="Arial" w:hAnsi="Arial"/>
                <w:sz w:val="20"/>
                <w:szCs w:val="20"/>
                <w:color w:val="auto"/>
                <w:w w:val="86"/>
              </w:rPr>
              <w:t>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ind w:left="1020"/>
              <w:spacing w:after="0"/>
              <w:rPr>
                <w:sz w:val="20"/>
                <w:szCs w:val="20"/>
                <w:color w:val="auto"/>
              </w:rPr>
            </w:pPr>
            <w:r>
              <w:rPr>
                <w:rFonts w:ascii="Arial" w:cs="Arial" w:eastAsia="Arial" w:hAnsi="Arial"/>
                <w:sz w:val="20"/>
                <w:szCs w:val="20"/>
                <w:color w:val="auto"/>
                <w:w w:val="86"/>
              </w:rPr>
              <w:t>4.3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4080" w:type="dxa"/>
            <w:vAlign w:val="bottom"/>
            <w:gridSpan w:val="3"/>
          </w:tcPr>
          <w:p>
            <w:pPr>
              <w:spacing w:after="0"/>
              <w:rPr>
                <w:sz w:val="20"/>
                <w:szCs w:val="20"/>
                <w:color w:val="auto"/>
              </w:rPr>
            </w:pPr>
            <w:r>
              <w:rPr>
                <w:rFonts w:ascii="Arial" w:cs="Arial" w:eastAsia="Arial" w:hAnsi="Arial"/>
                <w:sz w:val="20"/>
                <w:szCs w:val="20"/>
                <w:color w:val="auto"/>
              </w:rPr>
              <w:t>Weighted-Average Discount Rate:</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Operating leases</w:t>
            </w:r>
          </w:p>
        </w:tc>
        <w:tc>
          <w:tcPr>
            <w:tcW w:w="1320" w:type="dxa"/>
            <w:vAlign w:val="bottom"/>
            <w:gridSpan w:val="3"/>
          </w:tcPr>
          <w:p>
            <w:pPr>
              <w:ind w:left="840"/>
              <w:spacing w:after="0"/>
              <w:rPr>
                <w:sz w:val="20"/>
                <w:szCs w:val="20"/>
                <w:color w:val="auto"/>
              </w:rPr>
            </w:pPr>
            <w:r>
              <w:rPr>
                <w:rFonts w:ascii="Arial" w:cs="Arial" w:eastAsia="Arial" w:hAnsi="Arial"/>
                <w:sz w:val="20"/>
                <w:szCs w:val="20"/>
                <w:color w:val="auto"/>
              </w:rPr>
              <w:t>6.0%</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3"/>
          </w:tcPr>
          <w:p>
            <w:pPr>
              <w:ind w:left="700"/>
              <w:spacing w:after="0"/>
              <w:rPr>
                <w:sz w:val="20"/>
                <w:szCs w:val="20"/>
                <w:color w:val="auto"/>
              </w:rPr>
            </w:pPr>
            <w:r>
              <w:rPr>
                <w:rFonts w:ascii="Arial" w:cs="Arial" w:eastAsia="Arial" w:hAnsi="Arial"/>
                <w:sz w:val="20"/>
                <w:szCs w:val="20"/>
                <w:color w:val="auto"/>
              </w:rPr>
              <w:t>6.0%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4"/>
          </w:tcPr>
          <w:p>
            <w:pPr>
              <w:ind w:left="1020"/>
              <w:spacing w:after="0"/>
              <w:rPr>
                <w:sz w:val="20"/>
                <w:szCs w:val="20"/>
                <w:color w:val="auto"/>
              </w:rPr>
            </w:pPr>
            <w:r>
              <w:rPr>
                <w:rFonts w:ascii="Arial" w:cs="Arial" w:eastAsia="Arial" w:hAnsi="Arial"/>
                <w:sz w:val="20"/>
                <w:szCs w:val="20"/>
                <w:color w:val="auto"/>
                <w:w w:val="87"/>
              </w:rPr>
              <w:t>6.0%</w:t>
            </w:r>
          </w:p>
        </w:tc>
        <w:tc>
          <w:tcPr>
            <w:tcW w:w="0" w:type="dxa"/>
            <w:vAlign w:val="bottom"/>
          </w:tcPr>
          <w:p>
            <w:pPr>
              <w:spacing w:after="0"/>
              <w:rPr>
                <w:sz w:val="1"/>
                <w:szCs w:val="1"/>
                <w:color w:val="auto"/>
              </w:rPr>
            </w:pPr>
          </w:p>
        </w:tc>
      </w:tr>
      <w:tr>
        <w:trPr>
          <w:trHeight w:val="264"/>
        </w:trPr>
        <w:tc>
          <w:tcPr>
            <w:tcW w:w="4080" w:type="dxa"/>
            <w:vAlign w:val="bottom"/>
            <w:gridSpan w:val="3"/>
          </w:tcPr>
          <w:p>
            <w:pPr>
              <w:ind w:left="180"/>
              <w:spacing w:after="0"/>
              <w:rPr>
                <w:sz w:val="20"/>
                <w:szCs w:val="20"/>
                <w:color w:val="auto"/>
              </w:rPr>
            </w:pPr>
            <w:r>
              <w:rPr>
                <w:rFonts w:ascii="Arial" w:cs="Arial" w:eastAsia="Arial" w:hAnsi="Arial"/>
                <w:sz w:val="20"/>
                <w:szCs w:val="20"/>
                <w:color w:val="auto"/>
              </w:rPr>
              <w:t>Finance leases</w:t>
            </w:r>
          </w:p>
        </w:tc>
        <w:tc>
          <w:tcPr>
            <w:tcW w:w="1320" w:type="dxa"/>
            <w:vAlign w:val="bottom"/>
            <w:gridSpan w:val="3"/>
          </w:tcPr>
          <w:p>
            <w:pPr>
              <w:ind w:left="840"/>
              <w:spacing w:after="0"/>
              <w:rPr>
                <w:sz w:val="20"/>
                <w:szCs w:val="20"/>
                <w:color w:val="auto"/>
              </w:rPr>
            </w:pPr>
            <w:r>
              <w:rPr>
                <w:rFonts w:ascii="Arial" w:cs="Arial" w:eastAsia="Arial" w:hAnsi="Arial"/>
                <w:sz w:val="20"/>
                <w:szCs w:val="20"/>
                <w:color w:val="auto"/>
              </w:rPr>
              <w:t>6.0%</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gridSpan w:val="3"/>
          </w:tcPr>
          <w:p>
            <w:pPr>
              <w:ind w:left="700"/>
              <w:spacing w:after="0"/>
              <w:rPr>
                <w:sz w:val="20"/>
                <w:szCs w:val="20"/>
                <w:color w:val="auto"/>
              </w:rPr>
            </w:pPr>
            <w:r>
              <w:rPr>
                <w:rFonts w:ascii="Arial" w:cs="Arial" w:eastAsia="Arial" w:hAnsi="Arial"/>
                <w:sz w:val="20"/>
                <w:szCs w:val="20"/>
                <w:color w:val="auto"/>
              </w:rPr>
              <w:t>6.0%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4"/>
          </w:tcPr>
          <w:p>
            <w:pPr>
              <w:ind w:left="1020"/>
              <w:spacing w:after="0"/>
              <w:rPr>
                <w:sz w:val="20"/>
                <w:szCs w:val="20"/>
                <w:color w:val="auto"/>
              </w:rPr>
            </w:pPr>
            <w:r>
              <w:rPr>
                <w:rFonts w:ascii="Arial" w:cs="Arial" w:eastAsia="Arial" w:hAnsi="Arial"/>
                <w:sz w:val="20"/>
                <w:szCs w:val="20"/>
                <w:color w:val="auto"/>
                <w:w w:val="87"/>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-3215005</wp:posOffset>
            </wp:positionV>
            <wp:extent cx="2015490" cy="52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15490" cy="5270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-2715895</wp:posOffset>
            </wp:positionV>
            <wp:extent cx="2015490" cy="52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15490" cy="5270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-1913890</wp:posOffset>
            </wp:positionV>
            <wp:extent cx="2015490" cy="52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15490" cy="52705"/>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-1583055</wp:posOffset>
            </wp:positionV>
            <wp:extent cx="2025015" cy="2222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25015" cy="222250"/>
                    </a:xfrm>
                    <a:prstGeom prst="rect">
                      <a:avLst/>
                    </a:prstGeom>
                    <a:noFill/>
                  </pic:spPr>
                </pic:pic>
              </a:graphicData>
            </a:graphic>
          </wp:anchor>
        </w:drawing>
      </w:r>
    </w:p>
    <w:p>
      <w:pPr>
        <w:spacing w:after="0" w:line="179" w:lineRule="exact"/>
        <w:rPr>
          <w:sz w:val="20"/>
          <w:szCs w:val="20"/>
          <w:color w:val="auto"/>
        </w:rPr>
      </w:pPr>
    </w:p>
    <w:p>
      <w:pPr>
        <w:ind w:right="300"/>
        <w:spacing w:after="0" w:line="274" w:lineRule="auto"/>
        <w:rPr>
          <w:sz w:val="20"/>
          <w:szCs w:val="20"/>
          <w:color w:val="auto"/>
        </w:rPr>
      </w:pPr>
      <w:r>
        <w:rPr>
          <w:rFonts w:ascii="Arial" w:cs="Arial" w:eastAsia="Arial" w:hAnsi="Arial"/>
          <w:sz w:val="20"/>
          <w:szCs w:val="20"/>
          <w:color w:val="auto"/>
        </w:rPr>
        <w:t>Our discount rate is based on our incremental borrowing rate, as adjusted based on the geographic regions in which our lease assets are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2240" w:h="15840" w:orient="portrait"/>
          <w:cols w:equalWidth="0" w:num="1">
            <w:col w:w="10800"/>
          </w:cols>
          <w:pgMar w:left="720" w:top="555" w:right="720" w:bottom="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Maturities of lease liabilities were as follows as of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r>
              <w:rPr>
                <w:rFonts w:ascii="Arial" w:cs="Arial" w:eastAsia="Arial" w:hAnsi="Arial"/>
                <w:sz w:val="20"/>
                <w:szCs w:val="20"/>
                <w:color w:val="auto"/>
              </w:rPr>
              <w:t>Year Ending</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20"/>
                <w:szCs w:val="20"/>
                <w:color w:val="auto"/>
              </w:rPr>
              <w:t>Operating</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20"/>
                <w:szCs w:val="20"/>
                <w:color w:val="auto"/>
              </w:rPr>
              <w:t>Finance</w:t>
            </w:r>
          </w:p>
        </w:tc>
      </w:tr>
      <w:tr>
        <w:trPr>
          <w:trHeight w:val="254"/>
        </w:trPr>
        <w:tc>
          <w:tcPr>
            <w:tcW w:w="5360" w:type="dxa"/>
            <w:vAlign w:val="bottom"/>
          </w:tcPr>
          <w:p>
            <w:pPr>
              <w:spacing w:after="0"/>
              <w:rPr>
                <w:sz w:val="20"/>
                <w:szCs w:val="20"/>
                <w:color w:val="auto"/>
              </w:rPr>
            </w:pPr>
            <w:r>
              <w:rPr>
                <w:rFonts w:ascii="Arial" w:cs="Arial" w:eastAsia="Arial" w:hAnsi="Arial"/>
                <w:sz w:val="20"/>
                <w:szCs w:val="20"/>
                <w:color w:val="auto"/>
              </w:rPr>
              <w:t>December 31,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20"/>
                <w:szCs w:val="20"/>
                <w:color w:val="auto"/>
              </w:rPr>
              <w:t>Leases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20"/>
                <w:szCs w:val="20"/>
                <w:color w:val="auto"/>
              </w:rPr>
              <w:t>Leases</w:t>
            </w:r>
          </w:p>
        </w:tc>
      </w:tr>
      <w:tr>
        <w:trPr>
          <w:trHeight w:val="215"/>
        </w:trPr>
        <w:tc>
          <w:tcPr>
            <w:tcW w:w="5360" w:type="dxa"/>
            <w:vAlign w:val="bottom"/>
            <w:tcBorders>
              <w:top w:val="single" w:sz="8" w:color="auto"/>
            </w:tcBorders>
          </w:tcPr>
          <w:p>
            <w:pPr>
              <w:spacing w:after="0" w:line="215" w:lineRule="exact"/>
              <w:rPr>
                <w:sz w:val="20"/>
                <w:szCs w:val="20"/>
                <w:color w:val="auto"/>
              </w:rPr>
            </w:pPr>
            <w:r>
              <w:rPr>
                <w:rFonts w:ascii="Arial" w:cs="Arial" w:eastAsia="Arial" w:hAnsi="Arial"/>
                <w:sz w:val="20"/>
                <w:szCs w:val="20"/>
                <w:color w:val="auto"/>
              </w:rPr>
              <w:t>2026</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21"/>
              <w:spacing w:after="0" w:line="215" w:lineRule="exact"/>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20"/>
                <w:szCs w:val="20"/>
                <w:color w:val="auto"/>
              </w:rPr>
              <w:t>9,203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20"/>
                <w:szCs w:val="20"/>
                <w:color w:val="auto"/>
                <w:w w:val="71"/>
              </w:rPr>
              <w:t>$</w:t>
            </w:r>
          </w:p>
        </w:tc>
        <w:tc>
          <w:tcPr>
            <w:tcW w:w="1360" w:type="dxa"/>
            <w:vAlign w:val="bottom"/>
            <w:tcBorders>
              <w:top w:val="single" w:sz="8" w:color="auto"/>
            </w:tcBorders>
            <w:gridSpan w:val="2"/>
          </w:tcPr>
          <w:p>
            <w:pPr>
              <w:jc w:val="right"/>
              <w:spacing w:after="0" w:line="215" w:lineRule="exact"/>
              <w:rPr>
                <w:sz w:val="20"/>
                <w:szCs w:val="20"/>
                <w:color w:val="auto"/>
              </w:rPr>
            </w:pPr>
            <w:r>
              <w:rPr>
                <w:rFonts w:ascii="Arial" w:cs="Arial" w:eastAsia="Arial" w:hAnsi="Arial"/>
                <w:sz w:val="20"/>
                <w:szCs w:val="20"/>
                <w:color w:val="auto"/>
              </w:rPr>
              <w:t>492</w:t>
            </w:r>
          </w:p>
        </w:tc>
        <w:tc>
          <w:tcPr>
            <w:tcW w:w="80" w:type="dxa"/>
            <w:vAlign w:val="bottom"/>
          </w:tcPr>
          <w:p>
            <w:pPr>
              <w:spacing w:after="0"/>
              <w:rPr>
                <w:sz w:val="18"/>
                <w:szCs w:val="18"/>
                <w:color w:val="auto"/>
              </w:rPr>
            </w:pPr>
          </w:p>
        </w:tc>
      </w:tr>
      <w:tr>
        <w:trPr>
          <w:trHeight w:val="239"/>
        </w:trPr>
        <w:tc>
          <w:tcPr>
            <w:tcW w:w="5360" w:type="dxa"/>
            <w:vAlign w:val="bottom"/>
          </w:tcPr>
          <w:p>
            <w:pPr>
              <w:spacing w:after="0"/>
              <w:rPr>
                <w:sz w:val="20"/>
                <w:szCs w:val="20"/>
                <w:color w:val="auto"/>
              </w:rPr>
            </w:pPr>
            <w:r>
              <w:rPr>
                <w:rFonts w:ascii="Arial" w:cs="Arial" w:eastAsia="Arial" w:hAnsi="Arial"/>
                <w:sz w:val="20"/>
                <w:szCs w:val="20"/>
                <w:color w:val="auto"/>
              </w:rPr>
              <w:t>2027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6,151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400</w:t>
            </w:r>
          </w:p>
        </w:tc>
        <w:tc>
          <w:tcPr>
            <w:tcW w:w="80" w:type="dxa"/>
            <w:vAlign w:val="bottom"/>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Arial" w:cs="Arial" w:eastAsia="Arial" w:hAnsi="Arial"/>
                <w:sz w:val="20"/>
                <w:szCs w:val="20"/>
                <w:color w:val="auto"/>
              </w:rPr>
              <w:t>2028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4,743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347</w:t>
            </w:r>
          </w:p>
        </w:tc>
        <w:tc>
          <w:tcPr>
            <w:tcW w:w="80" w:type="dxa"/>
            <w:vAlign w:val="bottom"/>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Arial" w:cs="Arial" w:eastAsia="Arial" w:hAnsi="Arial"/>
                <w:sz w:val="20"/>
                <w:szCs w:val="20"/>
                <w:color w:val="auto"/>
              </w:rPr>
              <w:t>2029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2,718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104</w:t>
            </w:r>
          </w:p>
        </w:tc>
        <w:tc>
          <w:tcPr>
            <w:tcW w:w="80" w:type="dxa"/>
            <w:vAlign w:val="bottom"/>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Arial" w:cs="Arial" w:eastAsia="Arial" w:hAnsi="Arial"/>
                <w:sz w:val="20"/>
                <w:szCs w:val="20"/>
                <w:color w:val="auto"/>
              </w:rPr>
              <w:t>2030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1,696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34</w:t>
            </w:r>
          </w:p>
        </w:tc>
        <w:tc>
          <w:tcPr>
            <w:tcW w:w="80" w:type="dxa"/>
            <w:vAlign w:val="bottom"/>
          </w:tcPr>
          <w:p>
            <w:pPr>
              <w:spacing w:after="0"/>
              <w:rPr>
                <w:sz w:val="20"/>
                <w:szCs w:val="20"/>
                <w:color w:val="auto"/>
              </w:rPr>
            </w:pPr>
          </w:p>
        </w:tc>
      </w:tr>
      <w:tr>
        <w:trPr>
          <w:trHeight w:val="254"/>
        </w:trPr>
        <w:tc>
          <w:tcPr>
            <w:tcW w:w="5360" w:type="dxa"/>
            <w:vAlign w:val="bottom"/>
          </w:tcPr>
          <w:p>
            <w:pPr>
              <w:spacing w:after="0"/>
              <w:rPr>
                <w:sz w:val="20"/>
                <w:szCs w:val="20"/>
                <w:color w:val="auto"/>
              </w:rPr>
            </w:pPr>
            <w:r>
              <w:rPr>
                <w:rFonts w:ascii="Arial" w:cs="Arial" w:eastAsia="Arial" w:hAnsi="Arial"/>
                <w:sz w:val="20"/>
                <w:szCs w:val="20"/>
                <w:color w:val="auto"/>
              </w:rPr>
              <w:t>Thereafter</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2,434</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r>
      <w:tr>
        <w:trPr>
          <w:trHeight w:val="215"/>
        </w:trPr>
        <w:tc>
          <w:tcPr>
            <w:tcW w:w="5360" w:type="dxa"/>
            <w:vAlign w:val="bottom"/>
          </w:tcPr>
          <w:p>
            <w:pPr>
              <w:spacing w:after="0" w:line="215" w:lineRule="exact"/>
              <w:rPr>
                <w:sz w:val="20"/>
                <w:szCs w:val="20"/>
                <w:color w:val="auto"/>
              </w:rPr>
            </w:pPr>
            <w:r>
              <w:rPr>
                <w:rFonts w:ascii="Arial" w:cs="Arial" w:eastAsia="Arial" w:hAnsi="Arial"/>
                <w:sz w:val="20"/>
                <w:szCs w:val="20"/>
                <w:color w:val="auto"/>
              </w:rPr>
              <w:t>Total undiscounted cash flows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Arial" w:cs="Arial" w:eastAsia="Arial" w:hAnsi="Arial"/>
                <w:sz w:val="20"/>
                <w:szCs w:val="20"/>
                <w:color w:val="auto"/>
              </w:rPr>
              <w:t>26,945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1,377</w:t>
            </w:r>
          </w:p>
        </w:tc>
        <w:tc>
          <w:tcPr>
            <w:tcW w:w="80" w:type="dxa"/>
            <w:vAlign w:val="bottom"/>
          </w:tcPr>
          <w:p>
            <w:pPr>
              <w:spacing w:after="0"/>
              <w:rPr>
                <w:sz w:val="18"/>
                <w:szCs w:val="18"/>
                <w:color w:val="auto"/>
              </w:rPr>
            </w:pPr>
          </w:p>
        </w:tc>
      </w:tr>
      <w:tr>
        <w:trPr>
          <w:trHeight w:val="257"/>
        </w:trPr>
        <w:tc>
          <w:tcPr>
            <w:tcW w:w="5360" w:type="dxa"/>
            <w:vAlign w:val="bottom"/>
          </w:tcPr>
          <w:p>
            <w:pPr>
              <w:spacing w:after="0"/>
              <w:rPr>
                <w:sz w:val="20"/>
                <w:szCs w:val="20"/>
                <w:color w:val="auto"/>
              </w:rPr>
            </w:pPr>
            <w:r>
              <w:rPr>
                <w:rFonts w:ascii="Arial" w:cs="Arial" w:eastAsia="Arial" w:hAnsi="Arial"/>
                <w:sz w:val="20"/>
                <w:szCs w:val="20"/>
                <w:color w:val="auto"/>
              </w:rPr>
              <w:t>Less imputed interest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20"/>
                <w:szCs w:val="20"/>
                <w:color w:val="auto"/>
              </w:rPr>
              <w:t>(3,049)</w:t>
            </w:r>
          </w:p>
        </w:tc>
        <w:tc>
          <w:tcPr>
            <w:tcW w:w="12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rPr>
              <w:t>(116)</w:t>
            </w:r>
          </w:p>
        </w:tc>
      </w:tr>
      <w:tr>
        <w:trPr>
          <w:trHeight w:val="247"/>
        </w:trPr>
        <w:tc>
          <w:tcPr>
            <w:tcW w:w="5360" w:type="dxa"/>
            <w:vAlign w:val="bottom"/>
          </w:tcPr>
          <w:p>
            <w:pPr>
              <w:spacing w:after="0"/>
              <w:rPr>
                <w:sz w:val="20"/>
                <w:szCs w:val="20"/>
                <w:color w:val="auto"/>
              </w:rPr>
            </w:pPr>
            <w:r>
              <w:rPr>
                <w:rFonts w:ascii="Arial" w:cs="Arial" w:eastAsia="Arial" w:hAnsi="Arial"/>
                <w:sz w:val="20"/>
                <w:szCs w:val="20"/>
                <w:color w:val="auto"/>
              </w:rPr>
              <w:t>Present value of lease liabilities</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23,896</w:t>
            </w:r>
          </w:p>
        </w:tc>
        <w:tc>
          <w:tcPr>
            <w:tcW w:w="16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1,261</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-191135</wp:posOffset>
            </wp:positionV>
            <wp:extent cx="2025015" cy="2222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25015" cy="22225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6700" w:firstLine="5"/>
        <w:spacing w:after="0" w:line="480" w:lineRule="auto"/>
        <w:tabs>
          <w:tab w:leader="none" w:pos="468"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COMMITMENTS AND CONTINGENCIES </w:t>
      </w:r>
      <w:r>
        <w:rPr>
          <w:rFonts w:ascii="Arial" w:cs="Arial" w:eastAsia="Arial" w:hAnsi="Arial"/>
          <w:sz w:val="20"/>
          <w:szCs w:val="20"/>
          <w:u w:val="single" w:color="auto"/>
          <w:color w:val="auto"/>
        </w:rPr>
        <w:t>Other Commitments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Company submits purchase orders for raw materials to various vendors throughout the year for current production requirements, as well as forecasted requirements. Certain of these purchase orders relate to special purpose material and, as such, the Company may incur penalties if an order is cancelled. The Company had outstanding purchase orders related to raw materials in the amount of $81.5 million and $82.2 million at December 31, 2025 and December 31, 2024, respectively. The Company also had outstanding purchase orders related to capital expenditures in the amount of $2.0 million and $4.6 million at December 31, 2025 and December 31, 2024,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is party to a number of legal actions and claims, none of which individually or in the aggregate, in the opinion of management, are expected to have a material adverse effect on the Company's consolidated results of operations or consolidated financial position.</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On June 23, 2021, a patent infringement lawsuit styled </w:t>
      </w:r>
      <w:r>
        <w:rPr>
          <w:rFonts w:ascii="Arial" w:cs="Arial" w:eastAsia="Arial" w:hAnsi="Arial"/>
          <w:sz w:val="18"/>
          <w:szCs w:val="18"/>
          <w:i w:val="1"/>
          <w:iCs w:val="1"/>
          <w:color w:val="auto"/>
        </w:rPr>
        <w:t>Bel Power Solutions, Inc. v. Monolithic Power Systems, Inc.</w:t>
      </w:r>
      <w:r>
        <w:rPr>
          <w:rFonts w:ascii="Arial" w:cs="Arial" w:eastAsia="Arial" w:hAnsi="Arial"/>
          <w:sz w:val="18"/>
          <w:szCs w:val="18"/>
          <w:color w:val="auto"/>
        </w:rPr>
        <w:t>, Case Number 6:21cv00655, was filed in the United States District Court for the Western District of Texas (Waco Division) by Bel Power Solutions, Inc. against Monolithic Power Systems, Inc. ("MPS") for infringement of various patents directed towards systems, methods and articles of manufacture that provide a substantial improvement in power control for circuits, including novel and unique point-of-load regulators. On July 27, 2023, the Western District of Texas court filed an Order granting MPS’s motion for summary judgment of non-infringement. The Court’s memorandum and opinion is forthcoming. The Company is evaluating its options for appeal.</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In connection with the Company's 2014 acquisition of the Power-One Power Solutions business ("Power Solutions") of ABB Ltd. ("ABB"), there is an ongoing claim by the Arezzo Revenue Agency in Italy concerning certain tax matters related to what was then Power-One Asia Pacific Electronics Shenzhen Co. Ltd. (now Bel Power Solutions Asia Pacific Electronics Shenzhen Co. Ltd, or “BPS China”) for the years 2004 to 2006. In September 2012, the Tax Court of Arezzo ruled in favor of BPS China and cancelled the claim. In February 2013, the Arezzo Revenue Agency filed an appeal of the Tax Court’s ruling. The hearing of the appeal was held on October 2, 2014. On October 13, 2014, BPS China was informed of the Regional Tax Commission of Florence ruling which was in favor of the Arezzo Revenue Agency and against BPS China. An appeal was filed on July 18, 2015 before the Regional Tax Commission of Florence and rejected. On December 5, 2016, the Arezzo Revenue Agency filed an appeal with the Supreme Court and BPS China filed a counter-appeal on January 4, 2017. The Supreme Court rendered a judgment against BPS China in March 2024 </w:t>
      </w:r>
      <w:r>
        <w:rPr>
          <w:rFonts w:ascii="Arial" w:cs="Arial" w:eastAsia="Arial" w:hAnsi="Arial"/>
          <w:sz w:val="18"/>
          <w:szCs w:val="18"/>
          <w:i w:val="1"/>
          <w:iCs w:val="1"/>
          <w:color w:val="auto"/>
        </w:rPr>
        <w:t>.</w:t>
      </w:r>
      <w:r>
        <w:rPr>
          <w:rFonts w:ascii="Arial" w:cs="Arial" w:eastAsia="Arial" w:hAnsi="Arial"/>
          <w:sz w:val="18"/>
          <w:szCs w:val="18"/>
          <w:color w:val="auto"/>
        </w:rPr>
        <w:t xml:space="preserve"> BPS China filed an appeal in July 2024</w:t>
      </w:r>
      <w:r>
        <w:rPr>
          <w:rFonts w:ascii="Arial" w:cs="Arial" w:eastAsia="Arial" w:hAnsi="Arial"/>
          <w:sz w:val="18"/>
          <w:szCs w:val="18"/>
          <w:i w:val="1"/>
          <w:iCs w:val="1"/>
          <w:color w:val="auto"/>
        </w:rPr>
        <w:t>.</w:t>
      </w:r>
      <w:r>
        <w:rPr>
          <w:rFonts w:ascii="Arial" w:cs="Arial" w:eastAsia="Arial" w:hAnsi="Arial"/>
          <w:sz w:val="18"/>
          <w:szCs w:val="18"/>
          <w:color w:val="auto"/>
        </w:rPr>
        <w:t xml:space="preserve"> The estimated liability related to this matter is approximately $12.0 million and has been included as a liability for uncertain tax positions on the accompanying consolidated balance sheets at December 31, 2025 and 2024. As Bel is fully indemnified in this matter per the terms of the stock purchase agreement with ABB, a corresponding other asset for indemnification is also included in other assets on the accompanying consolidated balance sheets at December 31, 2025 and 2024.</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connection with the Company's 2021 acquisition of EOS Power ("EOS"), there is an ongoing claim asserted with respect to EOS by the Principal Commissioner of Customs (Preventive), Mumbai related to customs duties and imposed fines and penalties dating back to 1994. The original demand was in the amount of approximately $1.4 million, of which EOS has paid $0.5 million. EOS filed an Appeal in 2016 which is pending with the Customs, Excise and Service Tax Appellate Tribunal in Mumbai related to the $0.9 million balance of the original demand net of EOS' payment. As part of the EOS acquisition agreement entered into in March 2021, the Company is entitled to be indemnified for this matter for a period of 7 years from the acquisition date. The Company is unable to determine at this time what amount, if any, may ultimately be due in connection with this claim. As such, no estimate was accrued as of December 31, 2025.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2240" w:h="15840" w:orient="portrait"/>
          <w:cols w:equalWidth="0" w:num="1">
            <w:col w:w="10800"/>
          </w:cols>
          <w:pgMar w:left="720" w:top="555" w:right="720" w:bottom="0" w:gutter="0" w:footer="0" w:header="0"/>
        </w:sectPr>
      </w:pPr>
    </w:p>
    <w:bookmarkStart w:id="98" w:name="page99"/>
    <w:bookmarkEnd w:id="98"/>
    <w:p>
      <w:pPr>
        <w:spacing w:after="0" w:line="272" w:lineRule="auto"/>
        <w:rPr>
          <w:sz w:val="20"/>
          <w:szCs w:val="20"/>
          <w:color w:val="auto"/>
        </w:rPr>
      </w:pPr>
      <w:r>
        <w:rPr>
          <w:rFonts w:ascii="Arial" w:cs="Arial" w:eastAsia="Arial" w:hAnsi="Arial"/>
          <w:sz w:val="20"/>
          <w:szCs w:val="20"/>
          <w:color w:val="auto"/>
        </w:rPr>
        <w:t>The Company is not a party to any other legal proceeding, the adverse outcome of which is likely to have a material adverse effect on the Company's consolidated financial condition or consolidated results of operations.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20. ACCUMULATED OTHER COMPREHENSIVE LOSS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accumulated other comprehensive loss as of December 31, 2025 and 2024 are summarized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ind w:left="900"/>
              <w:spacing w:after="0"/>
              <w:rPr>
                <w:sz w:val="20"/>
                <w:szCs w:val="20"/>
                <w:color w:val="auto"/>
              </w:rPr>
            </w:pPr>
            <w:r>
              <w:rPr>
                <w:rFonts w:ascii="Arial" w:cs="Arial" w:eastAsia="Arial" w:hAnsi="Arial"/>
                <w:sz w:val="20"/>
                <w:szCs w:val="20"/>
                <w:color w:val="auto"/>
                <w:w w:val="89"/>
              </w:rPr>
              <w:t>December 31,</w:t>
            </w:r>
          </w:p>
        </w:tc>
        <w:tc>
          <w:tcPr>
            <w:tcW w:w="9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520" w:type="dxa"/>
            <w:vAlign w:val="bottom"/>
            <w:gridSpan w:val="2"/>
            <w:vMerge w:val="restart"/>
          </w:tcPr>
          <w:p>
            <w:pPr>
              <w:spacing w:after="0"/>
              <w:rPr>
                <w:sz w:val="20"/>
                <w:szCs w:val="20"/>
                <w:color w:val="auto"/>
              </w:rPr>
            </w:pPr>
            <w:r>
              <w:rPr>
                <w:rFonts w:ascii="Arial" w:cs="Arial" w:eastAsia="Arial" w:hAnsi="Arial"/>
                <w:sz w:val="20"/>
                <w:szCs w:val="20"/>
                <w:color w:val="auto"/>
                <w:w w:val="92"/>
              </w:rPr>
              <w:t>Foreign currency translation adjustment, net of taxes of ($312) at December 31,</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w w:val="94"/>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5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520" w:type="dxa"/>
            <w:vAlign w:val="bottom"/>
            <w:gridSpan w:val="2"/>
          </w:tcPr>
          <w:p>
            <w:pPr>
              <w:spacing w:after="0"/>
              <w:rPr>
                <w:sz w:val="20"/>
                <w:szCs w:val="20"/>
                <w:color w:val="auto"/>
              </w:rPr>
            </w:pPr>
            <w:r>
              <w:rPr>
                <w:rFonts w:ascii="Arial" w:cs="Arial" w:eastAsia="Arial" w:hAnsi="Arial"/>
                <w:sz w:val="20"/>
                <w:szCs w:val="20"/>
                <w:color w:val="auto"/>
              </w:rPr>
              <w:t>2025 and ($312) at December 31, 2024</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20"/>
                <w:szCs w:val="20"/>
                <w:color w:val="auto"/>
              </w:rPr>
              <w:t>(19,490)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(21,966)</w:t>
            </w:r>
          </w:p>
        </w:tc>
        <w:tc>
          <w:tcPr>
            <w:tcW w:w="0" w:type="dxa"/>
            <w:vAlign w:val="bottom"/>
          </w:tcPr>
          <w:p>
            <w:pPr>
              <w:spacing w:after="0"/>
              <w:rPr>
                <w:sz w:val="1"/>
                <w:szCs w:val="1"/>
                <w:color w:val="auto"/>
              </w:rPr>
            </w:pPr>
          </w:p>
        </w:tc>
      </w:tr>
      <w:tr>
        <w:trPr>
          <w:trHeight w:val="229"/>
        </w:trPr>
        <w:tc>
          <w:tcPr>
            <w:tcW w:w="6520" w:type="dxa"/>
            <w:vAlign w:val="bottom"/>
            <w:gridSpan w:val="2"/>
          </w:tcPr>
          <w:p>
            <w:pPr>
              <w:spacing w:after="0"/>
              <w:rPr>
                <w:sz w:val="20"/>
                <w:szCs w:val="20"/>
                <w:color w:val="auto"/>
              </w:rPr>
            </w:pPr>
            <w:r>
              <w:rPr>
                <w:rFonts w:ascii="Arial" w:cs="Arial" w:eastAsia="Arial" w:hAnsi="Arial"/>
                <w:sz w:val="20"/>
                <w:szCs w:val="20"/>
                <w:color w:val="auto"/>
                <w:w w:val="93"/>
              </w:rPr>
              <w:t>Unrealized holding gains on interest rate swap cash flow hedge, net of taxes of</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20" w:type="dxa"/>
            <w:vAlign w:val="bottom"/>
            <w:gridSpan w:val="2"/>
          </w:tcPr>
          <w:p>
            <w:pPr>
              <w:spacing w:after="0"/>
              <w:rPr>
                <w:sz w:val="20"/>
                <w:szCs w:val="20"/>
                <w:color w:val="auto"/>
              </w:rPr>
            </w:pPr>
            <w:r>
              <w:rPr>
                <w:rFonts w:ascii="Arial" w:cs="Arial" w:eastAsia="Arial" w:hAnsi="Arial"/>
                <w:sz w:val="20"/>
                <w:szCs w:val="20"/>
                <w:color w:val="auto"/>
              </w:rPr>
              <w:t>$0 at December 31, 2025 and $0 at December 31, 2024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906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2,729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20" w:type="dxa"/>
            <w:vAlign w:val="bottom"/>
            <w:gridSpan w:val="2"/>
          </w:tcPr>
          <w:p>
            <w:pPr>
              <w:spacing w:after="0"/>
              <w:rPr>
                <w:sz w:val="20"/>
                <w:szCs w:val="20"/>
                <w:color w:val="auto"/>
              </w:rPr>
            </w:pPr>
            <w:r>
              <w:rPr>
                <w:rFonts w:ascii="Arial" w:cs="Arial" w:eastAsia="Arial" w:hAnsi="Arial"/>
                <w:sz w:val="20"/>
                <w:szCs w:val="20"/>
                <w:color w:val="auto"/>
              </w:rPr>
              <w:t>Unrealized holding gains on marketable securities, net of taxes of ($7) at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20" w:type="dxa"/>
            <w:vAlign w:val="bottom"/>
            <w:gridSpan w:val="2"/>
          </w:tcPr>
          <w:p>
            <w:pPr>
              <w:spacing w:after="0"/>
              <w:rPr>
                <w:sz w:val="20"/>
                <w:szCs w:val="20"/>
                <w:color w:val="auto"/>
              </w:rPr>
            </w:pPr>
            <w:r>
              <w:rPr>
                <w:rFonts w:ascii="Arial" w:cs="Arial" w:eastAsia="Arial" w:hAnsi="Arial"/>
                <w:sz w:val="20"/>
                <w:szCs w:val="20"/>
                <w:color w:val="auto"/>
              </w:rPr>
              <w:t>December 31, 2025 and ($7) at December 31, 2024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20" w:type="dxa"/>
            <w:vAlign w:val="bottom"/>
            <w:gridSpan w:val="2"/>
          </w:tcPr>
          <w:p>
            <w:pPr>
              <w:spacing w:after="0"/>
              <w:rPr>
                <w:sz w:val="20"/>
                <w:szCs w:val="20"/>
                <w:color w:val="auto"/>
              </w:rPr>
            </w:pPr>
            <w:r>
              <w:rPr>
                <w:rFonts w:ascii="Arial" w:cs="Arial" w:eastAsia="Arial" w:hAnsi="Arial"/>
                <w:sz w:val="20"/>
                <w:szCs w:val="20"/>
                <w:color w:val="auto"/>
                <w:w w:val="98"/>
              </w:rPr>
              <w:t>Unfunded SERP liability, net of taxes of $1,003 at December 31, 2025 and</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520" w:type="dxa"/>
            <w:vAlign w:val="bottom"/>
            <w:gridSpan w:val="2"/>
          </w:tcPr>
          <w:p>
            <w:pPr>
              <w:ind w:left="180"/>
              <w:spacing w:after="0"/>
              <w:rPr>
                <w:sz w:val="20"/>
                <w:szCs w:val="20"/>
                <w:color w:val="auto"/>
              </w:rPr>
            </w:pPr>
            <w:r>
              <w:rPr>
                <w:rFonts w:ascii="Arial" w:cs="Arial" w:eastAsia="Arial" w:hAnsi="Arial"/>
                <w:sz w:val="20"/>
                <w:szCs w:val="20"/>
                <w:color w:val="auto"/>
              </w:rPr>
              <w:t>$1,183 at December 31, 2024</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1,389</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6520" w:type="dxa"/>
            <w:vAlign w:val="bottom"/>
            <w:gridSpan w:val="2"/>
          </w:tcPr>
          <w:p>
            <w:pPr>
              <w:spacing w:after="0"/>
              <w:rPr>
                <w:sz w:val="20"/>
                <w:szCs w:val="20"/>
                <w:color w:val="auto"/>
              </w:rPr>
            </w:pPr>
            <w:r>
              <w:rPr>
                <w:rFonts w:ascii="Arial" w:cs="Arial" w:eastAsia="Arial" w:hAnsi="Arial"/>
                <w:sz w:val="20"/>
                <w:szCs w:val="20"/>
                <w:color w:val="auto"/>
              </w:rPr>
              <w:t>Accumulated other comprehensive loss</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20"/>
                <w:szCs w:val="20"/>
                <w:color w:val="auto"/>
              </w:rPr>
              <w:t>(17,174)</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3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(17,227)</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-39370</wp:posOffset>
            </wp:positionV>
            <wp:extent cx="2018665" cy="52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18665" cy="5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2240" w:h="15840" w:orient="portrait"/>
          <w:cols w:equalWidth="0" w:num="1">
            <w:col w:w="10800"/>
          </w:cols>
          <w:pgMar w:left="720" w:top="785" w:right="720" w:bottom="0" w:gutter="0" w:footer="0" w:header="0"/>
        </w:sectPr>
      </w:pPr>
    </w:p>
    <w:bookmarkStart w:id="99" w:name="page100"/>
    <w:bookmarkEnd w:id="99"/>
    <w:p>
      <w:pPr>
        <w:spacing w:after="0" w:line="274" w:lineRule="auto"/>
        <w:rPr>
          <w:sz w:val="20"/>
          <w:szCs w:val="20"/>
          <w:color w:val="auto"/>
        </w:rPr>
      </w:pPr>
      <w:r>
        <w:rPr>
          <w:rFonts w:ascii="Arial" w:cs="Arial" w:eastAsia="Arial" w:hAnsi="Arial"/>
          <w:sz w:val="20"/>
          <w:szCs w:val="20"/>
          <w:color w:val="auto"/>
        </w:rPr>
        <w:t>Changes in accumulated other comprehensive (loss) income by component during the years ended December 31, 2025, 2024 and 2023 are as follows. All amounts are net of tax.</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Unrealized</w:t>
            </w:r>
          </w:p>
        </w:tc>
        <w:tc>
          <w:tcPr>
            <w:tcW w:w="100" w:type="dxa"/>
            <w:vAlign w:val="bottom"/>
          </w:tcPr>
          <w:p>
            <w:pPr>
              <w:spacing w:after="0"/>
              <w:rPr>
                <w:sz w:val="19"/>
                <w:szCs w:val="19"/>
                <w:color w:val="auto"/>
              </w:rPr>
            </w:pPr>
          </w:p>
        </w:tc>
        <w:tc>
          <w:tcPr>
            <w:tcW w:w="1060" w:type="dxa"/>
            <w:vAlign w:val="bottom"/>
          </w:tcPr>
          <w:p>
            <w:pPr>
              <w:jc w:val="center"/>
              <w:ind w:right="1"/>
              <w:spacing w:after="0"/>
              <w:rPr>
                <w:sz w:val="20"/>
                <w:szCs w:val="20"/>
                <w:color w:val="auto"/>
              </w:rPr>
            </w:pPr>
            <w:r>
              <w:rPr>
                <w:rFonts w:ascii="Arial" w:cs="Arial" w:eastAsia="Arial" w:hAnsi="Arial"/>
                <w:sz w:val="20"/>
                <w:szCs w:val="20"/>
                <w:color w:val="auto"/>
                <w:w w:val="92"/>
              </w:rPr>
              <w:t>Unrealized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20"/>
                <w:szCs w:val="20"/>
                <w:color w:val="auto"/>
                <w:w w:val="91"/>
              </w:rPr>
              <w:t>Gains</w:t>
            </w:r>
          </w:p>
        </w:tc>
        <w:tc>
          <w:tcPr>
            <w:tcW w:w="100" w:type="dxa"/>
            <w:vAlign w:val="bottom"/>
          </w:tcPr>
          <w:p>
            <w:pPr>
              <w:spacing w:after="0"/>
              <w:rPr>
                <w:sz w:val="19"/>
                <w:szCs w:val="19"/>
                <w:color w:val="auto"/>
              </w:rPr>
            </w:pPr>
          </w:p>
        </w:tc>
        <w:tc>
          <w:tcPr>
            <w:tcW w:w="1060" w:type="dxa"/>
            <w:vAlign w:val="bottom"/>
          </w:tcPr>
          <w:p>
            <w:pPr>
              <w:jc w:val="center"/>
              <w:ind w:right="21"/>
              <w:spacing w:after="0"/>
              <w:rPr>
                <w:sz w:val="20"/>
                <w:szCs w:val="20"/>
                <w:color w:val="auto"/>
              </w:rPr>
            </w:pPr>
            <w:r>
              <w:rPr>
                <w:rFonts w:ascii="Arial" w:cs="Arial" w:eastAsia="Arial" w:hAnsi="Arial"/>
                <w:sz w:val="20"/>
                <w:szCs w:val="20"/>
                <w:color w:val="auto"/>
                <w:w w:val="97"/>
              </w:rPr>
              <w:t>Holding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20"/>
                <w:szCs w:val="20"/>
                <w:color w:val="auto"/>
                <w:w w:val="91"/>
              </w:rPr>
              <w:t>Foreign</w:t>
            </w:r>
          </w:p>
        </w:tc>
        <w:tc>
          <w:tcPr>
            <w:tcW w:w="1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(Losses) on</w:t>
            </w:r>
          </w:p>
        </w:tc>
        <w:tc>
          <w:tcPr>
            <w:tcW w:w="100" w:type="dxa"/>
            <w:vAlign w:val="bottom"/>
          </w:tcPr>
          <w:p>
            <w:pPr>
              <w:spacing w:after="0"/>
              <w:rPr>
                <w:sz w:val="19"/>
                <w:szCs w:val="19"/>
                <w:color w:val="auto"/>
              </w:rPr>
            </w:pPr>
          </w:p>
        </w:tc>
        <w:tc>
          <w:tcPr>
            <w:tcW w:w="1060" w:type="dxa"/>
            <w:vAlign w:val="bottom"/>
          </w:tcPr>
          <w:p>
            <w:pPr>
              <w:jc w:val="center"/>
              <w:ind w:right="21"/>
              <w:spacing w:after="0"/>
              <w:rPr>
                <w:sz w:val="20"/>
                <w:szCs w:val="20"/>
                <w:color w:val="auto"/>
              </w:rPr>
            </w:pPr>
            <w:r>
              <w:rPr>
                <w:rFonts w:ascii="Arial" w:cs="Arial" w:eastAsia="Arial" w:hAnsi="Arial"/>
                <w:sz w:val="20"/>
                <w:szCs w:val="20"/>
                <w:color w:val="auto"/>
                <w:w w:val="87"/>
              </w:rPr>
              <w:t>Gains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20"/>
                <w:szCs w:val="20"/>
                <w:color w:val="auto"/>
                <w:w w:val="91"/>
              </w:rPr>
              <w:t>Currency</w:t>
            </w:r>
          </w:p>
        </w:tc>
        <w:tc>
          <w:tcPr>
            <w:tcW w:w="1340" w:type="dxa"/>
            <w:vAlign w:val="bottom"/>
            <w:gridSpan w:val="3"/>
          </w:tcPr>
          <w:p>
            <w:pPr>
              <w:jc w:val="center"/>
              <w:ind w:right="180"/>
              <w:spacing w:after="0"/>
              <w:rPr>
                <w:sz w:val="20"/>
                <w:szCs w:val="20"/>
                <w:color w:val="auto"/>
              </w:rPr>
            </w:pPr>
            <w:r>
              <w:rPr>
                <w:rFonts w:ascii="Arial" w:cs="Arial" w:eastAsia="Arial" w:hAnsi="Arial"/>
                <w:sz w:val="20"/>
                <w:szCs w:val="20"/>
                <w:color w:val="auto"/>
                <w:w w:val="87"/>
              </w:rPr>
              <w:t>Interest Rate</w:t>
            </w:r>
          </w:p>
        </w:tc>
        <w:tc>
          <w:tcPr>
            <w:tcW w:w="100" w:type="dxa"/>
            <w:vAlign w:val="bottom"/>
          </w:tcPr>
          <w:p>
            <w:pPr>
              <w:spacing w:after="0"/>
              <w:rPr>
                <w:sz w:val="19"/>
                <w:szCs w:val="19"/>
                <w:color w:val="auto"/>
              </w:rPr>
            </w:pPr>
          </w:p>
        </w:tc>
        <w:tc>
          <w:tcPr>
            <w:tcW w:w="1060" w:type="dxa"/>
            <w:vAlign w:val="bottom"/>
          </w:tcPr>
          <w:p>
            <w:pPr>
              <w:jc w:val="center"/>
              <w:ind w:right="1"/>
              <w:spacing w:after="0"/>
              <w:rPr>
                <w:sz w:val="20"/>
                <w:szCs w:val="20"/>
                <w:color w:val="auto"/>
              </w:rPr>
            </w:pPr>
            <w:r>
              <w:rPr>
                <w:rFonts w:ascii="Arial" w:cs="Arial" w:eastAsia="Arial" w:hAnsi="Arial"/>
                <w:sz w:val="20"/>
                <w:szCs w:val="20"/>
                <w:color w:val="auto"/>
                <w:w w:val="88"/>
              </w:rPr>
              <w:t>(Losses) 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20"/>
                <w:szCs w:val="20"/>
                <w:color w:val="auto"/>
                <w:w w:val="92"/>
              </w:rPr>
              <w:t>Unfunded</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Translation</w:t>
            </w:r>
          </w:p>
        </w:tc>
        <w:tc>
          <w:tcPr>
            <w:tcW w:w="1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Swap Cash</w:t>
            </w:r>
          </w:p>
        </w:tc>
        <w:tc>
          <w:tcPr>
            <w:tcW w:w="100" w:type="dxa"/>
            <w:vAlign w:val="bottom"/>
          </w:tcPr>
          <w:p>
            <w:pPr>
              <w:spacing w:after="0"/>
              <w:rPr>
                <w:sz w:val="19"/>
                <w:szCs w:val="19"/>
                <w:color w:val="auto"/>
              </w:rPr>
            </w:pPr>
          </w:p>
        </w:tc>
        <w:tc>
          <w:tcPr>
            <w:tcW w:w="1060" w:type="dxa"/>
            <w:vAlign w:val="bottom"/>
          </w:tcPr>
          <w:p>
            <w:pPr>
              <w:jc w:val="center"/>
              <w:ind w:right="1"/>
              <w:spacing w:after="0"/>
              <w:rPr>
                <w:sz w:val="20"/>
                <w:szCs w:val="20"/>
                <w:color w:val="auto"/>
              </w:rPr>
            </w:pPr>
            <w:r>
              <w:rPr>
                <w:rFonts w:ascii="Arial" w:cs="Arial" w:eastAsia="Arial" w:hAnsi="Arial"/>
                <w:sz w:val="20"/>
                <w:szCs w:val="20"/>
                <w:color w:val="auto"/>
                <w:w w:val="92"/>
              </w:rPr>
              <w:t>Marketable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20"/>
                <w:szCs w:val="20"/>
                <w:color w:val="auto"/>
                <w:w w:val="88"/>
              </w:rPr>
              <w:t>SERP</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900" w:type="dxa"/>
            <w:vAlign w:val="bottom"/>
            <w:gridSpan w:val="2"/>
            <w:vMerge w:val="restart"/>
          </w:tcPr>
          <w:p>
            <w:pPr>
              <w:spacing w:after="0"/>
              <w:rPr>
                <w:sz w:val="20"/>
                <w:szCs w:val="20"/>
                <w:color w:val="auto"/>
              </w:rPr>
            </w:pPr>
            <w:r>
              <w:rPr>
                <w:rFonts w:ascii="Arial" w:cs="Arial" w:eastAsia="Arial" w:hAnsi="Arial"/>
                <w:sz w:val="20"/>
                <w:szCs w:val="20"/>
                <w:color w:val="auto"/>
              </w:rPr>
              <w:t>Balance at January 1, 2023</w:t>
            </w:r>
          </w:p>
        </w:tc>
        <w:tc>
          <w:tcPr>
            <w:tcW w:w="12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20"/>
                <w:szCs w:val="20"/>
                <w:color w:val="auto"/>
                <w:w w:val="91"/>
              </w:rPr>
              <w:t>Adjustment</w:t>
            </w:r>
          </w:p>
        </w:tc>
        <w:tc>
          <w:tcPr>
            <w:tcW w:w="1340" w:type="dxa"/>
            <w:vAlign w:val="bottom"/>
            <w:gridSpan w:val="3"/>
          </w:tcPr>
          <w:p>
            <w:pPr>
              <w:jc w:val="center"/>
              <w:ind w:right="180"/>
              <w:spacing w:after="0"/>
              <w:rPr>
                <w:sz w:val="20"/>
                <w:szCs w:val="20"/>
                <w:color w:val="auto"/>
              </w:rPr>
            </w:pPr>
            <w:r>
              <w:rPr>
                <w:rFonts w:ascii="Arial" w:cs="Arial" w:eastAsia="Arial" w:hAnsi="Arial"/>
                <w:sz w:val="20"/>
                <w:szCs w:val="20"/>
                <w:color w:val="auto"/>
                <w:w w:val="93"/>
              </w:rPr>
              <w:t>Flow Hedge</w:t>
            </w:r>
          </w:p>
        </w:tc>
        <w:tc>
          <w:tcPr>
            <w:tcW w:w="100" w:type="dxa"/>
            <w:vAlign w:val="bottom"/>
          </w:tcPr>
          <w:p>
            <w:pPr>
              <w:spacing w:after="0"/>
              <w:rPr>
                <w:sz w:val="22"/>
                <w:szCs w:val="22"/>
                <w:color w:val="auto"/>
              </w:rPr>
            </w:pPr>
          </w:p>
        </w:tc>
        <w:tc>
          <w:tcPr>
            <w:tcW w:w="1060" w:type="dxa"/>
            <w:vAlign w:val="bottom"/>
          </w:tcPr>
          <w:p>
            <w:pPr>
              <w:jc w:val="center"/>
              <w:ind w:right="21"/>
              <w:spacing w:after="0"/>
              <w:rPr>
                <w:sz w:val="20"/>
                <w:szCs w:val="20"/>
                <w:color w:val="auto"/>
              </w:rPr>
            </w:pPr>
            <w:r>
              <w:rPr>
                <w:rFonts w:ascii="Arial" w:cs="Arial" w:eastAsia="Arial" w:hAnsi="Arial"/>
                <w:sz w:val="20"/>
                <w:szCs w:val="20"/>
                <w:color w:val="auto"/>
                <w:w w:val="88"/>
              </w:rPr>
              <w:t>Securities</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20"/>
                <w:szCs w:val="20"/>
                <w:color w:val="auto"/>
              </w:rPr>
              <w:t>Liability</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59"/>
        </w:trPr>
        <w:tc>
          <w:tcPr>
            <w:tcW w:w="2900" w:type="dxa"/>
            <w:vAlign w:val="bottom"/>
            <w:gridSpan w:val="2"/>
            <w:vMerge w:val="continue"/>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(23,107)</w:t>
            </w:r>
          </w:p>
        </w:tc>
        <w:tc>
          <w:tcPr>
            <w:tcW w:w="16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5,539</w:t>
            </w:r>
          </w:p>
        </w:tc>
        <w:tc>
          <w:tcPr>
            <w:tcW w:w="18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16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1,004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(16,546)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Other comprehensive income</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(loss) before reclassifications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7,221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(1,579)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rPr>
              <w:t>(542)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5,101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Amounts reclassified from</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00" w:type="dxa"/>
            <w:vAlign w:val="bottom"/>
            <w:gridSpan w:val="2"/>
          </w:tcPr>
          <w:p>
            <w:pPr>
              <w:ind w:left="180"/>
              <w:spacing w:after="0" w:line="227" w:lineRule="exact"/>
              <w:rPr>
                <w:sz w:val="20"/>
                <w:szCs w:val="20"/>
                <w:color w:val="auto"/>
              </w:rPr>
            </w:pPr>
            <w:r>
              <w:rPr>
                <w:rFonts w:ascii="Arial" w:cs="Arial" w:eastAsia="Arial" w:hAnsi="Arial"/>
                <w:sz w:val="20"/>
                <w:szCs w:val="20"/>
                <w:color w:val="auto"/>
              </w:rPr>
              <w:t>accumulated other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comprehensive income (loss)</w:t>
            </w:r>
          </w:p>
        </w:tc>
        <w:tc>
          <w:tcPr>
            <w:tcW w:w="1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(537)</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4"/>
          </w:tcPr>
          <w:p>
            <w:pPr>
              <w:jc w:val="right"/>
              <w:ind w:right="141"/>
              <w:spacing w:after="0"/>
              <w:rPr>
                <w:sz w:val="20"/>
                <w:szCs w:val="20"/>
                <w:color w:val="auto"/>
              </w:rPr>
            </w:pPr>
            <w:r>
              <w:rPr>
                <w:rFonts w:ascii="Arial" w:cs="Arial" w:eastAsia="Arial" w:hAnsi="Arial"/>
                <w:sz w:val="20"/>
                <w:szCs w:val="20"/>
                <w:color w:val="auto"/>
              </w:rPr>
              <w:t>(55)(a)</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(592)</w:t>
            </w:r>
          </w:p>
        </w:tc>
        <w:tc>
          <w:tcPr>
            <w:tcW w:w="0" w:type="dxa"/>
            <w:vAlign w:val="bottom"/>
          </w:tcPr>
          <w:p>
            <w:pPr>
              <w:spacing w:after="0"/>
              <w:rPr>
                <w:sz w:val="1"/>
                <w:szCs w:val="1"/>
                <w:color w:val="auto"/>
              </w:rPr>
            </w:pPr>
          </w:p>
        </w:tc>
      </w:tr>
      <w:tr>
        <w:trPr>
          <w:trHeight w:val="206"/>
        </w:trPr>
        <w:tc>
          <w:tcPr>
            <w:tcW w:w="2900" w:type="dxa"/>
            <w:vAlign w:val="bottom"/>
            <w:gridSpan w:val="2"/>
          </w:tcPr>
          <w:p>
            <w:pPr>
              <w:ind w:left="180"/>
              <w:spacing w:after="0" w:line="206" w:lineRule="exact"/>
              <w:rPr>
                <w:sz w:val="20"/>
                <w:szCs w:val="20"/>
                <w:color w:val="auto"/>
              </w:rPr>
            </w:pPr>
            <w:r>
              <w:rPr>
                <w:rFonts w:ascii="Arial" w:cs="Arial" w:eastAsia="Arial" w:hAnsi="Arial"/>
                <w:sz w:val="20"/>
                <w:szCs w:val="20"/>
                <w:color w:val="auto"/>
              </w:rPr>
              <w:t>Net current period other</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comprehensive income (loss)</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6,684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(1,579)</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rPr>
              <w:t>(597)</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4,509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900" w:type="dxa"/>
            <w:vAlign w:val="bottom"/>
            <w:gridSpan w:val="2"/>
          </w:tcPr>
          <w:p>
            <w:pPr>
              <w:spacing w:after="0"/>
              <w:rPr>
                <w:sz w:val="20"/>
                <w:szCs w:val="20"/>
                <w:color w:val="auto"/>
              </w:rPr>
            </w:pPr>
            <w:r>
              <w:rPr>
                <w:rFonts w:ascii="Arial" w:cs="Arial" w:eastAsia="Arial" w:hAnsi="Arial"/>
                <w:sz w:val="20"/>
                <w:szCs w:val="20"/>
                <w:color w:val="auto"/>
              </w:rPr>
              <w:t>Balance at December 31, 2023</w:t>
            </w:r>
          </w:p>
        </w:tc>
        <w:tc>
          <w:tcPr>
            <w:tcW w:w="12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(16,423)</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3,960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407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(12,037)</w:t>
            </w:r>
          </w:p>
        </w:tc>
        <w:tc>
          <w:tcPr>
            <w:tcW w:w="0" w:type="dxa"/>
            <w:vAlign w:val="bottom"/>
          </w:tcPr>
          <w:p>
            <w:pPr>
              <w:spacing w:after="0"/>
              <w:rPr>
                <w:sz w:val="1"/>
                <w:szCs w:val="1"/>
                <w:color w:val="auto"/>
              </w:rPr>
            </w:pPr>
          </w:p>
        </w:tc>
      </w:tr>
      <w:tr>
        <w:trPr>
          <w:trHeight w:val="444"/>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Other comprehensive income</w:t>
            </w: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(loss) before reclassifications</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(5,077)</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(1,231)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(4,662)</w:t>
            </w:r>
          </w:p>
        </w:tc>
        <w:tc>
          <w:tcPr>
            <w:tcW w:w="0" w:type="dxa"/>
            <w:vAlign w:val="bottom"/>
          </w:tcPr>
          <w:p>
            <w:pPr>
              <w:spacing w:after="0"/>
              <w:rPr>
                <w:sz w:val="1"/>
                <w:szCs w:val="1"/>
                <w:color w:val="auto"/>
              </w:rPr>
            </w:pPr>
          </w:p>
        </w:tc>
      </w:tr>
      <w:tr>
        <w:trPr>
          <w:trHeight w:val="229"/>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Amounts reclassified from</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accumulated other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comprehensive income (loss)</w:t>
            </w:r>
          </w:p>
        </w:tc>
        <w:tc>
          <w:tcPr>
            <w:tcW w:w="1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(466)</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4"/>
          </w:tcPr>
          <w:p>
            <w:pPr>
              <w:jc w:val="right"/>
              <w:ind w:right="141"/>
              <w:spacing w:after="0"/>
              <w:rPr>
                <w:sz w:val="20"/>
                <w:szCs w:val="20"/>
                <w:color w:val="auto"/>
              </w:rPr>
            </w:pPr>
            <w:r>
              <w:rPr>
                <w:rFonts w:ascii="Arial" w:cs="Arial" w:eastAsia="Arial" w:hAnsi="Arial"/>
                <w:sz w:val="20"/>
                <w:szCs w:val="20"/>
                <w:color w:val="auto"/>
              </w:rPr>
              <w:t>(62)(a)</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(528)</w:t>
            </w:r>
          </w:p>
        </w:tc>
        <w:tc>
          <w:tcPr>
            <w:tcW w:w="0" w:type="dxa"/>
            <w:vAlign w:val="bottom"/>
          </w:tcPr>
          <w:p>
            <w:pPr>
              <w:spacing w:after="0"/>
              <w:rPr>
                <w:sz w:val="1"/>
                <w:szCs w:val="1"/>
                <w:color w:val="auto"/>
              </w:rPr>
            </w:pPr>
          </w:p>
        </w:tc>
      </w:tr>
      <w:tr>
        <w:trPr>
          <w:trHeight w:val="206"/>
        </w:trPr>
        <w:tc>
          <w:tcPr>
            <w:tcW w:w="2900" w:type="dxa"/>
            <w:vAlign w:val="bottom"/>
            <w:gridSpan w:val="2"/>
          </w:tcPr>
          <w:p>
            <w:pPr>
              <w:ind w:left="180"/>
              <w:spacing w:after="0" w:line="206" w:lineRule="exact"/>
              <w:rPr>
                <w:sz w:val="20"/>
                <w:szCs w:val="20"/>
                <w:color w:val="auto"/>
              </w:rPr>
            </w:pPr>
            <w:r>
              <w:rPr>
                <w:rFonts w:ascii="Arial" w:cs="Arial" w:eastAsia="Arial" w:hAnsi="Arial"/>
                <w:sz w:val="20"/>
                <w:szCs w:val="20"/>
                <w:color w:val="auto"/>
              </w:rPr>
              <w:t>Net current period other</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comprehensive income (loss)</w:t>
            </w:r>
          </w:p>
        </w:tc>
        <w:tc>
          <w:tcPr>
            <w:tcW w:w="1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(5,543)</w:t>
            </w: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(1,231)</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1,582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(5,190)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900" w:type="dxa"/>
            <w:vAlign w:val="bottom"/>
            <w:gridSpan w:val="2"/>
          </w:tcPr>
          <w:p>
            <w:pPr>
              <w:spacing w:after="0"/>
              <w:rPr>
                <w:sz w:val="20"/>
                <w:szCs w:val="20"/>
                <w:color w:val="auto"/>
              </w:rPr>
            </w:pPr>
            <w:r>
              <w:rPr>
                <w:rFonts w:ascii="Arial" w:cs="Arial" w:eastAsia="Arial" w:hAnsi="Arial"/>
                <w:sz w:val="20"/>
                <w:szCs w:val="20"/>
                <w:color w:val="auto"/>
              </w:rPr>
              <w:t>Balance at December 31, 2024</w:t>
            </w:r>
          </w:p>
        </w:tc>
        <w:tc>
          <w:tcPr>
            <w:tcW w:w="12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(21,966)</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2,729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1,989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(17,227)</w:t>
            </w:r>
          </w:p>
        </w:tc>
        <w:tc>
          <w:tcPr>
            <w:tcW w:w="0" w:type="dxa"/>
            <w:vAlign w:val="bottom"/>
          </w:tcPr>
          <w:p>
            <w:pPr>
              <w:spacing w:after="0"/>
              <w:rPr>
                <w:sz w:val="1"/>
                <w:szCs w:val="1"/>
                <w:color w:val="auto"/>
              </w:rPr>
            </w:pPr>
          </w:p>
        </w:tc>
      </w:tr>
      <w:tr>
        <w:trPr>
          <w:trHeight w:val="444"/>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Other comprehensive income</w:t>
            </w: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(loss) before reclassifications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2,497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(1,823)</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rPr>
              <w:t>(710)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29"/>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Amounts reclassified from</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00" w:type="dxa"/>
            <w:vAlign w:val="bottom"/>
            <w:gridSpan w:val="2"/>
          </w:tcPr>
          <w:p>
            <w:pPr>
              <w:ind w:left="180"/>
              <w:spacing w:after="0" w:line="227" w:lineRule="exact"/>
              <w:rPr>
                <w:sz w:val="20"/>
                <w:szCs w:val="20"/>
                <w:color w:val="auto"/>
              </w:rPr>
            </w:pPr>
            <w:r>
              <w:rPr>
                <w:rFonts w:ascii="Arial" w:cs="Arial" w:eastAsia="Arial" w:hAnsi="Arial"/>
                <w:sz w:val="20"/>
                <w:szCs w:val="20"/>
                <w:color w:val="auto"/>
              </w:rPr>
              <w:t>accumulated other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comprehensive income (loss)</w:t>
            </w:r>
          </w:p>
        </w:tc>
        <w:tc>
          <w:tcPr>
            <w:tcW w:w="1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(21)</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110</w:t>
            </w:r>
          </w:p>
        </w:tc>
        <w:tc>
          <w:tcPr>
            <w:tcW w:w="80" w:type="dxa"/>
            <w:vAlign w:val="bottom"/>
          </w:tcPr>
          <w:p>
            <w:pPr>
              <w:spacing w:after="0"/>
              <w:rPr>
                <w:sz w:val="22"/>
                <w:szCs w:val="22"/>
                <w:color w:val="auto"/>
              </w:rPr>
            </w:pPr>
          </w:p>
        </w:tc>
        <w:tc>
          <w:tcPr>
            <w:tcW w:w="460" w:type="dxa"/>
            <w:vAlign w:val="bottom"/>
            <w:gridSpan w:val="2"/>
          </w:tcPr>
          <w:p>
            <w:pPr>
              <w:jc w:val="right"/>
              <w:ind w:right="141"/>
              <w:spacing w:after="0"/>
              <w:rPr>
                <w:sz w:val="20"/>
                <w:szCs w:val="20"/>
                <w:color w:val="auto"/>
              </w:rPr>
            </w:pPr>
            <w:r>
              <w:rPr>
                <w:rFonts w:ascii="Arial" w:cs="Arial" w:eastAsia="Arial" w:hAnsi="Arial"/>
                <w:sz w:val="20"/>
                <w:szCs w:val="20"/>
                <w:color w:val="auto"/>
                <w:w w:val="81"/>
              </w:rPr>
              <w:t>(a)</w:t>
            </w:r>
          </w:p>
        </w:tc>
        <w:tc>
          <w:tcPr>
            <w:tcW w:w="1020" w:type="dxa"/>
            <w:vAlign w:val="bottom"/>
          </w:tcPr>
          <w:p>
            <w:pPr>
              <w:jc w:val="right"/>
              <w:spacing w:after="0"/>
              <w:rPr>
                <w:sz w:val="20"/>
                <w:szCs w:val="20"/>
                <w:color w:val="auto"/>
              </w:rPr>
            </w:pPr>
            <w:r>
              <w:rPr>
                <w:rFonts w:ascii="Arial" w:cs="Arial" w:eastAsia="Arial" w:hAnsi="Arial"/>
                <w:sz w:val="20"/>
                <w:szCs w:val="20"/>
                <w:color w:val="auto"/>
              </w:rPr>
              <w:t>89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900" w:type="dxa"/>
            <w:vAlign w:val="bottom"/>
            <w:gridSpan w:val="2"/>
          </w:tcPr>
          <w:p>
            <w:pPr>
              <w:ind w:left="180"/>
              <w:spacing w:after="0" w:line="206" w:lineRule="exact"/>
              <w:rPr>
                <w:sz w:val="20"/>
                <w:szCs w:val="20"/>
                <w:color w:val="auto"/>
              </w:rPr>
            </w:pPr>
            <w:r>
              <w:rPr>
                <w:rFonts w:ascii="Arial" w:cs="Arial" w:eastAsia="Arial" w:hAnsi="Arial"/>
                <w:sz w:val="20"/>
                <w:szCs w:val="20"/>
                <w:color w:val="auto"/>
              </w:rPr>
              <w:t>Net current period other</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900" w:type="dxa"/>
            <w:vAlign w:val="bottom"/>
            <w:gridSpan w:val="2"/>
          </w:tcPr>
          <w:p>
            <w:pPr>
              <w:ind w:left="180"/>
              <w:spacing w:after="0"/>
              <w:rPr>
                <w:sz w:val="20"/>
                <w:szCs w:val="20"/>
                <w:color w:val="auto"/>
              </w:rPr>
            </w:pPr>
            <w:r>
              <w:rPr>
                <w:rFonts w:ascii="Arial" w:cs="Arial" w:eastAsia="Arial" w:hAnsi="Arial"/>
                <w:sz w:val="20"/>
                <w:szCs w:val="20"/>
                <w:color w:val="auto"/>
              </w:rPr>
              <w:t>comprehensive income (loss)</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2,476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(1,823)</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rPr>
              <w:t>(600)</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900" w:type="dxa"/>
            <w:vAlign w:val="bottom"/>
            <w:gridSpan w:val="2"/>
          </w:tcPr>
          <w:p>
            <w:pPr>
              <w:spacing w:after="0"/>
              <w:rPr>
                <w:sz w:val="20"/>
                <w:szCs w:val="20"/>
                <w:color w:val="auto"/>
              </w:rPr>
            </w:pPr>
            <w:r>
              <w:rPr>
                <w:rFonts w:ascii="Arial" w:cs="Arial" w:eastAsia="Arial" w:hAnsi="Arial"/>
                <w:sz w:val="20"/>
                <w:szCs w:val="20"/>
                <w:color w:val="auto"/>
              </w:rPr>
              <w:t>Balance at December 31, 2025</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(19,490)</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906</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21</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1,389</w:t>
            </w:r>
          </w:p>
        </w:tc>
        <w:tc>
          <w:tcPr>
            <w:tcW w:w="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(17,174)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-39370</wp:posOffset>
            </wp:positionV>
            <wp:extent cx="4315460" cy="52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5460" cy="52705"/>
                    </a:xfrm>
                    <a:prstGeom prst="rect">
                      <a:avLst/>
                    </a:prstGeom>
                    <a:noFill/>
                  </pic:spPr>
                </pic:pic>
              </a:graphicData>
            </a:graphic>
          </wp:anchor>
        </w:drawing>
      </w:r>
    </w:p>
    <w:p>
      <w:pPr>
        <w:spacing w:after="0" w:line="196" w:lineRule="exact"/>
        <w:rPr>
          <w:sz w:val="20"/>
          <w:szCs w:val="20"/>
          <w:color w:val="auto"/>
        </w:rPr>
      </w:pPr>
    </w:p>
    <w:p>
      <w:pPr>
        <w:jc w:val="both"/>
        <w:ind w:left="1080" w:hanging="534"/>
        <w:spacing w:after="0" w:line="255" w:lineRule="auto"/>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This reclassification relates to the amortization of prior service costs and gains/losses associated with the Company's SERP plan. This expense is reflected in Other income (expense), net on the accompanying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2240" w:h="15840" w:orient="portrait"/>
          <w:cols w:equalWidth="0" w:num="1">
            <w:col w:w="10800"/>
          </w:cols>
          <w:pgMar w:left="720" w:top="555" w:right="720" w:bottom="0" w:gutter="0" w:footer="0" w:header="0"/>
        </w:sectPr>
      </w:pPr>
    </w:p>
    <w:bookmarkStart w:id="100" w:name="page101"/>
    <w:bookmarkEnd w:id="100"/>
    <w:p>
      <w:pPr>
        <w:jc w:val="center"/>
        <w:ind w:right="1"/>
        <w:spacing w:after="0" w:line="255" w:lineRule="auto"/>
        <w:rPr>
          <w:sz w:val="20"/>
          <w:szCs w:val="20"/>
          <w:color w:val="auto"/>
        </w:rPr>
      </w:pPr>
      <w:r>
        <w:rPr>
          <w:rFonts w:ascii="Arial" w:cs="Arial" w:eastAsia="Arial" w:hAnsi="Arial"/>
          <w:sz w:val="20"/>
          <w:szCs w:val="20"/>
          <w:color w:val="auto"/>
        </w:rPr>
        <w:t>BEL FUSE INC. AND SUBSIDIARIES SCHEDULE II - VALUATION AND QUALIFYING ACCOUNTS (Amounts in thousands)</w:t>
      </w:r>
    </w:p>
    <w:p>
      <w:pPr>
        <w:spacing w:after="0" w:line="182" w:lineRule="exact"/>
        <w:rPr>
          <w:sz w:val="20"/>
          <w:szCs w:val="20"/>
          <w:color w:val="auto"/>
        </w:rPr>
      </w:pPr>
    </w:p>
    <w:tbl>
      <w:tblPr>
        <w:tblLayout w:type="fixed"/>
        <w:tblInd w:w="19" w:type="dxa"/>
        <w:tblCellMar>
          <w:top w:w="0" w:type="dxa"/>
          <w:left w:w="0" w:type="dxa"/>
          <w:bottom w:w="0" w:type="dxa"/>
          <w:right w:w="0" w:type="dxa"/>
        </w:tblCellMar>
      </w:tblPr>
      <w:tr>
        <w:trPr>
          <w:trHeight w:val="261"/>
        </w:trPr>
        <w:tc>
          <w:tcPr>
            <w:tcW w:w="4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3"/>
            <w:vMerge w:val="restart"/>
          </w:tcPr>
          <w:p>
            <w:pPr>
              <w:jc w:val="center"/>
              <w:ind w:right="220"/>
              <w:spacing w:after="0"/>
              <w:rPr>
                <w:sz w:val="20"/>
                <w:szCs w:val="20"/>
                <w:color w:val="auto"/>
              </w:rPr>
            </w:pPr>
            <w:r>
              <w:rPr>
                <w:rFonts w:ascii="Arial" w:cs="Arial" w:eastAsia="Arial" w:hAnsi="Arial"/>
                <w:sz w:val="20"/>
                <w:szCs w:val="20"/>
                <w:b w:val="1"/>
                <w:bCs w:val="1"/>
                <w:color w:val="auto"/>
                <w:w w:val="87"/>
              </w:rPr>
              <w:t>Balance at</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640"/>
              <w:spacing w:after="0"/>
              <w:rPr>
                <w:sz w:val="20"/>
                <w:szCs w:val="20"/>
                <w:color w:val="auto"/>
              </w:rPr>
            </w:pPr>
            <w:r>
              <w:rPr>
                <w:rFonts w:ascii="Arial" w:cs="Arial" w:eastAsia="Arial" w:hAnsi="Arial"/>
                <w:sz w:val="20"/>
                <w:szCs w:val="20"/>
                <w:b w:val="1"/>
                <w:bCs w:val="1"/>
                <w:color w:val="auto"/>
                <w:w w:val="88"/>
              </w:rPr>
              <w:t>Additions</w:t>
            </w:r>
          </w:p>
        </w:tc>
        <w:tc>
          <w:tcPr>
            <w:tcW w:w="7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ind w:left="1"/>
              <w:spacing w:after="0"/>
              <w:rPr>
                <w:sz w:val="20"/>
                <w:szCs w:val="20"/>
                <w:color w:val="auto"/>
              </w:rPr>
            </w:pPr>
            <w:r>
              <w:rPr>
                <w:rFonts w:ascii="Arial" w:cs="Arial" w:eastAsia="Arial" w:hAnsi="Arial"/>
                <w:sz w:val="20"/>
                <w:szCs w:val="20"/>
                <w:b w:val="1"/>
                <w:bCs w:val="1"/>
                <w:color w:val="auto"/>
                <w:w w:val="87"/>
              </w:rPr>
              <w:t>Balance at</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280" w:type="dxa"/>
            <w:vAlign w:val="bottom"/>
            <w:gridSpan w:val="3"/>
          </w:tcPr>
          <w:p>
            <w:pPr>
              <w:jc w:val="center"/>
              <w:ind w:right="200"/>
              <w:spacing w:after="0" w:line="208" w:lineRule="exact"/>
              <w:rPr>
                <w:sz w:val="20"/>
                <w:szCs w:val="20"/>
                <w:color w:val="auto"/>
              </w:rPr>
            </w:pPr>
            <w:r>
              <w:rPr>
                <w:rFonts w:ascii="Arial" w:cs="Arial" w:eastAsia="Arial" w:hAnsi="Arial"/>
                <w:sz w:val="20"/>
                <w:szCs w:val="20"/>
                <w:b w:val="1"/>
                <w:bCs w:val="1"/>
                <w:color w:val="auto"/>
                <w:w w:val="90"/>
              </w:rPr>
              <w:t>Charged to</w:t>
            </w:r>
          </w:p>
        </w:tc>
        <w:tc>
          <w:tcPr>
            <w:tcW w:w="1080" w:type="dxa"/>
            <w:vAlign w:val="bottom"/>
            <w:gridSpan w:val="2"/>
          </w:tcPr>
          <w:p>
            <w:pPr>
              <w:ind w:left="60"/>
              <w:spacing w:after="0" w:line="208" w:lineRule="exact"/>
              <w:rPr>
                <w:sz w:val="20"/>
                <w:szCs w:val="20"/>
                <w:color w:val="auto"/>
              </w:rPr>
            </w:pPr>
            <w:r>
              <w:rPr>
                <w:rFonts w:ascii="Arial" w:cs="Arial" w:eastAsia="Arial" w:hAnsi="Arial"/>
                <w:sz w:val="20"/>
                <w:szCs w:val="20"/>
                <w:b w:val="1"/>
                <w:bCs w:val="1"/>
                <w:color w:val="auto"/>
                <w:w w:val="94"/>
              </w:rPr>
              <w:t>Charged to</w:t>
            </w:r>
          </w:p>
        </w:tc>
        <w:tc>
          <w:tcPr>
            <w:tcW w:w="220" w:type="dxa"/>
            <w:vAlign w:val="bottom"/>
          </w:tcPr>
          <w:p>
            <w:pPr>
              <w:spacing w:after="0"/>
              <w:rPr>
                <w:sz w:val="18"/>
                <w:szCs w:val="18"/>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20"/>
                <w:szCs w:val="20"/>
                <w:b w:val="1"/>
                <w:bCs w:val="1"/>
                <w:color w:val="auto"/>
                <w:w w:val="93"/>
              </w:rPr>
              <w:t>Deductions</w:t>
            </w: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20"/>
                <w:szCs w:val="20"/>
                <w:b w:val="1"/>
                <w:bCs w:val="1"/>
                <w:color w:val="auto"/>
              </w:rPr>
              <w:t>beginning of</w:t>
            </w:r>
          </w:p>
        </w:tc>
        <w:tc>
          <w:tcPr>
            <w:tcW w:w="12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3"/>
              </w:rPr>
              <w:t>costs and</w:t>
            </w:r>
          </w:p>
        </w:tc>
        <w:tc>
          <w:tcPr>
            <w:tcW w:w="32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w w:val="87"/>
              </w:rPr>
              <w:t>other</w:t>
            </w:r>
          </w:p>
        </w:tc>
        <w:tc>
          <w:tcPr>
            <w:tcW w:w="120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center"/>
              <w:ind w:right="41"/>
              <w:spacing w:after="0"/>
              <w:rPr>
                <w:sz w:val="20"/>
                <w:szCs w:val="20"/>
                <w:color w:val="auto"/>
              </w:rPr>
            </w:pPr>
            <w:r>
              <w:rPr>
                <w:rFonts w:ascii="Arial" w:cs="Arial" w:eastAsia="Arial" w:hAnsi="Arial"/>
                <w:sz w:val="20"/>
                <w:szCs w:val="20"/>
                <w:b w:val="1"/>
                <w:bCs w:val="1"/>
                <w:color w:val="auto"/>
                <w:w w:val="86"/>
              </w:rPr>
              <w:t>end of</w:t>
            </w:r>
          </w:p>
        </w:tc>
        <w:tc>
          <w:tcPr>
            <w:tcW w:w="0" w:type="dxa"/>
            <w:vAlign w:val="bottom"/>
          </w:tcPr>
          <w:p>
            <w:pPr>
              <w:spacing w:after="0"/>
              <w:rPr>
                <w:sz w:val="1"/>
                <w:szCs w:val="1"/>
                <w:color w:val="auto"/>
              </w:rPr>
            </w:pPr>
          </w:p>
        </w:tc>
      </w:tr>
      <w:tr>
        <w:trPr>
          <w:trHeight w:val="256"/>
        </w:trPr>
        <w:tc>
          <w:tcPr>
            <w:tcW w:w="4340" w:type="dxa"/>
            <w:vAlign w:val="bottom"/>
          </w:tcPr>
          <w:p>
            <w:pPr>
              <w:ind w:left="1680"/>
              <w:spacing w:after="0"/>
              <w:rPr>
                <w:sz w:val="20"/>
                <w:szCs w:val="20"/>
                <w:color w:val="auto"/>
              </w:rPr>
            </w:pPr>
            <w:r>
              <w:rPr>
                <w:rFonts w:ascii="Arial" w:cs="Arial" w:eastAsia="Arial" w:hAnsi="Arial"/>
                <w:sz w:val="20"/>
                <w:szCs w:val="20"/>
                <w:b w:val="1"/>
                <w:bCs w:val="1"/>
                <w:color w:val="auto"/>
              </w:rPr>
              <w:t>Description</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91"/>
              </w:rPr>
              <w:t>period</w:t>
            </w:r>
          </w:p>
        </w:tc>
        <w:tc>
          <w:tcPr>
            <w:tcW w:w="120" w:type="dxa"/>
            <w:vAlign w:val="bottom"/>
          </w:tcPr>
          <w:p>
            <w:pPr>
              <w:spacing w:after="0"/>
              <w:rPr>
                <w:sz w:val="22"/>
                <w:szCs w:val="2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1"/>
              </w:rPr>
              <w:t>expenses</w:t>
            </w:r>
          </w:p>
        </w:tc>
        <w:tc>
          <w:tcPr>
            <w:tcW w:w="1300" w:type="dxa"/>
            <w:vAlign w:val="bottom"/>
            <w:gridSpan w:val="3"/>
          </w:tcPr>
          <w:p>
            <w:pPr>
              <w:ind w:left="20"/>
              <w:spacing w:after="0"/>
              <w:rPr>
                <w:sz w:val="20"/>
                <w:szCs w:val="20"/>
                <w:color w:val="auto"/>
              </w:rPr>
            </w:pPr>
            <w:r>
              <w:rPr>
                <w:rFonts w:ascii="Arial" w:cs="Arial" w:eastAsia="Arial" w:hAnsi="Arial"/>
                <w:sz w:val="20"/>
                <w:szCs w:val="20"/>
                <w:b w:val="1"/>
                <w:bCs w:val="1"/>
                <w:color w:val="auto"/>
              </w:rPr>
              <w:t>accounts (b)</w:t>
            </w:r>
          </w:p>
        </w:tc>
        <w:tc>
          <w:tcPr>
            <w:tcW w:w="260" w:type="dxa"/>
            <w:vAlign w:val="bottom"/>
          </w:tcPr>
          <w:p>
            <w:pPr>
              <w:spacing w:after="0"/>
              <w:rPr>
                <w:sz w:val="22"/>
                <w:szCs w:val="22"/>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(a)</w:t>
            </w:r>
          </w:p>
        </w:tc>
        <w:tc>
          <w:tcPr>
            <w:tcW w:w="240" w:type="dxa"/>
            <w:vAlign w:val="bottom"/>
          </w:tcPr>
          <w:p>
            <w:pPr>
              <w:spacing w:after="0"/>
              <w:rPr>
                <w:sz w:val="22"/>
                <w:szCs w:val="22"/>
                <w:color w:val="auto"/>
              </w:rPr>
            </w:pPr>
          </w:p>
        </w:tc>
        <w:tc>
          <w:tcPr>
            <w:tcW w:w="940" w:type="dxa"/>
            <w:vAlign w:val="bottom"/>
          </w:tcPr>
          <w:p>
            <w:pPr>
              <w:jc w:val="center"/>
              <w:ind w:right="41"/>
              <w:spacing w:after="0"/>
              <w:rPr>
                <w:sz w:val="20"/>
                <w:szCs w:val="20"/>
                <w:color w:val="auto"/>
              </w:rPr>
            </w:pPr>
            <w:r>
              <w:rPr>
                <w:rFonts w:ascii="Arial" w:cs="Arial" w:eastAsia="Arial" w:hAnsi="Arial"/>
                <w:sz w:val="20"/>
                <w:szCs w:val="20"/>
                <w:b w:val="1"/>
                <w:bCs w:val="1"/>
                <w:color w:val="auto"/>
                <w:w w:val="91"/>
              </w:rPr>
              <w:t>period</w:t>
            </w:r>
          </w:p>
        </w:tc>
        <w:tc>
          <w:tcPr>
            <w:tcW w:w="0" w:type="dxa"/>
            <w:vAlign w:val="bottom"/>
          </w:tcPr>
          <w:p>
            <w:pPr>
              <w:spacing w:after="0"/>
              <w:rPr>
                <w:sz w:val="1"/>
                <w:szCs w:val="1"/>
                <w:color w:val="auto"/>
              </w:rPr>
            </w:pPr>
          </w:p>
        </w:tc>
      </w:tr>
      <w:tr>
        <w:trPr>
          <w:trHeight w:val="454"/>
        </w:trPr>
        <w:tc>
          <w:tcPr>
            <w:tcW w:w="43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Year Ended December 31, 2025</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tcPr>
          <w:p>
            <w:pPr>
              <w:ind w:left="180"/>
              <w:spacing w:after="0"/>
              <w:rPr>
                <w:sz w:val="20"/>
                <w:szCs w:val="20"/>
                <w:color w:val="auto"/>
              </w:rPr>
            </w:pPr>
            <w:r>
              <w:rPr>
                <w:rFonts w:ascii="Arial" w:cs="Arial" w:eastAsia="Arial" w:hAnsi="Arial"/>
                <w:sz w:val="20"/>
                <w:szCs w:val="20"/>
                <w:color w:val="auto"/>
              </w:rPr>
              <w:t>Allowance for doubtful accounts</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1,336</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20"/>
                <w:szCs w:val="20"/>
                <w:color w:val="auto"/>
              </w:rPr>
              <w:t>(615)</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(55)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671</w:t>
            </w:r>
          </w:p>
        </w:tc>
        <w:tc>
          <w:tcPr>
            <w:tcW w:w="0" w:type="dxa"/>
            <w:vAlign w:val="bottom"/>
          </w:tcPr>
          <w:p>
            <w:pPr>
              <w:spacing w:after="0"/>
              <w:rPr>
                <w:sz w:val="1"/>
                <w:szCs w:val="1"/>
                <w:color w:val="auto"/>
              </w:rPr>
            </w:pPr>
          </w:p>
        </w:tc>
      </w:tr>
      <w:tr>
        <w:trPr>
          <w:trHeight w:val="296"/>
        </w:trPr>
        <w:tc>
          <w:tcPr>
            <w:tcW w:w="4340" w:type="dxa"/>
            <w:vAlign w:val="bottom"/>
          </w:tcPr>
          <w:p>
            <w:pPr>
              <w:ind w:left="180"/>
              <w:spacing w:after="0"/>
              <w:rPr>
                <w:sz w:val="20"/>
                <w:szCs w:val="20"/>
                <w:color w:val="auto"/>
              </w:rPr>
            </w:pPr>
            <w:r>
              <w:rPr>
                <w:rFonts w:ascii="Arial" w:cs="Arial" w:eastAsia="Arial" w:hAnsi="Arial"/>
                <w:sz w:val="20"/>
                <w:szCs w:val="20"/>
                <w:color w:val="auto"/>
              </w:rPr>
              <w:t>Allowance for excess and obsolete inventory</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14,465</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5,825</w:t>
            </w:r>
          </w:p>
        </w:tc>
        <w:tc>
          <w:tcPr>
            <w:tcW w:w="2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3,243</w:t>
            </w:r>
          </w:p>
        </w:tc>
        <w:tc>
          <w:tcPr>
            <w:tcW w:w="22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(5,518)</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18,015</w:t>
            </w:r>
          </w:p>
        </w:tc>
        <w:tc>
          <w:tcPr>
            <w:tcW w:w="0" w:type="dxa"/>
            <w:vAlign w:val="bottom"/>
          </w:tcPr>
          <w:p>
            <w:pPr>
              <w:spacing w:after="0"/>
              <w:rPr>
                <w:sz w:val="1"/>
                <w:szCs w:val="1"/>
                <w:color w:val="auto"/>
              </w:rPr>
            </w:pPr>
          </w:p>
        </w:tc>
      </w:tr>
      <w:tr>
        <w:trPr>
          <w:trHeight w:val="294"/>
        </w:trPr>
        <w:tc>
          <w:tcPr>
            <w:tcW w:w="4340" w:type="dxa"/>
            <w:vAlign w:val="bottom"/>
          </w:tcPr>
          <w:p>
            <w:pPr>
              <w:ind w:left="180"/>
              <w:spacing w:after="0"/>
              <w:rPr>
                <w:sz w:val="20"/>
                <w:szCs w:val="20"/>
                <w:color w:val="auto"/>
              </w:rPr>
            </w:pPr>
            <w:r>
              <w:rPr>
                <w:rFonts w:ascii="Arial" w:cs="Arial" w:eastAsia="Arial" w:hAnsi="Arial"/>
                <w:sz w:val="20"/>
                <w:szCs w:val="20"/>
                <w:color w:val="auto"/>
              </w:rPr>
              <w:t>Deferred tax assets - valuation allowances</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1,844</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390</w:t>
            </w:r>
          </w:p>
        </w:tc>
        <w:tc>
          <w:tcPr>
            <w:tcW w:w="2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(177)</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2,057</w:t>
            </w:r>
          </w:p>
        </w:tc>
        <w:tc>
          <w:tcPr>
            <w:tcW w:w="0" w:type="dxa"/>
            <w:vAlign w:val="bottom"/>
          </w:tcPr>
          <w:p>
            <w:pPr>
              <w:spacing w:after="0"/>
              <w:rPr>
                <w:sz w:val="1"/>
                <w:szCs w:val="1"/>
                <w:color w:val="auto"/>
              </w:rPr>
            </w:pPr>
          </w:p>
        </w:tc>
      </w:tr>
      <w:tr>
        <w:trPr>
          <w:trHeight w:val="509"/>
        </w:trPr>
        <w:tc>
          <w:tcPr>
            <w:tcW w:w="4340" w:type="dxa"/>
            <w:vAlign w:val="bottom"/>
          </w:tcPr>
          <w:p>
            <w:pPr>
              <w:spacing w:after="0"/>
              <w:rPr>
                <w:sz w:val="20"/>
                <w:szCs w:val="20"/>
                <w:color w:val="auto"/>
              </w:rPr>
            </w:pPr>
            <w:r>
              <w:rPr>
                <w:rFonts w:ascii="Arial" w:cs="Arial" w:eastAsia="Arial" w:hAnsi="Arial"/>
                <w:sz w:val="20"/>
                <w:szCs w:val="20"/>
                <w:color w:val="auto"/>
              </w:rPr>
              <w:t>Year Ended December 31, 2024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tcPr>
          <w:p>
            <w:pPr>
              <w:ind w:left="180"/>
              <w:spacing w:after="0"/>
              <w:rPr>
                <w:sz w:val="20"/>
                <w:szCs w:val="20"/>
                <w:color w:val="auto"/>
              </w:rPr>
            </w:pPr>
            <w:r>
              <w:rPr>
                <w:rFonts w:ascii="Arial" w:cs="Arial" w:eastAsia="Arial" w:hAnsi="Arial"/>
                <w:sz w:val="20"/>
                <w:szCs w:val="20"/>
                <w:color w:val="auto"/>
              </w:rPr>
              <w:t>Allowance for doubtful accounts</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1,388</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20"/>
                <w:szCs w:val="20"/>
                <w:color w:val="auto"/>
              </w:rPr>
              <w:t>(54)</w:t>
            </w: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20"/>
                <w:szCs w:val="20"/>
                <w:color w:val="auto"/>
              </w:rPr>
              <w:t>(1)</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1,336</w:t>
            </w:r>
          </w:p>
        </w:tc>
        <w:tc>
          <w:tcPr>
            <w:tcW w:w="0" w:type="dxa"/>
            <w:vAlign w:val="bottom"/>
          </w:tcPr>
          <w:p>
            <w:pPr>
              <w:spacing w:after="0"/>
              <w:rPr>
                <w:sz w:val="1"/>
                <w:szCs w:val="1"/>
                <w:color w:val="auto"/>
              </w:rPr>
            </w:pPr>
          </w:p>
        </w:tc>
      </w:tr>
      <w:tr>
        <w:trPr>
          <w:trHeight w:val="296"/>
        </w:trPr>
        <w:tc>
          <w:tcPr>
            <w:tcW w:w="4340" w:type="dxa"/>
            <w:vAlign w:val="bottom"/>
          </w:tcPr>
          <w:p>
            <w:pPr>
              <w:ind w:left="180"/>
              <w:spacing w:after="0"/>
              <w:rPr>
                <w:sz w:val="20"/>
                <w:szCs w:val="20"/>
                <w:color w:val="auto"/>
              </w:rPr>
            </w:pPr>
            <w:r>
              <w:rPr>
                <w:rFonts w:ascii="Arial" w:cs="Arial" w:eastAsia="Arial" w:hAnsi="Arial"/>
                <w:sz w:val="20"/>
                <w:szCs w:val="20"/>
                <w:color w:val="auto"/>
              </w:rPr>
              <w:t>Allowance for excess and obsolete inventory</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13,655</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1,383</w:t>
            </w:r>
          </w:p>
        </w:tc>
        <w:tc>
          <w:tcPr>
            <w:tcW w:w="2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406</w:t>
            </w:r>
          </w:p>
        </w:tc>
        <w:tc>
          <w:tcPr>
            <w:tcW w:w="22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(979)</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14,465</w:t>
            </w:r>
          </w:p>
        </w:tc>
        <w:tc>
          <w:tcPr>
            <w:tcW w:w="0" w:type="dxa"/>
            <w:vAlign w:val="bottom"/>
          </w:tcPr>
          <w:p>
            <w:pPr>
              <w:spacing w:after="0"/>
              <w:rPr>
                <w:sz w:val="1"/>
                <w:szCs w:val="1"/>
                <w:color w:val="auto"/>
              </w:rPr>
            </w:pPr>
          </w:p>
        </w:tc>
      </w:tr>
      <w:tr>
        <w:trPr>
          <w:trHeight w:val="294"/>
        </w:trPr>
        <w:tc>
          <w:tcPr>
            <w:tcW w:w="4340" w:type="dxa"/>
            <w:vAlign w:val="bottom"/>
          </w:tcPr>
          <w:p>
            <w:pPr>
              <w:ind w:left="180"/>
              <w:spacing w:after="0"/>
              <w:rPr>
                <w:sz w:val="20"/>
                <w:szCs w:val="20"/>
                <w:color w:val="auto"/>
              </w:rPr>
            </w:pPr>
            <w:r>
              <w:rPr>
                <w:rFonts w:ascii="Arial" w:cs="Arial" w:eastAsia="Arial" w:hAnsi="Arial"/>
                <w:sz w:val="20"/>
                <w:szCs w:val="20"/>
                <w:color w:val="auto"/>
              </w:rPr>
              <w:t>Deferred tax assets - valuation allowances</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2,009</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811</w:t>
            </w:r>
          </w:p>
        </w:tc>
        <w:tc>
          <w:tcPr>
            <w:tcW w:w="2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(976)</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1,844</w:t>
            </w:r>
          </w:p>
        </w:tc>
        <w:tc>
          <w:tcPr>
            <w:tcW w:w="0" w:type="dxa"/>
            <w:vAlign w:val="bottom"/>
          </w:tcPr>
          <w:p>
            <w:pPr>
              <w:spacing w:after="0"/>
              <w:rPr>
                <w:sz w:val="1"/>
                <w:szCs w:val="1"/>
                <w:color w:val="auto"/>
              </w:rPr>
            </w:pPr>
          </w:p>
        </w:tc>
      </w:tr>
      <w:tr>
        <w:trPr>
          <w:trHeight w:val="509"/>
        </w:trPr>
        <w:tc>
          <w:tcPr>
            <w:tcW w:w="4340" w:type="dxa"/>
            <w:vAlign w:val="bottom"/>
          </w:tcPr>
          <w:p>
            <w:pPr>
              <w:spacing w:after="0"/>
              <w:rPr>
                <w:sz w:val="20"/>
                <w:szCs w:val="20"/>
                <w:color w:val="auto"/>
              </w:rPr>
            </w:pPr>
            <w:r>
              <w:rPr>
                <w:rFonts w:ascii="Arial" w:cs="Arial" w:eastAsia="Arial" w:hAnsi="Arial"/>
                <w:sz w:val="20"/>
                <w:szCs w:val="20"/>
                <w:color w:val="auto"/>
              </w:rPr>
              <w:t>Year Ended December 31, 2023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tcPr>
          <w:p>
            <w:pPr>
              <w:ind w:left="180"/>
              <w:spacing w:after="0"/>
              <w:rPr>
                <w:sz w:val="20"/>
                <w:szCs w:val="20"/>
                <w:color w:val="auto"/>
              </w:rPr>
            </w:pPr>
            <w:r>
              <w:rPr>
                <w:rFonts w:ascii="Arial" w:cs="Arial" w:eastAsia="Arial" w:hAnsi="Arial"/>
                <w:sz w:val="20"/>
                <w:szCs w:val="20"/>
                <w:color w:val="auto"/>
              </w:rPr>
              <w:t>Allowance for doubtful accounts</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1,552</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20"/>
                <w:szCs w:val="20"/>
                <w:color w:val="auto"/>
              </w:rPr>
              <w:t>(146)</w:t>
            </w: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203</w:t>
            </w:r>
          </w:p>
        </w:tc>
        <w:tc>
          <w:tcPr>
            <w:tcW w:w="220" w:type="dxa"/>
            <w:vAlign w:val="bottom"/>
          </w:tcPr>
          <w:p>
            <w:pPr>
              <w:spacing w:after="0"/>
              <w:rPr>
                <w:sz w:val="22"/>
                <w:szCs w:val="22"/>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(221)</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1,388</w:t>
            </w:r>
          </w:p>
        </w:tc>
        <w:tc>
          <w:tcPr>
            <w:tcW w:w="0" w:type="dxa"/>
            <w:vAlign w:val="bottom"/>
          </w:tcPr>
          <w:p>
            <w:pPr>
              <w:spacing w:after="0"/>
              <w:rPr>
                <w:sz w:val="1"/>
                <w:szCs w:val="1"/>
                <w:color w:val="auto"/>
              </w:rPr>
            </w:pPr>
          </w:p>
        </w:tc>
      </w:tr>
      <w:tr>
        <w:trPr>
          <w:trHeight w:val="296"/>
        </w:trPr>
        <w:tc>
          <w:tcPr>
            <w:tcW w:w="4340" w:type="dxa"/>
            <w:vAlign w:val="bottom"/>
          </w:tcPr>
          <w:p>
            <w:pPr>
              <w:ind w:left="180"/>
              <w:spacing w:after="0"/>
              <w:rPr>
                <w:sz w:val="20"/>
                <w:szCs w:val="20"/>
                <w:color w:val="auto"/>
              </w:rPr>
            </w:pPr>
            <w:r>
              <w:rPr>
                <w:rFonts w:ascii="Arial" w:cs="Arial" w:eastAsia="Arial" w:hAnsi="Arial"/>
                <w:sz w:val="20"/>
                <w:szCs w:val="20"/>
                <w:color w:val="auto"/>
              </w:rPr>
              <w:t>Allowance for excess and obsolete inventory</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14,451</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3,484</w:t>
            </w:r>
          </w:p>
        </w:tc>
        <w:tc>
          <w:tcPr>
            <w:tcW w:w="2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20"/>
                <w:szCs w:val="20"/>
                <w:color w:val="auto"/>
              </w:rPr>
              <w:t>(2,461)</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(1,819)</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13,655</w:t>
            </w:r>
          </w:p>
        </w:tc>
        <w:tc>
          <w:tcPr>
            <w:tcW w:w="0" w:type="dxa"/>
            <w:vAlign w:val="bottom"/>
          </w:tcPr>
          <w:p>
            <w:pPr>
              <w:spacing w:after="0"/>
              <w:rPr>
                <w:sz w:val="1"/>
                <w:szCs w:val="1"/>
                <w:color w:val="auto"/>
              </w:rPr>
            </w:pPr>
          </w:p>
        </w:tc>
      </w:tr>
      <w:tr>
        <w:trPr>
          <w:trHeight w:val="300"/>
        </w:trPr>
        <w:tc>
          <w:tcPr>
            <w:tcW w:w="4340" w:type="dxa"/>
            <w:vAlign w:val="bottom"/>
          </w:tcPr>
          <w:p>
            <w:pPr>
              <w:ind w:left="180"/>
              <w:spacing w:after="0"/>
              <w:rPr>
                <w:sz w:val="20"/>
                <w:szCs w:val="20"/>
                <w:color w:val="auto"/>
              </w:rPr>
            </w:pPr>
            <w:r>
              <w:rPr>
                <w:rFonts w:ascii="Arial" w:cs="Arial" w:eastAsia="Arial" w:hAnsi="Arial"/>
                <w:sz w:val="20"/>
                <w:szCs w:val="20"/>
                <w:color w:val="auto"/>
              </w:rPr>
              <w:t>Deferred tax assets - valuation allowances</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4,026</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279</w:t>
            </w:r>
          </w:p>
        </w:tc>
        <w:tc>
          <w:tcPr>
            <w:tcW w:w="2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(2,296)</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-2130425</wp:posOffset>
            </wp:positionV>
            <wp:extent cx="4003040" cy="52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03040" cy="5270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-1942465</wp:posOffset>
            </wp:positionV>
            <wp:extent cx="4003040" cy="52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03040" cy="5270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-1755775</wp:posOffset>
            </wp:positionV>
            <wp:extent cx="4003040" cy="52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003040" cy="5270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-1264920</wp:posOffset>
            </wp:positionV>
            <wp:extent cx="4003040" cy="52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03040" cy="5270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-1076325</wp:posOffset>
            </wp:positionV>
            <wp:extent cx="4003040" cy="52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03040" cy="5270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-888365</wp:posOffset>
            </wp:positionV>
            <wp:extent cx="4003040" cy="52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03040" cy="5270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-398780</wp:posOffset>
            </wp:positionV>
            <wp:extent cx="4003040" cy="52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03040" cy="5270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-210820</wp:posOffset>
            </wp:positionV>
            <wp:extent cx="4011930" cy="2425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11930" cy="242570"/>
                    </a:xfrm>
                    <a:prstGeom prst="rect">
                      <a:avLst/>
                    </a:prstGeom>
                    <a:noFill/>
                  </pic:spPr>
                </pic:pic>
              </a:graphicData>
            </a:graphic>
          </wp:anchor>
        </w:drawing>
      </w:r>
    </w:p>
    <w:p>
      <w:pPr>
        <w:spacing w:after="0" w:line="217" w:lineRule="exact"/>
        <w:rPr>
          <w:sz w:val="20"/>
          <w:szCs w:val="20"/>
          <w:color w:val="auto"/>
        </w:rPr>
      </w:pPr>
    </w:p>
    <w:p>
      <w:pPr>
        <w:ind w:left="279" w:hanging="279"/>
        <w:spacing w:after="0"/>
        <w:tabs>
          <w:tab w:leader="none" w:pos="279" w:val="left"/>
        </w:tabs>
        <w:numPr>
          <w:ilvl w:val="0"/>
          <w:numId w:val="36"/>
        </w:numPr>
        <w:rPr>
          <w:rFonts w:ascii="Arial" w:cs="Arial" w:eastAsia="Arial" w:hAnsi="Arial"/>
          <w:sz w:val="20"/>
          <w:szCs w:val="20"/>
          <w:color w:val="auto"/>
        </w:rPr>
      </w:pPr>
      <w:r>
        <w:rPr>
          <w:rFonts w:ascii="Arial" w:cs="Arial" w:eastAsia="Arial" w:hAnsi="Arial"/>
          <w:sz w:val="20"/>
          <w:szCs w:val="20"/>
          <w:color w:val="auto"/>
        </w:rPr>
        <w:t>Write-offs</w:t>
      </w:r>
    </w:p>
    <w:p>
      <w:pPr>
        <w:spacing w:after="0" w:line="228" w:lineRule="exact"/>
        <w:rPr>
          <w:rFonts w:ascii="Arial" w:cs="Arial" w:eastAsia="Arial" w:hAnsi="Arial"/>
          <w:sz w:val="20"/>
          <w:szCs w:val="20"/>
          <w:color w:val="auto"/>
        </w:rPr>
      </w:pPr>
    </w:p>
    <w:p>
      <w:pPr>
        <w:ind w:left="279" w:hanging="279"/>
        <w:spacing w:after="0"/>
        <w:tabs>
          <w:tab w:leader="none" w:pos="279"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Includes foreign currency translation adjustments</w:t>
      </w:r>
    </w:p>
    <w:p>
      <w:pPr>
        <w:spacing w:after="0" w:line="200" w:lineRule="exact"/>
        <w:rPr>
          <w:sz w:val="20"/>
          <w:szCs w:val="20"/>
          <w:color w:val="auto"/>
        </w:rPr>
      </w:pPr>
    </w:p>
    <w:p>
      <w:pPr>
        <w:spacing w:after="0" w:line="299" w:lineRule="exact"/>
        <w:rPr>
          <w:sz w:val="20"/>
          <w:szCs w:val="20"/>
          <w:color w:val="auto"/>
        </w:rPr>
      </w:pPr>
    </w:p>
    <w:p>
      <w:pPr>
        <w:ind w:left="19"/>
        <w:spacing w:after="0"/>
        <w:rPr>
          <w:sz w:val="20"/>
          <w:szCs w:val="20"/>
          <w:color w:val="auto"/>
        </w:rPr>
      </w:pPr>
      <w:r>
        <w:rPr>
          <w:rFonts w:ascii="Arial" w:cs="Arial" w:eastAsia="Arial" w:hAnsi="Arial"/>
          <w:sz w:val="20"/>
          <w:szCs w:val="20"/>
          <w:b w:val="1"/>
          <w:bCs w:val="1"/>
          <w:color w:val="auto"/>
        </w:rPr>
        <w:t xml:space="preserve">Item 9. </w:t>
      </w:r>
      <w:r>
        <w:rPr>
          <w:rFonts w:ascii="Arial" w:cs="Arial" w:eastAsia="Arial" w:hAnsi="Arial"/>
          <w:sz w:val="20"/>
          <w:szCs w:val="20"/>
          <w:b w:val="1"/>
          <w:bCs w:val="1"/>
          <w:i w:val="1"/>
          <w:iCs w:val="1"/>
          <w:color w:val="auto"/>
        </w:rPr>
        <w:t>Changes in and Disagreements With Accountants on Accounting and Financial Disclosure</w:t>
      </w:r>
    </w:p>
    <w:p>
      <w:pPr>
        <w:spacing w:after="0" w:line="230" w:lineRule="exact"/>
        <w:rPr>
          <w:sz w:val="20"/>
          <w:szCs w:val="20"/>
          <w:color w:val="auto"/>
        </w:rPr>
      </w:pPr>
    </w:p>
    <w:p>
      <w:pPr>
        <w:ind w:left="19"/>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54" w:lineRule="exact"/>
        <w:rPr>
          <w:sz w:val="20"/>
          <w:szCs w:val="20"/>
          <w:color w:val="auto"/>
        </w:rPr>
      </w:pPr>
    </w:p>
    <w:p>
      <w:pPr>
        <w:ind w:left="19"/>
        <w:spacing w:after="0"/>
        <w:rPr>
          <w:sz w:val="20"/>
          <w:szCs w:val="20"/>
          <w:color w:val="auto"/>
        </w:rPr>
      </w:pPr>
      <w:r>
        <w:rPr>
          <w:rFonts w:ascii="Arial" w:cs="Arial" w:eastAsia="Arial" w:hAnsi="Arial"/>
          <w:sz w:val="20"/>
          <w:szCs w:val="20"/>
          <w:b w:val="1"/>
          <w:bCs w:val="1"/>
          <w:color w:val="auto"/>
        </w:rPr>
        <w:t xml:space="preserve">Item 9A. </w:t>
      </w:r>
      <w:r>
        <w:rPr>
          <w:rFonts w:ascii="Arial" w:cs="Arial" w:eastAsia="Arial" w:hAnsi="Arial"/>
          <w:sz w:val="20"/>
          <w:szCs w:val="20"/>
          <w:b w:val="1"/>
          <w:bCs w:val="1"/>
          <w:i w:val="1"/>
          <w:iCs w:val="1"/>
          <w:color w:val="auto"/>
        </w:rPr>
        <w:t>Controls and Procedures</w:t>
      </w:r>
    </w:p>
    <w:p>
      <w:pPr>
        <w:spacing w:after="0" w:line="230" w:lineRule="exact"/>
        <w:rPr>
          <w:sz w:val="20"/>
          <w:szCs w:val="20"/>
          <w:color w:val="auto"/>
        </w:rPr>
      </w:pPr>
    </w:p>
    <w:p>
      <w:pPr>
        <w:ind w:left="19"/>
        <w:spacing w:after="0"/>
        <w:rPr>
          <w:sz w:val="20"/>
          <w:szCs w:val="20"/>
          <w:color w:val="auto"/>
        </w:rPr>
      </w:pPr>
      <w:r>
        <w:rPr>
          <w:rFonts w:ascii="Arial" w:cs="Arial" w:eastAsia="Arial" w:hAnsi="Arial"/>
          <w:sz w:val="20"/>
          <w:szCs w:val="20"/>
          <w:u w:val="single" w:color="auto"/>
          <w:color w:val="auto"/>
        </w:rPr>
        <w:t>Evaluation of Disclosure Controls and Procedures</w:t>
      </w:r>
    </w:p>
    <w:p>
      <w:pPr>
        <w:spacing w:after="0" w:line="229" w:lineRule="exact"/>
        <w:rPr>
          <w:sz w:val="20"/>
          <w:szCs w:val="20"/>
          <w:color w:val="auto"/>
        </w:rPr>
      </w:pPr>
    </w:p>
    <w:p>
      <w:pPr>
        <w:jc w:val="both"/>
        <w:ind w:left="19"/>
        <w:spacing w:after="0" w:line="243" w:lineRule="auto"/>
        <w:rPr>
          <w:sz w:val="20"/>
          <w:szCs w:val="20"/>
          <w:color w:val="auto"/>
        </w:rPr>
      </w:pPr>
      <w:r>
        <w:rPr>
          <w:rFonts w:ascii="Arial" w:cs="Arial" w:eastAsia="Arial" w:hAnsi="Arial"/>
          <w:sz w:val="20"/>
          <w:szCs w:val="20"/>
          <w:color w:val="auto"/>
        </w:rPr>
        <w:t>During the fourth quarter of 2025, the Company's management, including the principal executive officer and principal financial officer, supervised and participated in the evaluation of the Company's disclosure controls and procedures (as defined in Rules 13a-15(e) and 15d-15(e) under the Securities Exchange Act of 1934) related to the recording, processing, summarization, and reporting of information in the Company's periodic reports that the Company files with the SEC. These disclosure controls and procedures have been designed to ensure that material information relating to the Company, including its subsidiaries, is made known to the Company's management, including the principal executive officer and principal financial officer, by the Company’s other employees, and that this information is recorded, processed, summarized, evaluated, and reported, as applicable, within the time periods specified in the SEC's rules and forms.</w:t>
      </w:r>
    </w:p>
    <w:p>
      <w:pPr>
        <w:spacing w:after="0" w:line="195" w:lineRule="exact"/>
        <w:rPr>
          <w:sz w:val="20"/>
          <w:szCs w:val="20"/>
          <w:color w:val="auto"/>
        </w:rPr>
      </w:pPr>
    </w:p>
    <w:p>
      <w:pPr>
        <w:jc w:val="both"/>
        <w:ind w:left="19"/>
        <w:spacing w:after="0" w:line="251" w:lineRule="auto"/>
        <w:rPr>
          <w:sz w:val="20"/>
          <w:szCs w:val="20"/>
          <w:color w:val="auto"/>
        </w:rPr>
      </w:pPr>
      <w:r>
        <w:rPr>
          <w:rFonts w:ascii="Arial" w:cs="Arial" w:eastAsia="Arial" w:hAnsi="Arial"/>
          <w:sz w:val="20"/>
          <w:szCs w:val="20"/>
          <w:color w:val="auto"/>
        </w:rPr>
        <w:t>In designing and evaluating the disclosure controls and procedures, the Company recognizes that any controls and procedures, no matter how well designed and operated, provide only reasonable, not absolute, assurance that the above objectives have been met. Notwithstanding these limitations, the Company believes that its disclosure controls and procedures are designed and are operating to provide reasonable assurances of achieving their objectives.</w:t>
      </w:r>
    </w:p>
    <w:p>
      <w:pPr>
        <w:spacing w:after="0" w:line="184" w:lineRule="exact"/>
        <w:rPr>
          <w:sz w:val="20"/>
          <w:szCs w:val="20"/>
          <w:color w:val="auto"/>
        </w:rPr>
      </w:pPr>
    </w:p>
    <w:p>
      <w:pPr>
        <w:jc w:val="both"/>
        <w:ind w:left="19"/>
        <w:spacing w:after="0" w:line="247" w:lineRule="auto"/>
        <w:rPr>
          <w:sz w:val="20"/>
          <w:szCs w:val="20"/>
          <w:color w:val="auto"/>
        </w:rPr>
      </w:pPr>
      <w:r>
        <w:rPr>
          <w:rFonts w:ascii="Arial" w:cs="Arial" w:eastAsia="Arial" w:hAnsi="Arial"/>
          <w:sz w:val="20"/>
          <w:szCs w:val="20"/>
          <w:color w:val="auto"/>
        </w:rPr>
        <w:t>Based on their evaluation as of December 31, 2025, the Company's principal executive officer and principal financial officer have concluded that the Company's disclosure controls and procedures (as defined in Rules 13a-15(e) and 15d-15(e) under the Securities Exchange Act of 1934) are effective to ensure that the information required to be disclosed by the Company in the reports that the Company files or submits under the Securities Exchange Act of 1934 is recorded, processed, summarized and reported within the time periods specified in SEC rules and forms.</w:t>
      </w:r>
    </w:p>
    <w:p>
      <w:pPr>
        <w:spacing w:after="0" w:line="200" w:lineRule="exact"/>
        <w:rPr>
          <w:sz w:val="20"/>
          <w:szCs w:val="20"/>
          <w:color w:val="auto"/>
        </w:rPr>
      </w:pPr>
    </w:p>
    <w:p>
      <w:pPr>
        <w:spacing w:after="0" w:line="266" w:lineRule="exact"/>
        <w:rPr>
          <w:sz w:val="20"/>
          <w:szCs w:val="20"/>
          <w:color w:val="auto"/>
        </w:rPr>
      </w:pPr>
    </w:p>
    <w:p>
      <w:pPr>
        <w:jc w:val="center"/>
        <w:ind w:right="-18"/>
        <w:spacing w:after="0"/>
        <w:rPr>
          <w:sz w:val="20"/>
          <w:szCs w:val="20"/>
          <w:color w:val="auto"/>
        </w:rPr>
      </w:pPr>
      <w:r>
        <w:rPr>
          <w:rFonts w:ascii="Arial" w:cs="Arial" w:eastAsia="Arial" w:hAnsi="Arial"/>
          <w:sz w:val="20"/>
          <w:szCs w:val="20"/>
          <w:color w:val="auto"/>
        </w:rPr>
        <w:t>91</w:t>
      </w:r>
    </w:p>
    <w:p>
      <w:pPr>
        <w:sectPr>
          <w:pgSz w:w="12240" w:h="15840" w:orient="portrait"/>
          <w:cols w:equalWidth="0" w:num="1">
            <w:col w:w="10819"/>
          </w:cols>
          <w:pgMar w:left="701" w:top="830" w:right="720" w:bottom="0" w:gutter="0" w:footer="0" w:header="0"/>
        </w:sectPr>
      </w:pPr>
    </w:p>
    <w:bookmarkStart w:id="101" w:name="page102"/>
    <w:bookmarkEnd w:id="101"/>
    <w:p>
      <w:pPr>
        <w:spacing w:after="0"/>
        <w:rPr>
          <w:sz w:val="20"/>
          <w:szCs w:val="20"/>
          <w:color w:val="auto"/>
        </w:rPr>
      </w:pPr>
      <w:r>
        <w:rPr>
          <w:rFonts w:ascii="Arial" w:cs="Arial" w:eastAsia="Arial" w:hAnsi="Arial"/>
          <w:sz w:val="20"/>
          <w:szCs w:val="20"/>
          <w:u w:val="single" w:color="auto"/>
          <w:color w:val="auto"/>
        </w:rPr>
        <w:t>Management's Annual Report on Internal Control Over Financial Reporting</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the Company's principal executive officer and principal financial officer, the Company conducted an evaluation of the effectiveness of the Company's internal control over financial reporting based on the framework in </w:t>
      </w:r>
      <w:r>
        <w:rPr>
          <w:rFonts w:ascii="Arial" w:cs="Arial" w:eastAsia="Arial" w:hAnsi="Arial"/>
          <w:sz w:val="19"/>
          <w:szCs w:val="19"/>
          <w:i w:val="1"/>
          <w:iCs w:val="1"/>
          <w:color w:val="auto"/>
        </w:rPr>
        <w:t>Internal Control – Integrated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Framework (2013) </w:t>
      </w:r>
      <w:r>
        <w:rPr>
          <w:rFonts w:ascii="Arial" w:cs="Arial" w:eastAsia="Arial" w:hAnsi="Arial"/>
          <w:sz w:val="19"/>
          <w:szCs w:val="19"/>
          <w:color w:val="auto"/>
        </w:rPr>
        <w:t>issued by the Committee of Sponsoring Organizations of the Treadway Commission.</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Based on the Company's evaluation under the framework in </w:t>
      </w:r>
      <w:r>
        <w:rPr>
          <w:rFonts w:ascii="Arial" w:cs="Arial" w:eastAsia="Arial" w:hAnsi="Arial"/>
          <w:sz w:val="19"/>
          <w:szCs w:val="19"/>
          <w:i w:val="1"/>
          <w:iCs w:val="1"/>
          <w:color w:val="auto"/>
        </w:rPr>
        <w:t>Internal Control</w:t>
      </w:r>
      <w:r>
        <w:rPr>
          <w:rFonts w:ascii="Arial" w:cs="Arial" w:eastAsia="Arial" w:hAnsi="Arial"/>
          <w:sz w:val="19"/>
          <w:szCs w:val="19"/>
          <w:color w:val="auto"/>
        </w:rPr>
        <w:t xml:space="preserve"> – </w:t>
      </w:r>
      <w:r>
        <w:rPr>
          <w:rFonts w:ascii="Arial" w:cs="Arial" w:eastAsia="Arial" w:hAnsi="Arial"/>
          <w:sz w:val="19"/>
          <w:szCs w:val="19"/>
          <w:i w:val="1"/>
          <w:iCs w:val="1"/>
          <w:color w:val="auto"/>
        </w:rPr>
        <w:t>Integrated Framework (2013)</w:t>
      </w:r>
      <w:r>
        <w:rPr>
          <w:rFonts w:ascii="Arial" w:cs="Arial" w:eastAsia="Arial" w:hAnsi="Arial"/>
          <w:sz w:val="19"/>
          <w:szCs w:val="19"/>
          <w:color w:val="auto"/>
        </w:rPr>
        <w:t xml:space="preserve"> , the Company's management concluded that the Company's internal control over financial reporting was effective as of December 31, 2025.</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Grant Thornton LLP has audited the effectiveness of the Company's internal control over financial reporting as of December 31, 2025 and has expressed an unqualified opinion on the effectiveness of our internal control over financial reporting as of December 31, 2025 in their report which is included in Item 8 herein.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Changes in Internal Controls Over Financial Reporting</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There has not been any change in our internal control over financial reporting during the three months ended December 31, 2025 that has materially affected, or is reasonably likely to materially affect, our internal control over financial reporting.</w:t>
      </w:r>
    </w:p>
    <w:p>
      <w:pPr>
        <w:spacing w:after="0" w:line="361"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Rule 10b5-1 Trading Arrangements and Non-Rule 10b5-1 Trading Arrangements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fiscal quarter ended December 31, 2025, none of our officers or directors, as those terms are defined in Rule 16a-1(f), adopted or terminated a “Rule 10b5-1 trading arrangement” or a “non-Rule 10b5-1 trading arrangement,” as those terms are defined in Item 408 of Regulation S-K.</w:t>
      </w:r>
    </w:p>
    <w:p>
      <w:pPr>
        <w:spacing w:after="0" w:line="200" w:lineRule="exact"/>
        <w:rPr>
          <w:sz w:val="20"/>
          <w:szCs w:val="20"/>
          <w:color w:val="auto"/>
        </w:rPr>
      </w:pPr>
    </w:p>
    <w:p>
      <w:pPr>
        <w:spacing w:after="0" w:line="20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6"/>
          <w:szCs w:val="16"/>
          <w:b w:val="1"/>
          <w:bCs w:val="1"/>
          <w:i w:val="1"/>
          <w:iCs w:val="1"/>
          <w:color w:val="auto"/>
        </w:rPr>
        <w:t>Disclosure Regarding Foreign Jurisdictions that Prevent Inspections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2240" w:h="15840" w:orient="portrait"/>
          <w:cols w:equalWidth="0" w:num="1">
            <w:col w:w="10800"/>
          </w:cols>
          <w:pgMar w:left="720" w:top="555" w:right="720" w:bottom="0" w:gutter="0" w:footer="0" w:header="0"/>
        </w:sectPr>
      </w:pPr>
    </w:p>
    <w:bookmarkStart w:id="102" w:name="page103"/>
    <w:bookmarkEnd w:id="102"/>
    <w:p>
      <w:pPr>
        <w:ind w:left="4980"/>
        <w:spacing w:after="0"/>
        <w:rPr>
          <w:sz w:val="20"/>
          <w:szCs w:val="20"/>
          <w:color w:val="auto"/>
        </w:rPr>
      </w:pPr>
      <w:r>
        <w:rPr>
          <w:rFonts w:ascii="Arial" w:cs="Arial" w:eastAsia="Arial" w:hAnsi="Arial"/>
          <w:sz w:val="20"/>
          <w:szCs w:val="20"/>
          <w:b w:val="1"/>
          <w:bCs w:val="1"/>
          <w:color w:val="auto"/>
        </w:rPr>
        <w:t>PART III</w:t>
      </w: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6"/>
          <w:szCs w:val="16"/>
          <w:b w:val="1"/>
          <w:bCs w:val="1"/>
          <w:i w:val="1"/>
          <w:iCs w:val="1"/>
          <w:color w:val="auto"/>
        </w:rPr>
        <w:t>Directors, Executive Officers and Corporate Governance</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The Registrant incorporates by reference herein the information to be set forth in its definitive proxy statement for its 2026 annual meeting of shareholders (the “Proxy Statement”), which will be filed no later than 120 days after December 31, 2025, that is responsive to the remaining information required with respect to this Item 10, to the extent not set forth herein.</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Registrant has adopted a code of ethics for all of its associates, including directors, executive officers and all other senior financial personnel. The code of ethics, as amended from time to time, is available on the Registrant's website under Investors &gt; Corporate Governance at https://ir.belfuse.com/corporate-governance. The Registrant will also make copies of its code of ethics available to investors upon request. Any such request should be sent by mail to Bel Fuse Inc., 300 Executive Drive, Suite 300, West Orange, NJ 07052 Attn: Lynn Hutkin, Chief Financial Officer, or should be made by telephone by calling Lynn Hutkin at 201-432-0463.</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Registrant intends to satisfy the disclosure requirement under Item 5.05 of Form 8-K regarding an amendment to, or a waiver from, a provision of its code of ethics that applies to the Registrant’s principal executive officer, principal financial officer, principal accounting officer or controller, or persons performing similar functions and that relates to any element of the code of ethics definition enumerated in paragraph (b) of Item 406 of the SEC’s Regulation S-K, by posting such information on the Registrant’s website, www.belfuse.com.</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19.1 to this Form 10-K.</w:t>
      </w:r>
    </w:p>
    <w:p>
      <w:pPr>
        <w:spacing w:after="0" w:line="200" w:lineRule="exact"/>
        <w:rPr>
          <w:sz w:val="20"/>
          <w:szCs w:val="20"/>
          <w:color w:val="auto"/>
        </w:rPr>
      </w:pPr>
    </w:p>
    <w:p>
      <w:pPr>
        <w:spacing w:after="0" w:line="242"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6"/>
          <w:szCs w:val="16"/>
          <w:b w:val="1"/>
          <w:bCs w:val="1"/>
          <w:i w:val="1"/>
          <w:iCs w:val="1"/>
          <w:color w:val="auto"/>
        </w:rPr>
        <w:t>Executive Compensation</w:t>
      </w: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Registrant incorporates by reference herein information to be set forth in the Proxy Statement that is responsive to the information required with respect to this Item 11.</w:t>
      </w:r>
    </w:p>
    <w:p>
      <w:pPr>
        <w:spacing w:after="0" w:line="200" w:lineRule="exact"/>
        <w:rPr>
          <w:sz w:val="20"/>
          <w:szCs w:val="20"/>
          <w:color w:val="auto"/>
        </w:rPr>
      </w:pP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23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Registrant incorporates by reference herein information to be set forth in the Proxy Statement that is responsive to the remaining information required with respect to this Item 12.</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table below depicts the securities authorized for issuance under the Company's equity compensation plans as of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4140" w:type="dxa"/>
            <w:vAlign w:val="bottom"/>
            <w:gridSpan w:val="7"/>
          </w:tcPr>
          <w:p>
            <w:pPr>
              <w:jc w:val="center"/>
              <w:ind w:right="641"/>
              <w:spacing w:after="0"/>
              <w:rPr>
                <w:sz w:val="20"/>
                <w:szCs w:val="20"/>
                <w:color w:val="auto"/>
              </w:rPr>
            </w:pPr>
            <w:r>
              <w:rPr>
                <w:rFonts w:ascii="Arial" w:cs="Arial" w:eastAsia="Arial" w:hAnsi="Arial"/>
                <w:sz w:val="20"/>
                <w:szCs w:val="20"/>
                <w:b w:val="1"/>
                <w:bCs w:val="1"/>
                <w:color w:val="auto"/>
                <w:w w:val="92"/>
              </w:rPr>
              <w:t>Equity Compensation Plan Information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37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center"/>
              <w:ind w:right="41"/>
              <w:spacing w:after="0"/>
              <w:rPr>
                <w:sz w:val="20"/>
                <w:szCs w:val="20"/>
                <w:color w:val="auto"/>
              </w:rPr>
            </w:pPr>
            <w:r>
              <w:rPr>
                <w:rFonts w:ascii="Arial" w:cs="Arial" w:eastAsia="Arial" w:hAnsi="Arial"/>
                <w:sz w:val="20"/>
                <w:szCs w:val="20"/>
                <w:color w:val="auto"/>
                <w:w w:val="94"/>
              </w:rPr>
              <w:t>Number of</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ind w:right="41"/>
              <w:spacing w:after="0"/>
              <w:rPr>
                <w:sz w:val="20"/>
                <w:szCs w:val="20"/>
                <w:color w:val="auto"/>
              </w:rPr>
            </w:pPr>
            <w:r>
              <w:rPr>
                <w:rFonts w:ascii="Arial" w:cs="Arial" w:eastAsia="Arial" w:hAnsi="Arial"/>
                <w:sz w:val="20"/>
                <w:szCs w:val="20"/>
                <w:color w:val="auto"/>
                <w:w w:val="91"/>
              </w:rPr>
              <w:t>Securities</w:t>
            </w:r>
          </w:p>
        </w:tc>
        <w:tc>
          <w:tcPr>
            <w:tcW w:w="0" w:type="dxa"/>
            <w:vAlign w:val="bottom"/>
          </w:tcPr>
          <w:p>
            <w:pPr>
              <w:spacing w:after="0"/>
              <w:rPr>
                <w:sz w:val="1"/>
                <w:szCs w:val="1"/>
                <w:color w:val="auto"/>
              </w:rPr>
            </w:pPr>
          </w:p>
        </w:tc>
      </w:tr>
      <w:tr>
        <w:trPr>
          <w:trHeight w:val="227"/>
        </w:trPr>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ind w:right="41"/>
              <w:spacing w:after="0" w:line="227" w:lineRule="exact"/>
              <w:rPr>
                <w:sz w:val="20"/>
                <w:szCs w:val="20"/>
                <w:color w:val="auto"/>
              </w:rPr>
            </w:pPr>
            <w:r>
              <w:rPr>
                <w:rFonts w:ascii="Arial" w:cs="Arial" w:eastAsia="Arial" w:hAnsi="Arial"/>
                <w:sz w:val="20"/>
                <w:szCs w:val="20"/>
                <w:color w:val="auto"/>
                <w:w w:val="92"/>
              </w:rPr>
              <w:t>Remaining</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ind w:left="1"/>
              <w:spacing w:after="0"/>
              <w:rPr>
                <w:sz w:val="20"/>
                <w:szCs w:val="20"/>
                <w:color w:val="auto"/>
              </w:rPr>
            </w:pPr>
            <w:r>
              <w:rPr>
                <w:rFonts w:ascii="Arial" w:cs="Arial" w:eastAsia="Arial" w:hAnsi="Arial"/>
                <w:sz w:val="20"/>
                <w:szCs w:val="20"/>
                <w:color w:val="auto"/>
                <w:w w:val="92"/>
              </w:rPr>
              <w:t>Number of</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ind w:right="21"/>
              <w:spacing w:after="0"/>
              <w:rPr>
                <w:sz w:val="20"/>
                <w:szCs w:val="20"/>
                <w:color w:val="auto"/>
              </w:rPr>
            </w:pPr>
            <w:r>
              <w:rPr>
                <w:rFonts w:ascii="Arial" w:cs="Arial" w:eastAsia="Arial" w:hAnsi="Arial"/>
                <w:sz w:val="20"/>
                <w:szCs w:val="20"/>
                <w:color w:val="auto"/>
                <w:w w:val="96"/>
              </w:rPr>
              <w:t>Available for</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ind w:left="1"/>
              <w:spacing w:after="0"/>
              <w:rPr>
                <w:sz w:val="20"/>
                <w:szCs w:val="20"/>
                <w:color w:val="auto"/>
              </w:rPr>
            </w:pPr>
            <w:r>
              <w:rPr>
                <w:rFonts w:ascii="Arial" w:cs="Arial" w:eastAsia="Arial" w:hAnsi="Arial"/>
                <w:sz w:val="20"/>
                <w:szCs w:val="20"/>
                <w:color w:val="auto"/>
                <w:w w:val="88"/>
              </w:rPr>
              <w:t>Securities to be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21"/>
              <w:spacing w:after="0"/>
              <w:rPr>
                <w:sz w:val="20"/>
                <w:szCs w:val="20"/>
                <w:color w:val="auto"/>
              </w:rPr>
            </w:pPr>
            <w:r>
              <w:rPr>
                <w:rFonts w:ascii="Arial" w:cs="Arial" w:eastAsia="Arial" w:hAnsi="Arial"/>
                <w:sz w:val="20"/>
                <w:szCs w:val="20"/>
                <w:color w:val="auto"/>
                <w:w w:val="92"/>
              </w:rPr>
              <w:t>Weighted-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center"/>
              <w:spacing w:after="0"/>
              <w:rPr>
                <w:sz w:val="20"/>
                <w:szCs w:val="20"/>
                <w:color w:val="auto"/>
              </w:rPr>
            </w:pPr>
            <w:r>
              <w:rPr>
                <w:rFonts w:ascii="Arial" w:cs="Arial" w:eastAsia="Arial" w:hAnsi="Arial"/>
                <w:sz w:val="20"/>
                <w:szCs w:val="20"/>
                <w:color w:val="auto"/>
                <w:w w:val="87"/>
              </w:rPr>
              <w:t>Future Issuance</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ind w:left="1"/>
              <w:spacing w:after="0"/>
              <w:rPr>
                <w:sz w:val="20"/>
                <w:szCs w:val="20"/>
                <w:color w:val="auto"/>
              </w:rPr>
            </w:pPr>
            <w:r>
              <w:rPr>
                <w:rFonts w:ascii="Arial" w:cs="Arial" w:eastAsia="Arial" w:hAnsi="Arial"/>
                <w:sz w:val="20"/>
                <w:szCs w:val="20"/>
                <w:color w:val="auto"/>
                <w:w w:val="90"/>
              </w:rPr>
              <w:t>Issued Upon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center"/>
              <w:spacing w:after="0"/>
              <w:rPr>
                <w:sz w:val="20"/>
                <w:szCs w:val="20"/>
                <w:color w:val="auto"/>
              </w:rPr>
            </w:pPr>
            <w:r>
              <w:rPr>
                <w:rFonts w:ascii="Arial" w:cs="Arial" w:eastAsia="Arial" w:hAnsi="Arial"/>
                <w:sz w:val="20"/>
                <w:szCs w:val="20"/>
                <w:color w:val="auto"/>
                <w:w w:val="90"/>
              </w:rPr>
              <w:t>Average Exercise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ind w:right="41"/>
              <w:spacing w:after="0"/>
              <w:rPr>
                <w:sz w:val="20"/>
                <w:szCs w:val="20"/>
                <w:color w:val="auto"/>
              </w:rPr>
            </w:pPr>
            <w:r>
              <w:rPr>
                <w:rFonts w:ascii="Arial" w:cs="Arial" w:eastAsia="Arial" w:hAnsi="Arial"/>
                <w:sz w:val="20"/>
                <w:szCs w:val="20"/>
                <w:color w:val="auto"/>
                <w:w w:val="93"/>
              </w:rPr>
              <w:t>Under Equity</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ind w:left="1"/>
              <w:spacing w:after="0"/>
              <w:rPr>
                <w:sz w:val="20"/>
                <w:szCs w:val="20"/>
                <w:color w:val="auto"/>
              </w:rPr>
            </w:pPr>
            <w:r>
              <w:rPr>
                <w:rFonts w:ascii="Arial" w:cs="Arial" w:eastAsia="Arial" w:hAnsi="Arial"/>
                <w:sz w:val="20"/>
                <w:szCs w:val="20"/>
                <w:color w:val="auto"/>
                <w:w w:val="90"/>
              </w:rPr>
              <w:t>Exercise of</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41"/>
              <w:spacing w:after="0"/>
              <w:rPr>
                <w:sz w:val="20"/>
                <w:szCs w:val="20"/>
                <w:color w:val="auto"/>
              </w:rPr>
            </w:pPr>
            <w:r>
              <w:rPr>
                <w:rFonts w:ascii="Arial" w:cs="Arial" w:eastAsia="Arial" w:hAnsi="Arial"/>
                <w:sz w:val="20"/>
                <w:szCs w:val="20"/>
                <w:color w:val="auto"/>
                <w:w w:val="91"/>
              </w:rPr>
              <w:t>Price of</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ind w:right="41"/>
              <w:spacing w:after="0"/>
              <w:rPr>
                <w:sz w:val="20"/>
                <w:szCs w:val="20"/>
                <w:color w:val="auto"/>
              </w:rPr>
            </w:pPr>
            <w:r>
              <w:rPr>
                <w:rFonts w:ascii="Arial" w:cs="Arial" w:eastAsia="Arial" w:hAnsi="Arial"/>
                <w:sz w:val="20"/>
                <w:szCs w:val="20"/>
                <w:color w:val="auto"/>
                <w:w w:val="89"/>
              </w:rPr>
              <w:t>Compensation</w:t>
            </w:r>
          </w:p>
        </w:tc>
        <w:tc>
          <w:tcPr>
            <w:tcW w:w="0" w:type="dxa"/>
            <w:vAlign w:val="bottom"/>
          </w:tcPr>
          <w:p>
            <w:pPr>
              <w:spacing w:after="0"/>
              <w:rPr>
                <w:sz w:val="1"/>
                <w:szCs w:val="1"/>
                <w:color w:val="auto"/>
              </w:rPr>
            </w:pPr>
          </w:p>
        </w:tc>
      </w:tr>
      <w:tr>
        <w:trPr>
          <w:trHeight w:val="227"/>
        </w:trPr>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ind w:left="1"/>
              <w:spacing w:after="0" w:line="227" w:lineRule="exact"/>
              <w:rPr>
                <w:sz w:val="20"/>
                <w:szCs w:val="20"/>
                <w:color w:val="auto"/>
              </w:rPr>
            </w:pPr>
            <w:r>
              <w:rPr>
                <w:rFonts w:ascii="Arial" w:cs="Arial" w:eastAsia="Arial" w:hAnsi="Arial"/>
                <w:sz w:val="20"/>
                <w:szCs w:val="20"/>
                <w:color w:val="auto"/>
                <w:w w:val="90"/>
              </w:rPr>
              <w:t>Outstanding</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41"/>
              <w:spacing w:after="0" w:line="227" w:lineRule="exact"/>
              <w:rPr>
                <w:sz w:val="20"/>
                <w:szCs w:val="20"/>
                <w:color w:val="auto"/>
              </w:rPr>
            </w:pPr>
            <w:r>
              <w:rPr>
                <w:rFonts w:ascii="Arial" w:cs="Arial" w:eastAsia="Arial" w:hAnsi="Arial"/>
                <w:sz w:val="20"/>
                <w:szCs w:val="20"/>
                <w:color w:val="auto"/>
                <w:w w:val="90"/>
              </w:rPr>
              <w:t>Outstanding</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center"/>
              <w:spacing w:after="0" w:line="227" w:lineRule="exact"/>
              <w:rPr>
                <w:sz w:val="20"/>
                <w:szCs w:val="20"/>
                <w:color w:val="auto"/>
              </w:rPr>
            </w:pPr>
            <w:r>
              <w:rPr>
                <w:rFonts w:ascii="Arial" w:cs="Arial" w:eastAsia="Arial" w:hAnsi="Arial"/>
                <w:sz w:val="20"/>
                <w:szCs w:val="20"/>
                <w:color w:val="auto"/>
                <w:w w:val="91"/>
              </w:rPr>
              <w:t>Plans (Excluding</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ind w:left="1"/>
              <w:spacing w:after="0"/>
              <w:rPr>
                <w:sz w:val="20"/>
                <w:szCs w:val="20"/>
                <w:color w:val="auto"/>
              </w:rPr>
            </w:pPr>
            <w:r>
              <w:rPr>
                <w:rFonts w:ascii="Arial" w:cs="Arial" w:eastAsia="Arial" w:hAnsi="Arial"/>
                <w:sz w:val="20"/>
                <w:szCs w:val="20"/>
                <w:color w:val="auto"/>
                <w:w w:val="93"/>
              </w:rPr>
              <w:t>Options,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21"/>
              <w:spacing w:after="0"/>
              <w:rPr>
                <w:sz w:val="20"/>
                <w:szCs w:val="20"/>
                <w:color w:val="auto"/>
              </w:rPr>
            </w:pPr>
            <w:r>
              <w:rPr>
                <w:rFonts w:ascii="Arial" w:cs="Arial" w:eastAsia="Arial" w:hAnsi="Arial"/>
                <w:sz w:val="20"/>
                <w:szCs w:val="20"/>
                <w:color w:val="auto"/>
                <w:w w:val="91"/>
              </w:rPr>
              <w:t>Options,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ind w:right="41"/>
              <w:spacing w:after="0"/>
              <w:rPr>
                <w:sz w:val="20"/>
                <w:szCs w:val="20"/>
                <w:color w:val="auto"/>
              </w:rPr>
            </w:pPr>
            <w:r>
              <w:rPr>
                <w:rFonts w:ascii="Arial" w:cs="Arial" w:eastAsia="Arial" w:hAnsi="Arial"/>
                <w:sz w:val="20"/>
                <w:szCs w:val="20"/>
                <w:color w:val="auto"/>
                <w:w w:val="91"/>
              </w:rPr>
              <w:t>Securities</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ind w:left="1"/>
              <w:spacing w:after="0"/>
              <w:rPr>
                <w:sz w:val="20"/>
                <w:szCs w:val="20"/>
                <w:color w:val="auto"/>
              </w:rPr>
            </w:pPr>
            <w:r>
              <w:rPr>
                <w:rFonts w:ascii="Arial" w:cs="Arial" w:eastAsia="Arial" w:hAnsi="Arial"/>
                <w:sz w:val="20"/>
                <w:szCs w:val="20"/>
                <w:color w:val="auto"/>
                <w:w w:val="88"/>
              </w:rPr>
              <w:t>Warrants and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41"/>
              <w:spacing w:after="0"/>
              <w:rPr>
                <w:sz w:val="20"/>
                <w:szCs w:val="20"/>
                <w:color w:val="auto"/>
              </w:rPr>
            </w:pPr>
            <w:r>
              <w:rPr>
                <w:rFonts w:ascii="Arial" w:cs="Arial" w:eastAsia="Arial" w:hAnsi="Arial"/>
                <w:sz w:val="20"/>
                <w:szCs w:val="20"/>
                <w:color w:val="auto"/>
                <w:w w:val="88"/>
              </w:rPr>
              <w:t>Warrants and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ind w:right="41"/>
              <w:spacing w:after="0"/>
              <w:rPr>
                <w:sz w:val="20"/>
                <w:szCs w:val="20"/>
                <w:color w:val="auto"/>
              </w:rPr>
            </w:pPr>
            <w:r>
              <w:rPr>
                <w:rFonts w:ascii="Arial" w:cs="Arial" w:eastAsia="Arial" w:hAnsi="Arial"/>
                <w:sz w:val="20"/>
                <w:szCs w:val="20"/>
                <w:color w:val="auto"/>
                <w:w w:val="90"/>
              </w:rPr>
              <w:t>Reflected in</w:t>
            </w:r>
          </w:p>
        </w:tc>
        <w:tc>
          <w:tcPr>
            <w:tcW w:w="0" w:type="dxa"/>
            <w:vAlign w:val="bottom"/>
          </w:tcPr>
          <w:p>
            <w:pPr>
              <w:spacing w:after="0"/>
              <w:rPr>
                <w:sz w:val="1"/>
                <w:szCs w:val="1"/>
                <w:color w:val="auto"/>
              </w:rPr>
            </w:pPr>
          </w:p>
        </w:tc>
      </w:tr>
      <w:tr>
        <w:trPr>
          <w:trHeight w:val="270"/>
        </w:trPr>
        <w:tc>
          <w:tcPr>
            <w:tcW w:w="4760" w:type="dxa"/>
            <w:vAlign w:val="bottom"/>
            <w:tcBorders>
              <w:bottom w:val="single" w:sz="8" w:color="auto"/>
            </w:tcBorders>
            <w:gridSpan w:val="2"/>
          </w:tcPr>
          <w:p>
            <w:pPr>
              <w:ind w:left="1820"/>
              <w:spacing w:after="0"/>
              <w:rPr>
                <w:sz w:val="20"/>
                <w:szCs w:val="20"/>
                <w:color w:val="auto"/>
              </w:rPr>
            </w:pPr>
            <w:r>
              <w:rPr>
                <w:rFonts w:ascii="Arial" w:cs="Arial" w:eastAsia="Arial" w:hAnsi="Arial"/>
                <w:sz w:val="20"/>
                <w:szCs w:val="20"/>
                <w:color w:val="auto"/>
              </w:rPr>
              <w:t>Plan Category</w:t>
            </w:r>
          </w:p>
        </w:tc>
        <w:tc>
          <w:tcPr>
            <w:tcW w:w="10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Rights</w:t>
            </w:r>
          </w:p>
        </w:tc>
        <w:tc>
          <w:tcPr>
            <w:tcW w:w="1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20"/>
                <w:szCs w:val="20"/>
                <w:color w:val="auto"/>
                <w:w w:val="91"/>
              </w:rPr>
              <w:t>Rights</w:t>
            </w:r>
          </w:p>
        </w:tc>
        <w:tc>
          <w:tcPr>
            <w:tcW w:w="14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94"/>
              </w:rPr>
              <w:t>Column (a))</w:t>
            </w:r>
          </w:p>
        </w:tc>
        <w:tc>
          <w:tcPr>
            <w:tcW w:w="0" w:type="dxa"/>
            <w:vAlign w:val="bottom"/>
          </w:tcPr>
          <w:p>
            <w:pPr>
              <w:spacing w:after="0"/>
              <w:rPr>
                <w:sz w:val="1"/>
                <w:szCs w:val="1"/>
                <w:color w:val="auto"/>
              </w:rPr>
            </w:pPr>
          </w:p>
        </w:tc>
      </w:tr>
      <w:tr>
        <w:trPr>
          <w:trHeight w:val="264"/>
        </w:trPr>
        <w:tc>
          <w:tcPr>
            <w:tcW w:w="4760" w:type="dxa"/>
            <w:vAlign w:val="bottom"/>
            <w:gridSpan w:val="2"/>
            <w:vMerge w:val="restart"/>
          </w:tcPr>
          <w:p>
            <w:pPr>
              <w:spacing w:after="0"/>
              <w:rPr>
                <w:sz w:val="20"/>
                <w:szCs w:val="20"/>
                <w:color w:val="auto"/>
              </w:rPr>
            </w:pPr>
            <w:r>
              <w:rPr>
                <w:rFonts w:ascii="Arial" w:cs="Arial" w:eastAsia="Arial" w:hAnsi="Arial"/>
                <w:sz w:val="20"/>
                <w:szCs w:val="20"/>
                <w:color w:val="auto"/>
                <w:w w:val="93"/>
              </w:rPr>
              <w:t>Equity compensation plans approved by security holders:</w:t>
            </w:r>
          </w:p>
        </w:tc>
        <w:tc>
          <w:tcPr>
            <w:tcW w:w="100" w:type="dxa"/>
            <w:vAlign w:val="bottom"/>
          </w:tcPr>
          <w:p>
            <w:pPr>
              <w:spacing w:after="0"/>
              <w:rPr>
                <w:sz w:val="22"/>
                <w:szCs w:val="22"/>
                <w:color w:val="auto"/>
              </w:rPr>
            </w:pPr>
          </w:p>
        </w:tc>
        <w:tc>
          <w:tcPr>
            <w:tcW w:w="1360" w:type="dxa"/>
            <w:vAlign w:val="bottom"/>
          </w:tcPr>
          <w:p>
            <w:pPr>
              <w:ind w:left="660"/>
              <w:spacing w:after="0"/>
              <w:rPr>
                <w:sz w:val="20"/>
                <w:szCs w:val="20"/>
                <w:color w:val="auto"/>
              </w:rPr>
            </w:pPr>
            <w:r>
              <w:rPr>
                <w:rFonts w:ascii="Arial" w:cs="Arial" w:eastAsia="Arial" w:hAnsi="Arial"/>
                <w:sz w:val="20"/>
                <w:szCs w:val="20"/>
                <w:color w:val="auto"/>
              </w:rPr>
              <w:t>(a)</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ind w:left="80"/>
              <w:spacing w:after="0"/>
              <w:rPr>
                <w:sz w:val="20"/>
                <w:szCs w:val="20"/>
                <w:color w:val="auto"/>
              </w:rPr>
            </w:pPr>
            <w:r>
              <w:rPr>
                <w:rFonts w:ascii="Arial" w:cs="Arial" w:eastAsia="Arial" w:hAnsi="Arial"/>
                <w:sz w:val="20"/>
                <w:szCs w:val="20"/>
                <w:color w:val="auto"/>
              </w:rPr>
              <w:t>(b)</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tcPr>
          <w:p>
            <w:pPr>
              <w:jc w:val="right"/>
              <w:ind w:right="481"/>
              <w:spacing w:after="0"/>
              <w:rPr>
                <w:sz w:val="20"/>
                <w:szCs w:val="20"/>
                <w:color w:val="auto"/>
              </w:rPr>
            </w:pPr>
            <w:r>
              <w:rPr>
                <w:rFonts w:ascii="Arial" w:cs="Arial" w:eastAsia="Arial" w:hAnsi="Arial"/>
                <w:sz w:val="20"/>
                <w:szCs w:val="20"/>
                <w:color w:val="auto"/>
              </w:rPr>
              <w:t>(c)</w:t>
            </w:r>
          </w:p>
        </w:tc>
        <w:tc>
          <w:tcPr>
            <w:tcW w:w="0" w:type="dxa"/>
            <w:vAlign w:val="bottom"/>
          </w:tcPr>
          <w:p>
            <w:pPr>
              <w:spacing w:after="0"/>
              <w:rPr>
                <w:sz w:val="1"/>
                <w:szCs w:val="1"/>
                <w:color w:val="auto"/>
              </w:rPr>
            </w:pPr>
          </w:p>
        </w:tc>
      </w:tr>
      <w:tr>
        <w:trPr>
          <w:trHeight w:val="198"/>
        </w:trPr>
        <w:tc>
          <w:tcPr>
            <w:tcW w:w="4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60" w:type="dxa"/>
            <w:vAlign w:val="bottom"/>
            <w:gridSpan w:val="2"/>
          </w:tcPr>
          <w:p>
            <w:pPr>
              <w:spacing w:after="0"/>
              <w:rPr>
                <w:sz w:val="20"/>
                <w:szCs w:val="20"/>
                <w:color w:val="auto"/>
              </w:rPr>
            </w:pPr>
            <w:r>
              <w:rPr>
                <w:rFonts w:ascii="Arial" w:cs="Arial" w:eastAsia="Arial" w:hAnsi="Arial"/>
                <w:sz w:val="20"/>
                <w:szCs w:val="20"/>
                <w:color w:val="auto"/>
              </w:rPr>
              <w:t>2020 Equity Compensation Plan</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ind w:right="381"/>
              <w:spacing w:after="0"/>
              <w:rPr>
                <w:sz w:val="20"/>
                <w:szCs w:val="20"/>
                <w:color w:val="auto"/>
              </w:rPr>
            </w:pPr>
            <w:r>
              <w:rPr>
                <w:rFonts w:ascii="Arial" w:cs="Arial" w:eastAsia="Arial" w:hAnsi="Arial"/>
                <w:sz w:val="20"/>
                <w:szCs w:val="20"/>
                <w:color w:val="auto"/>
              </w:rPr>
              <w:t>$</w:t>
            </w:r>
          </w:p>
        </w:tc>
        <w:tc>
          <w:tcPr>
            <w:tcW w:w="7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4"/>
          </w:tcPr>
          <w:p>
            <w:pPr>
              <w:jc w:val="right"/>
              <w:spacing w:after="0"/>
              <w:rPr>
                <w:sz w:val="20"/>
                <w:szCs w:val="20"/>
                <w:color w:val="auto"/>
              </w:rPr>
            </w:pPr>
            <w:r>
              <w:rPr>
                <w:rFonts w:ascii="Arial" w:cs="Arial" w:eastAsia="Arial" w:hAnsi="Arial"/>
                <w:sz w:val="20"/>
                <w:szCs w:val="20"/>
                <w:color w:val="auto"/>
              </w:rPr>
              <w:t>356,889</w:t>
            </w:r>
          </w:p>
        </w:tc>
        <w:tc>
          <w:tcPr>
            <w:tcW w:w="0" w:type="dxa"/>
            <w:vAlign w:val="bottom"/>
          </w:tcPr>
          <w:p>
            <w:pPr>
              <w:spacing w:after="0"/>
              <w:rPr>
                <w:sz w:val="1"/>
                <w:szCs w:val="1"/>
                <w:color w:val="auto"/>
              </w:rPr>
            </w:pPr>
          </w:p>
        </w:tc>
      </w:tr>
      <w:tr>
        <w:trPr>
          <w:trHeight w:val="443"/>
        </w:trPr>
        <w:tc>
          <w:tcPr>
            <w:tcW w:w="4760" w:type="dxa"/>
            <w:vAlign w:val="bottom"/>
            <w:gridSpan w:val="2"/>
          </w:tcPr>
          <w:p>
            <w:pPr>
              <w:spacing w:after="0"/>
              <w:rPr>
                <w:sz w:val="20"/>
                <w:szCs w:val="20"/>
                <w:color w:val="auto"/>
              </w:rPr>
            </w:pPr>
            <w:r>
              <w:rPr>
                <w:rFonts w:ascii="Arial" w:cs="Arial" w:eastAsia="Arial" w:hAnsi="Arial"/>
                <w:sz w:val="20"/>
                <w:szCs w:val="20"/>
                <w:color w:val="auto"/>
              </w:rPr>
              <w:t>Equity compensation plans not approved by security</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760" w:type="dxa"/>
            <w:vAlign w:val="bottom"/>
            <w:gridSpan w:val="2"/>
          </w:tcPr>
          <w:p>
            <w:pPr>
              <w:spacing w:after="0"/>
              <w:rPr>
                <w:sz w:val="20"/>
                <w:szCs w:val="20"/>
                <w:color w:val="auto"/>
              </w:rPr>
            </w:pPr>
            <w:r>
              <w:rPr>
                <w:rFonts w:ascii="Arial" w:cs="Arial" w:eastAsia="Arial" w:hAnsi="Arial"/>
                <w:sz w:val="20"/>
                <w:szCs w:val="20"/>
                <w:color w:val="auto"/>
              </w:rPr>
              <w:t>holders</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4760" w:type="dxa"/>
            <w:vAlign w:val="bottom"/>
            <w:gridSpan w:val="2"/>
          </w:tcPr>
          <w:p>
            <w:pPr>
              <w:spacing w:after="0"/>
              <w:rPr>
                <w:sz w:val="20"/>
                <w:szCs w:val="20"/>
                <w:color w:val="auto"/>
              </w:rPr>
            </w:pPr>
            <w:r>
              <w:rPr>
                <w:rFonts w:ascii="Arial" w:cs="Arial" w:eastAsia="Arial" w:hAnsi="Arial"/>
                <w:sz w:val="20"/>
                <w:szCs w:val="20"/>
                <w:color w:val="auto"/>
              </w:rPr>
              <w:t>Totals</w:t>
            </w: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580" w:type="dxa"/>
            <w:vAlign w:val="bottom"/>
            <w:tcBorders>
              <w:top w:val="single" w:sz="8" w:color="auto"/>
            </w:tcBorders>
          </w:tcPr>
          <w:p>
            <w:pPr>
              <w:jc w:val="right"/>
              <w:ind w:right="381"/>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356,889</w:t>
            </w:r>
          </w:p>
        </w:tc>
        <w:tc>
          <w:tcPr>
            <w:tcW w:w="0" w:type="dxa"/>
            <w:vAlign w:val="bottom"/>
          </w:tcPr>
          <w:p>
            <w:pPr>
              <w:spacing w:after="0"/>
              <w:rPr>
                <w:sz w:val="1"/>
                <w:szCs w:val="1"/>
                <w:color w:val="auto"/>
              </w:rPr>
            </w:pPr>
          </w:p>
        </w:tc>
      </w:tr>
      <w:tr>
        <w:trPr>
          <w:trHeight w:val="579"/>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ind w:right="621"/>
              <w:spacing w:after="0"/>
              <w:rPr>
                <w:sz w:val="20"/>
                <w:szCs w:val="20"/>
                <w:color w:val="auto"/>
              </w:rPr>
            </w:pPr>
            <w:r>
              <w:rPr>
                <w:rFonts w:ascii="Arial" w:cs="Arial" w:eastAsia="Arial" w:hAnsi="Arial"/>
                <w:sz w:val="20"/>
                <w:szCs w:val="20"/>
                <w:color w:val="auto"/>
              </w:rPr>
              <w:t>93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-561975</wp:posOffset>
            </wp:positionV>
            <wp:extent cx="3062605" cy="2222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62605" cy="222250"/>
                    </a:xfrm>
                    <a:prstGeom prst="rect">
                      <a:avLst/>
                    </a:prstGeom>
                    <a:noFill/>
                  </pic:spPr>
                </pic:pic>
              </a:graphicData>
            </a:graphic>
          </wp:anchor>
        </w:drawing>
      </w:r>
    </w:p>
    <w:p>
      <w:pPr>
        <w:sectPr>
          <w:pgSz w:w="12240" w:h="15840" w:orient="portrait"/>
          <w:cols w:equalWidth="0" w:num="1">
            <w:col w:w="10800"/>
          </w:cols>
          <w:pgMar w:left="720" w:top="551" w:right="720" w:bottom="0" w:gutter="0" w:footer="0" w:header="0"/>
        </w:sectPr>
      </w:pPr>
    </w:p>
    <w:bookmarkStart w:id="103" w:name="page104"/>
    <w:bookmarkEnd w:id="103"/>
    <w:p>
      <w:pPr>
        <w:spacing w:after="0"/>
        <w:tabs>
          <w:tab w:leader="none" w:pos="94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6"/>
          <w:szCs w:val="16"/>
          <w:b w:val="1"/>
          <w:bCs w:val="1"/>
          <w:i w:val="1"/>
          <w:iCs w:val="1"/>
          <w:color w:val="auto"/>
        </w:rPr>
        <w:t>Certain Relationships and Related Transactions, and Director Independence</w:t>
      </w:r>
    </w:p>
    <w:p>
      <w:pPr>
        <w:spacing w:after="0" w:line="230"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Registrant incorporates by reference herein information to be set forth in the Proxy Statement that is responsive to the information required with respect to this Item 13.</w:t>
      </w:r>
    </w:p>
    <w:p>
      <w:pPr>
        <w:spacing w:after="0" w:line="388"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6"/>
          <w:szCs w:val="16"/>
          <w:b w:val="1"/>
          <w:bCs w:val="1"/>
          <w:i w:val="1"/>
          <w:iCs w:val="1"/>
          <w:color w:val="auto"/>
        </w:rPr>
        <w:t>Principal Accountant Fees and Services</w:t>
      </w:r>
    </w:p>
    <w:p>
      <w:pPr>
        <w:spacing w:after="0" w:line="230"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Registrant incorporates by reference herein information to be set forth in the Proxy Statement that is responsive to the information required with respect to this Item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2240" w:h="15840" w:orient="portrait"/>
          <w:cols w:equalWidth="0" w:num="1">
            <w:col w:w="10800"/>
          </w:cols>
          <w:pgMar w:left="720" w:top="781" w:right="720" w:bottom="0" w:gutter="0" w:footer="0" w:header="0"/>
        </w:sectPr>
      </w:pPr>
    </w:p>
    <w:bookmarkStart w:id="104" w:name="page105"/>
    <w:bookmarkEnd w:id="104"/>
    <w:p>
      <w:pPr>
        <w:jc w:val="center"/>
        <w:spacing w:after="0"/>
        <w:rPr>
          <w:sz w:val="20"/>
          <w:szCs w:val="20"/>
          <w:color w:val="auto"/>
        </w:rPr>
      </w:pPr>
      <w:r>
        <w:rPr>
          <w:rFonts w:ascii="Arial" w:cs="Arial" w:eastAsia="Arial" w:hAnsi="Arial"/>
          <w:sz w:val="20"/>
          <w:szCs w:val="20"/>
          <w:b w:val="1"/>
          <w:bCs w:val="1"/>
          <w:color w:val="auto"/>
        </w:rPr>
        <w:t>PART IV</w:t>
      </w:r>
    </w:p>
    <w:p>
      <w:pPr>
        <w:spacing w:after="0" w:line="233"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6"/>
          <w:szCs w:val="16"/>
          <w:b w:val="1"/>
          <w:bCs w:val="1"/>
          <w:i w:val="1"/>
          <w:iCs w:val="1"/>
          <w:color w:val="auto"/>
        </w:rPr>
        <w:t>Exhibits and Financial Statement Schedules</w:t>
      </w:r>
    </w:p>
    <w:p>
      <w:pPr>
        <w:spacing w:after="0" w:line="226" w:lineRule="exact"/>
        <w:rPr>
          <w:sz w:val="20"/>
          <w:szCs w:val="20"/>
          <w:color w:val="auto"/>
        </w:rPr>
      </w:pPr>
    </w:p>
    <w:p>
      <w:pPr>
        <w:ind w:left="1380" w:hanging="295"/>
        <w:spacing w:after="0"/>
        <w:tabs>
          <w:tab w:leader="none" w:pos="138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Documents filed as a part of this Annual Report on Form 10-K:</w:t>
      </w:r>
    </w:p>
    <w:p>
      <w:pPr>
        <w:spacing w:after="0" w:line="232" w:lineRule="exact"/>
        <w:rPr>
          <w:rFonts w:ascii="Arial" w:cs="Arial" w:eastAsia="Arial" w:hAnsi="Arial"/>
          <w:sz w:val="20"/>
          <w:szCs w:val="20"/>
          <w:b w:val="1"/>
          <w:bCs w:val="1"/>
          <w:color w:val="auto"/>
        </w:rPr>
      </w:pPr>
    </w:p>
    <w:p>
      <w:pPr>
        <w:ind w:left="1560" w:hanging="295"/>
        <w:spacing w:after="0"/>
        <w:tabs>
          <w:tab w:leader="none" w:pos="1560" w:val="left"/>
        </w:tabs>
        <w:numPr>
          <w:ilvl w:val="1"/>
          <w:numId w:val="37"/>
        </w:numPr>
        <w:rPr>
          <w:rFonts w:ascii="Arial" w:cs="Arial" w:eastAsia="Arial" w:hAnsi="Arial"/>
          <w:sz w:val="20"/>
          <w:szCs w:val="20"/>
          <w:color w:val="auto"/>
        </w:rPr>
      </w:pPr>
      <w:r>
        <w:rPr>
          <w:rFonts w:ascii="Arial" w:cs="Arial" w:eastAsia="Arial" w:hAnsi="Arial"/>
          <w:sz w:val="20"/>
          <w:szCs w:val="20"/>
          <w:color w:val="auto"/>
        </w:rPr>
        <w:t>Financial Statements (See Index to Consolidated Financial Statements in Item 8 of this Form 10-K).</w:t>
      </w:r>
    </w:p>
    <w:p>
      <w:pPr>
        <w:spacing w:after="0" w:line="228" w:lineRule="exact"/>
        <w:rPr>
          <w:rFonts w:ascii="Arial" w:cs="Arial" w:eastAsia="Arial" w:hAnsi="Arial"/>
          <w:sz w:val="20"/>
          <w:szCs w:val="20"/>
          <w:color w:val="auto"/>
        </w:rPr>
      </w:pPr>
    </w:p>
    <w:p>
      <w:pPr>
        <w:ind w:left="1560" w:hanging="295"/>
        <w:spacing w:after="0"/>
        <w:tabs>
          <w:tab w:leader="none" w:pos="1560" w:val="left"/>
        </w:tabs>
        <w:numPr>
          <w:ilvl w:val="1"/>
          <w:numId w:val="37"/>
        </w:numPr>
        <w:rPr>
          <w:rFonts w:ascii="Arial" w:cs="Arial" w:eastAsia="Arial" w:hAnsi="Arial"/>
          <w:sz w:val="20"/>
          <w:szCs w:val="20"/>
          <w:color w:val="auto"/>
        </w:rPr>
      </w:pPr>
      <w:r>
        <w:rPr>
          <w:rFonts w:ascii="Arial" w:cs="Arial" w:eastAsia="Arial" w:hAnsi="Arial"/>
          <w:sz w:val="20"/>
          <w:szCs w:val="20"/>
          <w:color w:val="auto"/>
        </w:rPr>
        <w:t>Financial Statement Schedules: See Schedule II: Valuation and Qualifying Accounts</w:t>
      </w:r>
    </w:p>
    <w:p>
      <w:pPr>
        <w:spacing w:after="0" w:line="226" w:lineRule="exact"/>
        <w:rPr>
          <w:rFonts w:ascii="Arial" w:cs="Arial" w:eastAsia="Arial" w:hAnsi="Arial"/>
          <w:sz w:val="20"/>
          <w:szCs w:val="20"/>
          <w:color w:val="auto"/>
        </w:rPr>
      </w:pPr>
    </w:p>
    <w:p>
      <w:pPr>
        <w:ind w:left="1260" w:firstLine="5"/>
        <w:spacing w:after="0" w:line="274" w:lineRule="auto"/>
        <w:tabs>
          <w:tab w:leader="none" w:pos="1554" w:val="left"/>
        </w:tabs>
        <w:numPr>
          <w:ilvl w:val="1"/>
          <w:numId w:val="37"/>
        </w:numPr>
        <w:rPr>
          <w:rFonts w:ascii="Arial" w:cs="Arial" w:eastAsia="Arial" w:hAnsi="Arial"/>
          <w:sz w:val="20"/>
          <w:szCs w:val="20"/>
          <w:color w:val="auto"/>
        </w:rPr>
      </w:pPr>
      <w:r>
        <w:rPr>
          <w:rFonts w:ascii="Arial" w:cs="Arial" w:eastAsia="Arial" w:hAnsi="Arial"/>
          <w:sz w:val="20"/>
          <w:szCs w:val="20"/>
          <w:color w:val="auto"/>
        </w:rPr>
        <w:t>Exhibits (The exhibits listed in the accompanying Exhibit Index immediately following below are filed as part of, or incorporated by reference into, this Annual Report on Form 10-K).</w:t>
      </w:r>
    </w:p>
    <w:p>
      <w:pPr>
        <w:spacing w:after="0" w:line="162" w:lineRule="exact"/>
        <w:rPr>
          <w:rFonts w:ascii="Arial" w:cs="Arial" w:eastAsia="Arial" w:hAnsi="Arial"/>
          <w:sz w:val="20"/>
          <w:szCs w:val="20"/>
          <w:color w:val="auto"/>
        </w:rPr>
      </w:pPr>
    </w:p>
    <w:p>
      <w:pPr>
        <w:ind w:left="1380" w:hanging="295"/>
        <w:spacing w:after="0"/>
        <w:tabs>
          <w:tab w:leader="none" w:pos="13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Exhibits: See Item 15(a)(3) as set forth above and the Exhibit Index below.</w:t>
      </w:r>
    </w:p>
    <w:p>
      <w:pPr>
        <w:spacing w:after="0" w:line="226" w:lineRule="exact"/>
        <w:rPr>
          <w:rFonts w:ascii="Arial" w:cs="Arial" w:eastAsia="Arial" w:hAnsi="Arial"/>
          <w:sz w:val="20"/>
          <w:szCs w:val="20"/>
          <w:color w:val="auto"/>
        </w:rPr>
      </w:pPr>
    </w:p>
    <w:p>
      <w:pPr>
        <w:ind w:left="1360" w:hanging="275"/>
        <w:spacing w:after="0"/>
        <w:tabs>
          <w:tab w:leader="none" w:pos="1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Financial Statement Schedules: See Item 15(a)(2) as set forth above.</w:t>
      </w: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20"/>
          <w:szCs w:val="20"/>
          <w:color w:val="auto"/>
        </w:rPr>
        <w:t>Exhibit</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No.:</w:t>
      </w:r>
    </w:p>
    <w:p>
      <w:pPr>
        <w:spacing w:after="0" w:line="220" w:lineRule="exact"/>
        <w:rPr>
          <w:sz w:val="20"/>
          <w:szCs w:val="20"/>
          <w:color w:val="auto"/>
        </w:rPr>
      </w:pPr>
    </w:p>
    <w:p>
      <w:pPr>
        <w:jc w:val="both"/>
        <w:ind w:left="1080" w:hanging="719"/>
        <w:spacing w:after="0" w:line="257" w:lineRule="auto"/>
        <w:tabs>
          <w:tab w:leader="none" w:pos="10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Share Purchase Agreement, dated as of September 19, 2024, by and among Bel Fuse Inc., Enercon Technologies Ltd., and the Shareholders of Enercon Technologies Ltd., is incorporated by reference to Exhibit 2.1 to the Company’s Current Report on Form 8-K filed on September 24, 2024.</w:t>
      </w:r>
    </w:p>
    <w:p>
      <w:pPr>
        <w:spacing w:after="0" w:line="197" w:lineRule="exact"/>
        <w:rPr>
          <w:sz w:val="20"/>
          <w:szCs w:val="20"/>
          <w:color w:val="auto"/>
        </w:rPr>
      </w:pPr>
    </w:p>
    <w:p>
      <w:pPr>
        <w:jc w:val="both"/>
        <w:ind w:left="1080" w:hanging="669"/>
        <w:spacing w:after="0" w:line="247" w:lineRule="auto"/>
        <w:tabs>
          <w:tab w:leader="none" w:pos="10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(i) Restated Certificate of Incorporation, as amended, is incorporated by reference to Exhibit 3.1 of the Company’s Quarterly Report on Form 10-Q for the quarterly period ended June 30, 1998 filed on August 11, 1998 and (ii) the Certificate of Amendment to the Company’s Restated Certificate of Incorporation, is incorporated by reference to Exhibit 3.2 of the Company’s Annual Report on Form 10-K for the fiscal year ended December 31, 1999 filed on March 29, 2000.</w:t>
      </w:r>
    </w:p>
    <w:p>
      <w:pPr>
        <w:spacing w:after="0" w:line="20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Amended and Restated By-Laws of Bel Fuse Inc. (Adopted October 25, 2023), are incorporated by reference to Exhibit</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3.1 to the Company’s Current Report on Form 8-K filed on October 25, 2023.</w:t>
      </w:r>
    </w:p>
    <w:p>
      <w:pPr>
        <w:spacing w:after="0" w:line="220" w:lineRule="exact"/>
        <w:rPr>
          <w:sz w:val="20"/>
          <w:szCs w:val="20"/>
          <w:color w:val="auto"/>
        </w:rPr>
      </w:pPr>
    </w:p>
    <w:p>
      <w:pPr>
        <w:jc w:val="both"/>
        <w:ind w:left="1080" w:right="20" w:hanging="669"/>
        <w:spacing w:after="0" w:line="275" w:lineRule="auto"/>
        <w:tabs>
          <w:tab w:leader="none" w:pos="10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Description of Registrant’s Securities, is incorporated by reference to Exhibit 4.1 to the Company’s Annual Report on Form 10-K for the fiscal year ended December 31, 2024, filed on February 28, 2025.</w:t>
      </w:r>
    </w:p>
    <w:p>
      <w:pPr>
        <w:sectPr>
          <w:pgSz w:w="12240" w:h="15840" w:orient="portrait"/>
          <w:cols w:equalWidth="0" w:num="1">
            <w:col w:w="10800"/>
          </w:cols>
          <w:pgMar w:left="720" w:top="551" w:right="720" w:bottom="0" w:gutter="0" w:footer="0" w:header="0"/>
        </w:sect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04"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2020 Equity Compensation Plan, as amended, is incorporated by reference to Exhibit 10.1 to the Company's Current Report on Form 8-K filed on June 12, 2020.</w:t>
      </w:r>
    </w:p>
    <w:p>
      <w:pPr>
        <w:spacing w:after="0" w:line="183" w:lineRule="exact"/>
        <w:rPr>
          <w:sz w:val="20"/>
          <w:szCs w:val="20"/>
          <w:color w:val="auto"/>
        </w:rPr>
      </w:pPr>
    </w:p>
    <w:p>
      <w:pPr>
        <w:spacing w:after="0" w:line="332" w:lineRule="auto"/>
        <w:rPr>
          <w:sz w:val="20"/>
          <w:szCs w:val="20"/>
          <w:color w:val="auto"/>
        </w:rPr>
      </w:pPr>
      <w:r>
        <w:rPr>
          <w:rFonts w:ascii="Arial" w:cs="Arial" w:eastAsia="Arial" w:hAnsi="Arial"/>
          <w:sz w:val="18"/>
          <w:szCs w:val="18"/>
          <w:color w:val="auto"/>
        </w:rPr>
        <w:t>Amended and Restated Bel Fuse Supplemental Executive Retirement Plan, dated as of April 17, 2007. Filed as Exhibit 10.1 to the Company's Current Report on Form 8-K filed on April 23, 2007 and incorporated herein by reference.</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2011 Equity Compensation Program. Incorporated by reference to the Registrant’s proxy statement for its 2011 annual meeting of shareholders.</w:t>
      </w:r>
    </w:p>
    <w:p>
      <w:pPr>
        <w:spacing w:after="0" w:line="180" w:lineRule="exact"/>
        <w:rPr>
          <w:sz w:val="20"/>
          <w:szCs w:val="20"/>
          <w:color w:val="auto"/>
        </w:rPr>
      </w:pPr>
    </w:p>
    <w:p>
      <w:pPr>
        <w:sectPr>
          <w:pgSz w:w="12240" w:h="15840" w:orient="portrait"/>
          <w:cols w:equalWidth="0" w:num="2">
            <w:col w:w="800" w:space="280"/>
            <w:col w:w="9720"/>
          </w:cols>
          <w:pgMar w:left="720" w:top="551" w:right="720" w:bottom="0" w:gutter="0" w:footer="0" w:header="0"/>
          <w:type w:val="continuous"/>
        </w:sectPr>
      </w:pPr>
    </w:p>
    <w:p>
      <w:pPr>
        <w:jc w:val="both"/>
        <w:ind w:left="1080" w:hanging="719"/>
        <w:spacing w:after="0" w:line="247" w:lineRule="auto"/>
        <w:tabs>
          <w:tab w:leader="none" w:pos="106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First Amendment Agreement, dated as of January 12, 2023, to Amended and Restated Credit and Security Agreement, dated as of September 2, 2021, by and among Bel Fuse Inc., as Borrower, KeyBank National Association, as Administrative Agent, Swing Line Lender and Issuing Lender, and the other lenders identified therein, is incorporated by reference to Exhibit 10.4 to the Company’s Annual Report on Form 10-K for the fiscal year ended December 31, 2022 filed on March 10, 2023.</w:t>
      </w:r>
    </w:p>
    <w:p>
      <w:pPr>
        <w:spacing w:after="0" w:line="209" w:lineRule="exact"/>
        <w:rPr>
          <w:sz w:val="20"/>
          <w:szCs w:val="20"/>
          <w:color w:val="auto"/>
        </w:rPr>
      </w:pPr>
    </w:p>
    <w:p>
      <w:pPr>
        <w:jc w:val="both"/>
        <w:ind w:left="1080" w:right="20" w:hanging="719"/>
        <w:spacing w:after="0" w:line="287" w:lineRule="auto"/>
        <w:tabs>
          <w:tab w:leader="none" w:pos="106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8"/>
          <w:szCs w:val="18"/>
          <w:color w:val="auto"/>
        </w:rPr>
        <w:t>Second Amendment Agreement, dated September 18, 2024, to Amended and Restated Credit and Security Agreement, dated as of September 2, 2021, by and among Bel Fuse Inc., as the borrower, KeyBank National Association, as administrative agent, swing line lender and issuing lender, and the other lenders identified therein, as amended, is incorporated by reference to Exhibit 10.2 to the Company’s Current Report on Form 8-K filed on September 24, 2024.</w:t>
      </w:r>
    </w:p>
    <w:p>
      <w:pPr>
        <w:spacing w:after="0" w:line="175" w:lineRule="exact"/>
        <w:rPr>
          <w:sz w:val="20"/>
          <w:szCs w:val="20"/>
          <w:color w:val="auto"/>
        </w:rPr>
      </w:pPr>
    </w:p>
    <w:p>
      <w:pPr>
        <w:jc w:val="both"/>
        <w:ind w:left="1080" w:hanging="719"/>
        <w:spacing w:after="0" w:line="287" w:lineRule="auto"/>
        <w:tabs>
          <w:tab w:leader="none" w:pos="106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color w:val="auto"/>
        </w:rPr>
        <w:t>Third Amendment Agreement, dated November 14, 2024, to Amended and Restated Credit and Security Agreement, dated September 2, 2021, by and among Bel Fuse Inc., as the borrower, KeyBank National Association, as administrative agent, swing line lender and issuing lender, and the other lenders identified therein, as amended, is incorporated by reference to Exhibit 10.2 to the Company’s Current Report on Form 8-K filed on November 20, 2024.</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2240" w:h="15840" w:orient="portrait"/>
          <w:cols w:equalWidth="0" w:num="1">
            <w:col w:w="10800"/>
          </w:cols>
          <w:pgMar w:left="720" w:top="551" w:right="720" w:bottom="0" w:gutter="0" w:footer="0" w:header="0"/>
          <w:type w:val="continuous"/>
        </w:sectPr>
      </w:pPr>
    </w:p>
    <w:bookmarkStart w:id="105" w:name="page106"/>
    <w:bookmarkEnd w:id="105"/>
    <w:p>
      <w:pPr>
        <w:jc w:val="both"/>
        <w:ind w:left="760" w:hanging="719"/>
        <w:spacing w:after="0" w:line="267" w:lineRule="auto"/>
        <w:tabs>
          <w:tab w:leader="none" w:pos="74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9"/>
          <w:szCs w:val="19"/>
          <w:color w:val="auto"/>
        </w:rPr>
        <w:t>Fourth Amendment Agreement, dated May 2, 2025, to Amended and Restated Credit and Security Agreement, dated as of September 2, 2021, by and among Bel Fuse Inc., as the borrower, KeyBank National Association, as administrative agent, swing line lender and issuing lender, and the other lenders identified therein, as amended, is incorporated by reference to Exhibit 10.1 to the Company’s Current Report on Form 8-K filed on May 6, 2025.</w:t>
      </w:r>
    </w:p>
    <w:p>
      <w:pPr>
        <w:spacing w:after="0" w:line="191" w:lineRule="exact"/>
        <w:rPr>
          <w:sz w:val="20"/>
          <w:szCs w:val="20"/>
          <w:color w:val="auto"/>
        </w:rPr>
      </w:pPr>
    </w:p>
    <w:p>
      <w:pPr>
        <w:jc w:val="both"/>
        <w:ind w:left="760" w:hanging="769"/>
        <w:spacing w:after="0" w:line="278" w:lineRule="auto"/>
        <w:tabs>
          <w:tab w:leader="none" w:pos="74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8"/>
          <w:szCs w:val="18"/>
          <w:color w:val="auto"/>
        </w:rPr>
        <w:t>Conformed Amended and Restated Credit and Security Agreement, dated as of September 2, 2021 (reflecting changes thereto pursuant to First Amendment Agreement dated as of January 12, 2023, Second Amendment Agreement dated as of September 18, 2024, Third Amendment Agreement dated as of November 14, 2024, and Fourth Amendment Agreement dated as of May 2, 2025), by and among Bel Fuse Inc., as the borrower, KeyBank National Association, as administrative agent, swing line lender and issuing lender, and the other lenders identified therein, is incorporated by reference to Exhibit 10.2 to the Company’s Current Report on Form 8-K filed on May 6, 2025.</w:t>
      </w:r>
    </w:p>
    <w:p>
      <w:pPr>
        <w:spacing w:after="0" w:line="183"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8"/>
          <w:szCs w:val="18"/>
          <w:color w:val="auto"/>
        </w:rPr>
        <w:t>ISDA Master Agreement, by and between Bel Fuse Inc. and PNC Bank, National Association, dated as of November 10,</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2021, is incorporated by reference to Exhibit 10.1 to the Company’s Current Report on Form 8-K filed on December 10,</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2021.</w:t>
      </w:r>
    </w:p>
    <w:p>
      <w:pPr>
        <w:spacing w:after="0" w:line="210"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8"/>
          <w:szCs w:val="18"/>
          <w:color w:val="auto"/>
        </w:rPr>
        <w:t>ISDA Master Agreement, by and between Bel Fuse Inc. and KeyBank National Association, dated as of November 16,</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2021, is incorporated by reference to Exhibit 10.2 to the Company’s Current Report on Form 8-K filed on December 10,</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2021.</w:t>
      </w:r>
    </w:p>
    <w:p>
      <w:pPr>
        <w:spacing w:after="0" w:line="220" w:lineRule="exact"/>
        <w:rPr>
          <w:sz w:val="20"/>
          <w:szCs w:val="20"/>
          <w:color w:val="auto"/>
        </w:rPr>
      </w:pPr>
    </w:p>
    <w:p>
      <w:pPr>
        <w:jc w:val="both"/>
        <w:ind w:left="760" w:hanging="769"/>
        <w:spacing w:after="0" w:line="255" w:lineRule="auto"/>
        <w:tabs>
          <w:tab w:leader="none" w:pos="74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20"/>
          <w:szCs w:val="20"/>
          <w:color w:val="auto"/>
        </w:rPr>
        <w:t>Amended Confirmation of Transaction, by and between Bel Fuse Inc. and PNC Bank, National Association, dated as of January 18, 2023, is incorporated by reference to Exhibit 10.8 to the Company’s Annual Report on Form 10-K for the fiscal year ended December 31, 2022 filed on March 10, 2023.</w:t>
      </w:r>
    </w:p>
    <w:p>
      <w:pPr>
        <w:spacing w:after="0" w:line="201" w:lineRule="exact"/>
        <w:rPr>
          <w:sz w:val="20"/>
          <w:szCs w:val="20"/>
          <w:color w:val="auto"/>
        </w:rPr>
      </w:pPr>
    </w:p>
    <w:p>
      <w:pPr>
        <w:jc w:val="both"/>
        <w:ind w:left="760" w:hanging="769"/>
        <w:spacing w:after="0" w:line="257" w:lineRule="auto"/>
        <w:tabs>
          <w:tab w:leader="none" w:pos="74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20"/>
          <w:szCs w:val="20"/>
          <w:color w:val="auto"/>
        </w:rPr>
        <w:t>Amended Confirmation of Transaction, by and between Bel Fuse Inc. and KeyBank National Association, dated as of January 18, 2023, is incorporated by reference to Exhibit 10.9 to the Company’s Annual Report on Form 10-K for the fiscal year ended December 31, 2022 filed on March 10, 2023.</w:t>
      </w:r>
    </w:p>
    <w:p>
      <w:pPr>
        <w:spacing w:after="0" w:line="197" w:lineRule="exact"/>
        <w:rPr>
          <w:sz w:val="20"/>
          <w:szCs w:val="20"/>
          <w:color w:val="auto"/>
        </w:rPr>
      </w:pPr>
    </w:p>
    <w:p>
      <w:pPr>
        <w:jc w:val="both"/>
        <w:ind w:left="760" w:hanging="769"/>
        <w:spacing w:after="0" w:line="255" w:lineRule="auto"/>
        <w:tabs>
          <w:tab w:leader="none" w:pos="74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20"/>
          <w:szCs w:val="20"/>
          <w:color w:val="auto"/>
        </w:rPr>
        <w:t>Consulting Agreement, dated October 15, 2021, by and between Bel Fuse Inc. and HR Asset Partners, is incorporated by reference to Exhibit 10.9 to the Company’s Annual Report on Form 10-K for the fiscal year ended December 31, 2021 filed on March 14, 2022.</w:t>
      </w:r>
    </w:p>
    <w:p>
      <w:pPr>
        <w:spacing w:after="0" w:line="201" w:lineRule="exact"/>
        <w:rPr>
          <w:sz w:val="20"/>
          <w:szCs w:val="20"/>
          <w:color w:val="auto"/>
        </w:rPr>
      </w:pPr>
    </w:p>
    <w:p>
      <w:pPr>
        <w:jc w:val="both"/>
        <w:ind w:left="760" w:right="20" w:hanging="820"/>
        <w:spacing w:after="0" w:line="257" w:lineRule="auto"/>
        <w:tabs>
          <w:tab w:leader="none" w:pos="740" w:val="left"/>
        </w:tabs>
        <w:rPr>
          <w:sz w:val="20"/>
          <w:szCs w:val="20"/>
          <w:color w:val="auto"/>
        </w:rPr>
      </w:pPr>
      <w:r>
        <w:rPr>
          <w:rFonts w:ascii="Arial" w:cs="Arial" w:eastAsia="Arial" w:hAnsi="Arial"/>
          <w:sz w:val="20"/>
          <w:szCs w:val="20"/>
          <w:color w:val="auto"/>
        </w:rPr>
        <w:t>10.14†</w:t>
        <w:tab/>
        <w:t>Employment Agreement, dated as of May 6, 2022, by and between Bel Fuse Inc. and Farouq Tuweiq, is incorporated by reference to Exhibit 10.1 to the Company’s Quarterly Report on Form 10-Q for the quarterly period ended March 31, 2022 filed on May 6, 2022.</w:t>
      </w:r>
    </w:p>
    <w:p>
      <w:pPr>
        <w:spacing w:after="0" w:line="197" w:lineRule="exact"/>
        <w:rPr>
          <w:sz w:val="20"/>
          <w:szCs w:val="20"/>
          <w:color w:val="auto"/>
        </w:rPr>
      </w:pPr>
    </w:p>
    <w:p>
      <w:pPr>
        <w:jc w:val="both"/>
        <w:ind w:left="760" w:hanging="820"/>
        <w:spacing w:after="0" w:line="257" w:lineRule="auto"/>
        <w:tabs>
          <w:tab w:leader="none" w:pos="740" w:val="left"/>
        </w:tabs>
        <w:rPr>
          <w:sz w:val="20"/>
          <w:szCs w:val="20"/>
          <w:color w:val="auto"/>
        </w:rPr>
      </w:pPr>
      <w:r>
        <w:rPr>
          <w:rFonts w:ascii="Arial" w:cs="Arial" w:eastAsia="Arial" w:hAnsi="Arial"/>
          <w:sz w:val="20"/>
          <w:szCs w:val="20"/>
          <w:color w:val="auto"/>
        </w:rPr>
        <w:t>10.15†</w:t>
        <w:tab/>
        <w:t>Offer Letter, dated July 27, 2022, between Bel Fuse Inc. and Kenneth Lai, is incorporated by reference to Exhibit 10.1 to the Company’s Quarterly Report on Form 10-Q for the quarterly period ended September 30, 2022 filed on November 4, 2022.</w:t>
      </w:r>
    </w:p>
    <w:p>
      <w:pPr>
        <w:spacing w:after="0" w:line="197" w:lineRule="exact"/>
        <w:rPr>
          <w:sz w:val="20"/>
          <w:szCs w:val="20"/>
          <w:color w:val="auto"/>
        </w:rPr>
      </w:pPr>
    </w:p>
    <w:p>
      <w:pPr>
        <w:jc w:val="both"/>
        <w:ind w:left="760" w:right="20" w:hanging="820"/>
        <w:spacing w:after="0" w:line="255" w:lineRule="auto"/>
        <w:tabs>
          <w:tab w:leader="none" w:pos="740" w:val="left"/>
        </w:tabs>
        <w:rPr>
          <w:sz w:val="20"/>
          <w:szCs w:val="20"/>
          <w:color w:val="auto"/>
        </w:rPr>
      </w:pPr>
      <w:r>
        <w:rPr>
          <w:rFonts w:ascii="Arial" w:cs="Arial" w:eastAsia="Arial" w:hAnsi="Arial"/>
          <w:sz w:val="20"/>
          <w:szCs w:val="20"/>
          <w:color w:val="auto"/>
        </w:rPr>
        <w:t>10.16†</w:t>
        <w:tab/>
        <w:t>Offer Letter, dated October 25, 2022, between Bel Fuse Inc. and Suzanne Kozlovsky, is incorporated by reference Exhibit 10.13 to the Company’s Annual Report on Form 10-K for the fiscal year ended December 31, 2022 filed on March 10, 2023.</w:t>
      </w:r>
    </w:p>
    <w:p>
      <w:pPr>
        <w:spacing w:after="0" w:line="201" w:lineRule="exact"/>
        <w:rPr>
          <w:sz w:val="20"/>
          <w:szCs w:val="20"/>
          <w:color w:val="auto"/>
        </w:rPr>
      </w:pPr>
    </w:p>
    <w:p>
      <w:pPr>
        <w:jc w:val="both"/>
        <w:ind w:left="760" w:hanging="820"/>
        <w:spacing w:after="0" w:line="257" w:lineRule="auto"/>
        <w:tabs>
          <w:tab w:leader="none" w:pos="740" w:val="left"/>
        </w:tabs>
        <w:rPr>
          <w:sz w:val="20"/>
          <w:szCs w:val="20"/>
          <w:color w:val="auto"/>
        </w:rPr>
      </w:pPr>
      <w:r>
        <w:rPr>
          <w:rFonts w:ascii="Arial" w:cs="Arial" w:eastAsia="Arial" w:hAnsi="Arial"/>
          <w:sz w:val="20"/>
          <w:szCs w:val="20"/>
          <w:color w:val="auto"/>
        </w:rPr>
        <w:t>10.17†</w:t>
        <w:tab/>
        <w:t>Offer Letter, dated November 27, 2023, and effective July 1, 2024 between Bel Fuse Inc. and Steve Dawson, is incorporated by reference to Exhibit 10.1 to the Company’s Quarterly Report on Form 10-Q for the quarterly period ended June 30, 2024 filed on July 31, 2024.</w:t>
      </w:r>
    </w:p>
    <w:p>
      <w:pPr>
        <w:spacing w:after="0" w:line="197" w:lineRule="exact"/>
        <w:rPr>
          <w:sz w:val="20"/>
          <w:szCs w:val="20"/>
          <w:color w:val="auto"/>
        </w:rPr>
      </w:pPr>
    </w:p>
    <w:p>
      <w:pPr>
        <w:jc w:val="both"/>
        <w:ind w:left="760" w:hanging="820"/>
        <w:spacing w:after="0" w:line="257" w:lineRule="auto"/>
        <w:tabs>
          <w:tab w:leader="none" w:pos="740" w:val="left"/>
        </w:tabs>
        <w:rPr>
          <w:sz w:val="20"/>
          <w:szCs w:val="20"/>
          <w:color w:val="auto"/>
        </w:rPr>
      </w:pPr>
      <w:r>
        <w:rPr>
          <w:rFonts w:ascii="Arial" w:cs="Arial" w:eastAsia="Arial" w:hAnsi="Arial"/>
          <w:sz w:val="20"/>
          <w:szCs w:val="20"/>
          <w:color w:val="auto"/>
        </w:rPr>
        <w:t>10.18#</w:t>
        <w:tab/>
        <w:t>Shareholders’ Agreement, dated November 14, 2024, by and among Bel Power Solutions s.r.o., FF3 Holdings, L.P., and Enercon Technologies Ltd., is incorporated by reference to Exhibit 10.1 to the Company’s Current Report on Form 8-K filed on November 20, 2024.</w:t>
      </w:r>
    </w:p>
    <w:p>
      <w:pPr>
        <w:spacing w:after="0" w:line="197" w:lineRule="exact"/>
        <w:rPr>
          <w:sz w:val="20"/>
          <w:szCs w:val="20"/>
          <w:color w:val="auto"/>
        </w:rPr>
      </w:pPr>
    </w:p>
    <w:p>
      <w:pPr>
        <w:jc w:val="both"/>
        <w:ind w:left="760" w:hanging="820"/>
        <w:spacing w:after="0" w:line="255" w:lineRule="auto"/>
        <w:tabs>
          <w:tab w:leader="none" w:pos="740" w:val="left"/>
        </w:tabs>
        <w:rPr>
          <w:sz w:val="20"/>
          <w:szCs w:val="20"/>
          <w:color w:val="auto"/>
        </w:rPr>
      </w:pPr>
      <w:r>
        <w:rPr>
          <w:rFonts w:ascii="Arial" w:cs="Arial" w:eastAsia="Arial" w:hAnsi="Arial"/>
          <w:sz w:val="20"/>
          <w:szCs w:val="20"/>
          <w:color w:val="auto"/>
        </w:rPr>
        <w:t>10.19†</w:t>
        <w:tab/>
        <w:t>Amended and Restated Employment Agreement, dated as of February 3, 2025, by and between Bel Fuse Inc. and Farouq Tuweiq, is incorporated by reference to Exhibit 10.1 to the Company’s Current Report on Form 8-K filed on February 7, 2025.</w:t>
      </w:r>
    </w:p>
    <w:p>
      <w:pPr>
        <w:spacing w:after="0" w:line="201" w:lineRule="exact"/>
        <w:rPr>
          <w:sz w:val="20"/>
          <w:szCs w:val="20"/>
          <w:color w:val="auto"/>
        </w:rPr>
      </w:pPr>
    </w:p>
    <w:p>
      <w:pPr>
        <w:jc w:val="both"/>
        <w:ind w:left="760" w:right="20" w:hanging="820"/>
        <w:spacing w:after="0" w:line="302" w:lineRule="auto"/>
        <w:tabs>
          <w:tab w:leader="none" w:pos="740" w:val="left"/>
        </w:tabs>
        <w:rPr>
          <w:sz w:val="20"/>
          <w:szCs w:val="20"/>
          <w:color w:val="auto"/>
        </w:rPr>
      </w:pPr>
      <w:r>
        <w:rPr>
          <w:rFonts w:ascii="Arial" w:cs="Arial" w:eastAsia="Arial" w:hAnsi="Arial"/>
          <w:sz w:val="20"/>
          <w:szCs w:val="20"/>
          <w:color w:val="auto"/>
        </w:rPr>
        <w:t>10.20†</w:t>
      </w:r>
      <w:r>
        <w:rPr>
          <w:sz w:val="20"/>
          <w:szCs w:val="20"/>
          <w:color w:val="auto"/>
        </w:rPr>
        <w:tab/>
      </w:r>
      <w:r>
        <w:rPr>
          <w:rFonts w:ascii="Arial" w:cs="Arial" w:eastAsia="Arial" w:hAnsi="Arial"/>
          <w:sz w:val="19"/>
          <w:szCs w:val="19"/>
          <w:color w:val="auto"/>
        </w:rPr>
        <w:t>Employment Agreement, dated as of May 20, 2025, by and between Bel Fuse Inc., and Lynn Hutkin, is incorporated by reference to Exhibit 10.1 to the Company’s Current Report on Form 8-K filed on May 21, 2025.</w:t>
      </w:r>
    </w:p>
    <w:p>
      <w:pPr>
        <w:sectPr>
          <w:pgSz w:w="12240" w:h="15840" w:orient="portrait"/>
          <w:cols w:equalWidth="0" w:num="1">
            <w:col w:w="10480"/>
          </w:cols>
          <w:pgMar w:left="1040" w:top="79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96</w:t>
      </w:r>
    </w:p>
    <w:p>
      <w:pPr>
        <w:sectPr>
          <w:pgSz w:w="12240" w:h="15840" w:orient="portrait"/>
          <w:cols w:equalWidth="0" w:num="1">
            <w:col w:w="10480"/>
          </w:cols>
          <w:pgMar w:left="1040" w:top="799" w:right="720" w:bottom="0" w:gutter="0" w:footer="0" w:header="0"/>
          <w:type w:val="continuous"/>
        </w:sectPr>
      </w:pPr>
    </w:p>
    <w:bookmarkStart w:id="106" w:name="page107"/>
    <w:bookmarkEnd w:id="106"/>
    <w:tbl>
      <w:tblPr>
        <w:tblLayout w:type="fixed"/>
        <w:tblInd w:w="120" w:type="dxa"/>
        <w:tblCellMar>
          <w:top w:w="0" w:type="dxa"/>
          <w:left w:w="0" w:type="dxa"/>
          <w:bottom w:w="0" w:type="dxa"/>
          <w:right w:w="0" w:type="dxa"/>
        </w:tblCellMar>
      </w:tblPr>
      <w:tr>
        <w:trPr>
          <w:trHeight w:val="243"/>
        </w:trPr>
        <w:tc>
          <w:tcPr>
            <w:tcW w:w="900" w:type="dxa"/>
            <w:vAlign w:val="bottom"/>
          </w:tcPr>
          <w:p>
            <w:pPr>
              <w:jc w:val="center"/>
              <w:spacing w:after="0"/>
              <w:rPr>
                <w:sz w:val="20"/>
                <w:szCs w:val="20"/>
                <w:color w:val="auto"/>
              </w:rPr>
            </w:pPr>
            <w:r>
              <w:rPr>
                <w:rFonts w:ascii="Arial" w:cs="Arial" w:eastAsia="Arial" w:hAnsi="Arial"/>
                <w:sz w:val="20"/>
                <w:szCs w:val="20"/>
                <w:color w:val="auto"/>
                <w:w w:val="91"/>
              </w:rPr>
              <w:t>10.21†</w:t>
            </w:r>
          </w:p>
        </w:tc>
        <w:tc>
          <w:tcPr>
            <w:tcW w:w="9780" w:type="dxa"/>
            <w:vAlign w:val="bottom"/>
          </w:tcPr>
          <w:p>
            <w:pPr>
              <w:ind w:left="60"/>
              <w:spacing w:after="0"/>
              <w:rPr>
                <w:sz w:val="20"/>
                <w:szCs w:val="20"/>
                <w:color w:val="auto"/>
              </w:rPr>
            </w:pPr>
            <w:r>
              <w:rPr>
                <w:rFonts w:ascii="Arial" w:cs="Arial" w:eastAsia="Arial" w:hAnsi="Arial"/>
                <w:sz w:val="20"/>
                <w:szCs w:val="20"/>
                <w:color w:val="auto"/>
                <w:w w:val="92"/>
              </w:rPr>
              <w:t>Employment Agreement, dated as of January 12, 2026 and effective as of January 26, 2026, by and between Bel Fuse</w:t>
            </w:r>
          </w:p>
        </w:tc>
      </w:tr>
      <w:tr>
        <w:trPr>
          <w:trHeight w:val="229"/>
        </w:trPr>
        <w:tc>
          <w:tcPr>
            <w:tcW w:w="900" w:type="dxa"/>
            <w:vAlign w:val="bottom"/>
          </w:tcPr>
          <w:p>
            <w:pPr>
              <w:spacing w:after="0"/>
              <w:rPr>
                <w:sz w:val="19"/>
                <w:szCs w:val="19"/>
                <w:color w:val="auto"/>
              </w:rPr>
            </w:pPr>
          </w:p>
        </w:tc>
        <w:tc>
          <w:tcPr>
            <w:tcW w:w="9780" w:type="dxa"/>
            <w:vAlign w:val="bottom"/>
          </w:tcPr>
          <w:p>
            <w:pPr>
              <w:ind w:left="60"/>
              <w:spacing w:after="0"/>
              <w:rPr>
                <w:sz w:val="20"/>
                <w:szCs w:val="20"/>
                <w:color w:val="auto"/>
              </w:rPr>
            </w:pPr>
            <w:r>
              <w:rPr>
                <w:rFonts w:ascii="Arial" w:cs="Arial" w:eastAsia="Arial" w:hAnsi="Arial"/>
                <w:sz w:val="20"/>
                <w:szCs w:val="20"/>
                <w:color w:val="auto"/>
                <w:w w:val="94"/>
              </w:rPr>
              <w:t>Inc and Thomas Smelker, is incorporated by reference to Exhibit 10.1 to the Company’s Current Report on Form 8-K</w:t>
            </w:r>
          </w:p>
        </w:tc>
      </w:tr>
      <w:tr>
        <w:trPr>
          <w:trHeight w:val="264"/>
        </w:trPr>
        <w:tc>
          <w:tcPr>
            <w:tcW w:w="900" w:type="dxa"/>
            <w:vAlign w:val="bottom"/>
          </w:tcPr>
          <w:p>
            <w:pPr>
              <w:spacing w:after="0"/>
              <w:rPr>
                <w:sz w:val="22"/>
                <w:szCs w:val="22"/>
                <w:color w:val="auto"/>
              </w:rPr>
            </w:pPr>
          </w:p>
        </w:tc>
        <w:tc>
          <w:tcPr>
            <w:tcW w:w="9780" w:type="dxa"/>
            <w:vAlign w:val="bottom"/>
          </w:tcPr>
          <w:p>
            <w:pPr>
              <w:ind w:left="60"/>
              <w:spacing w:after="0"/>
              <w:rPr>
                <w:sz w:val="20"/>
                <w:szCs w:val="20"/>
                <w:color w:val="auto"/>
              </w:rPr>
            </w:pPr>
            <w:r>
              <w:rPr>
                <w:rFonts w:ascii="Arial" w:cs="Arial" w:eastAsia="Arial" w:hAnsi="Arial"/>
                <w:sz w:val="20"/>
                <w:szCs w:val="20"/>
                <w:color w:val="auto"/>
              </w:rPr>
              <w:t>filed on January 15, 2026.</w:t>
            </w:r>
          </w:p>
        </w:tc>
      </w:tr>
      <w:tr>
        <w:trPr>
          <w:trHeight w:val="442"/>
        </w:trPr>
        <w:tc>
          <w:tcPr>
            <w:tcW w:w="900" w:type="dxa"/>
            <w:vAlign w:val="bottom"/>
          </w:tcPr>
          <w:p>
            <w:pPr>
              <w:jc w:val="center"/>
              <w:spacing w:after="0"/>
              <w:rPr>
                <w:sz w:val="20"/>
                <w:szCs w:val="20"/>
                <w:color w:val="auto"/>
              </w:rPr>
            </w:pPr>
            <w:r>
              <w:rPr>
                <w:rFonts w:ascii="Arial" w:cs="Arial" w:eastAsia="Arial" w:hAnsi="Arial"/>
                <w:sz w:val="20"/>
                <w:szCs w:val="20"/>
                <w:color w:val="auto"/>
                <w:w w:val="91"/>
              </w:rPr>
              <w:t>10.22†</w:t>
            </w:r>
          </w:p>
        </w:tc>
        <w:tc>
          <w:tcPr>
            <w:tcW w:w="9780" w:type="dxa"/>
            <w:vAlign w:val="bottom"/>
          </w:tcPr>
          <w:p>
            <w:pPr>
              <w:ind w:left="60"/>
              <w:spacing w:after="0"/>
              <w:rPr>
                <w:sz w:val="20"/>
                <w:szCs w:val="20"/>
                <w:color w:val="auto"/>
              </w:rPr>
            </w:pPr>
            <w:r>
              <w:rPr>
                <w:rFonts w:ascii="Arial" w:cs="Arial" w:eastAsia="Arial" w:hAnsi="Arial"/>
                <w:sz w:val="20"/>
                <w:szCs w:val="20"/>
                <w:color w:val="auto"/>
                <w:w w:val="90"/>
              </w:rPr>
              <w:t>Letter Agreement Regarding Transition Services, dated as of February 3, 2025, by and between Bel Fuse Inc. and Daniel</w:t>
            </w:r>
          </w:p>
        </w:tc>
      </w:tr>
      <w:tr>
        <w:trPr>
          <w:trHeight w:val="227"/>
        </w:trPr>
        <w:tc>
          <w:tcPr>
            <w:tcW w:w="900" w:type="dxa"/>
            <w:vAlign w:val="bottom"/>
          </w:tcPr>
          <w:p>
            <w:pPr>
              <w:spacing w:after="0"/>
              <w:rPr>
                <w:sz w:val="19"/>
                <w:szCs w:val="19"/>
                <w:color w:val="auto"/>
              </w:rPr>
            </w:pPr>
          </w:p>
        </w:tc>
        <w:tc>
          <w:tcPr>
            <w:tcW w:w="9780" w:type="dxa"/>
            <w:vAlign w:val="bottom"/>
          </w:tcPr>
          <w:p>
            <w:pPr>
              <w:ind w:left="60"/>
              <w:spacing w:after="0" w:line="227" w:lineRule="exact"/>
              <w:rPr>
                <w:sz w:val="20"/>
                <w:szCs w:val="20"/>
                <w:color w:val="auto"/>
              </w:rPr>
            </w:pPr>
            <w:r>
              <w:rPr>
                <w:rFonts w:ascii="Arial" w:cs="Arial" w:eastAsia="Arial" w:hAnsi="Arial"/>
                <w:sz w:val="20"/>
                <w:szCs w:val="20"/>
                <w:color w:val="auto"/>
                <w:w w:val="92"/>
              </w:rPr>
              <w:t>Bernstein, is incorporated by reference to Exhibit 10.2 to the Company’s Current Report on Form 8-K filed on February</w:t>
            </w:r>
          </w:p>
        </w:tc>
      </w:tr>
      <w:tr>
        <w:trPr>
          <w:trHeight w:val="264"/>
        </w:trPr>
        <w:tc>
          <w:tcPr>
            <w:tcW w:w="900" w:type="dxa"/>
            <w:vAlign w:val="bottom"/>
          </w:tcPr>
          <w:p>
            <w:pPr>
              <w:spacing w:after="0"/>
              <w:rPr>
                <w:sz w:val="22"/>
                <w:szCs w:val="22"/>
                <w:color w:val="auto"/>
              </w:rPr>
            </w:pPr>
          </w:p>
        </w:tc>
        <w:tc>
          <w:tcPr>
            <w:tcW w:w="9780" w:type="dxa"/>
            <w:vAlign w:val="bottom"/>
          </w:tcPr>
          <w:p>
            <w:pPr>
              <w:ind w:left="60"/>
              <w:spacing w:after="0"/>
              <w:rPr>
                <w:sz w:val="20"/>
                <w:szCs w:val="20"/>
                <w:color w:val="auto"/>
              </w:rPr>
            </w:pPr>
            <w:r>
              <w:rPr>
                <w:rFonts w:ascii="Arial" w:cs="Arial" w:eastAsia="Arial" w:hAnsi="Arial"/>
                <w:sz w:val="20"/>
                <w:szCs w:val="20"/>
                <w:color w:val="auto"/>
              </w:rPr>
              <w:t>7, 2025.</w:t>
            </w:r>
          </w:p>
        </w:tc>
      </w:tr>
      <w:tr>
        <w:trPr>
          <w:trHeight w:val="443"/>
        </w:trPr>
        <w:tc>
          <w:tcPr>
            <w:tcW w:w="900" w:type="dxa"/>
            <w:vAlign w:val="bottom"/>
          </w:tcPr>
          <w:p>
            <w:pPr>
              <w:jc w:val="center"/>
              <w:spacing w:after="0"/>
              <w:rPr>
                <w:sz w:val="20"/>
                <w:szCs w:val="20"/>
                <w:color w:val="auto"/>
              </w:rPr>
            </w:pPr>
            <w:r>
              <w:rPr>
                <w:rFonts w:ascii="Arial" w:cs="Arial" w:eastAsia="Arial" w:hAnsi="Arial"/>
                <w:sz w:val="20"/>
                <w:szCs w:val="20"/>
                <w:color w:val="auto"/>
                <w:w w:val="91"/>
              </w:rPr>
              <w:t>10.23†</w:t>
            </w:r>
          </w:p>
        </w:tc>
        <w:tc>
          <w:tcPr>
            <w:tcW w:w="9780" w:type="dxa"/>
            <w:vAlign w:val="bottom"/>
          </w:tcPr>
          <w:p>
            <w:pPr>
              <w:ind w:left="60"/>
              <w:spacing w:after="0"/>
              <w:rPr>
                <w:sz w:val="20"/>
                <w:szCs w:val="20"/>
                <w:color w:val="auto"/>
              </w:rPr>
            </w:pPr>
            <w:r>
              <w:rPr>
                <w:rFonts w:ascii="Arial" w:cs="Arial" w:eastAsia="Arial" w:hAnsi="Arial"/>
                <w:sz w:val="20"/>
                <w:szCs w:val="20"/>
                <w:color w:val="auto"/>
                <w:w w:val="90"/>
              </w:rPr>
              <w:t>Letter Agreement Regarding Non-Executive Chairman Services, dated as of February 3, 2025, by and between Bel Fuse</w:t>
            </w:r>
          </w:p>
        </w:tc>
      </w:tr>
      <w:tr>
        <w:trPr>
          <w:trHeight w:val="229"/>
        </w:trPr>
        <w:tc>
          <w:tcPr>
            <w:tcW w:w="900" w:type="dxa"/>
            <w:vAlign w:val="bottom"/>
          </w:tcPr>
          <w:p>
            <w:pPr>
              <w:spacing w:after="0"/>
              <w:rPr>
                <w:sz w:val="19"/>
                <w:szCs w:val="19"/>
                <w:color w:val="auto"/>
              </w:rPr>
            </w:pPr>
          </w:p>
        </w:tc>
        <w:tc>
          <w:tcPr>
            <w:tcW w:w="9780" w:type="dxa"/>
            <w:vAlign w:val="bottom"/>
          </w:tcPr>
          <w:p>
            <w:pPr>
              <w:ind w:left="60"/>
              <w:spacing w:after="0"/>
              <w:rPr>
                <w:sz w:val="20"/>
                <w:szCs w:val="20"/>
                <w:color w:val="auto"/>
              </w:rPr>
            </w:pPr>
            <w:r>
              <w:rPr>
                <w:rFonts w:ascii="Arial" w:cs="Arial" w:eastAsia="Arial" w:hAnsi="Arial"/>
                <w:sz w:val="20"/>
                <w:szCs w:val="20"/>
                <w:color w:val="auto"/>
                <w:w w:val="94"/>
              </w:rPr>
              <w:t>Inc. and Daniel Bernstein, is incorporated by reference to Exhibit 10.3 to the Company’s Current Report on Form 8-K</w:t>
            </w:r>
          </w:p>
        </w:tc>
      </w:tr>
      <w:tr>
        <w:trPr>
          <w:trHeight w:val="264"/>
        </w:trPr>
        <w:tc>
          <w:tcPr>
            <w:tcW w:w="900" w:type="dxa"/>
            <w:vAlign w:val="bottom"/>
          </w:tcPr>
          <w:p>
            <w:pPr>
              <w:spacing w:after="0"/>
              <w:rPr>
                <w:sz w:val="22"/>
                <w:szCs w:val="22"/>
                <w:color w:val="auto"/>
              </w:rPr>
            </w:pPr>
          </w:p>
        </w:tc>
        <w:tc>
          <w:tcPr>
            <w:tcW w:w="9780" w:type="dxa"/>
            <w:vAlign w:val="bottom"/>
          </w:tcPr>
          <w:p>
            <w:pPr>
              <w:ind w:left="60"/>
              <w:spacing w:after="0"/>
              <w:rPr>
                <w:sz w:val="20"/>
                <w:szCs w:val="20"/>
                <w:color w:val="auto"/>
              </w:rPr>
            </w:pPr>
            <w:r>
              <w:rPr>
                <w:rFonts w:ascii="Arial" w:cs="Arial" w:eastAsia="Arial" w:hAnsi="Arial"/>
                <w:sz w:val="20"/>
                <w:szCs w:val="20"/>
                <w:color w:val="auto"/>
              </w:rPr>
              <w:t>filed on February 7, 2025.</w:t>
            </w:r>
          </w:p>
        </w:tc>
      </w:tr>
      <w:tr>
        <w:trPr>
          <w:trHeight w:val="443"/>
        </w:trPr>
        <w:tc>
          <w:tcPr>
            <w:tcW w:w="900" w:type="dxa"/>
            <w:vAlign w:val="bottom"/>
          </w:tcPr>
          <w:p>
            <w:pPr>
              <w:jc w:val="center"/>
              <w:spacing w:after="0"/>
              <w:rPr>
                <w:sz w:val="20"/>
                <w:szCs w:val="20"/>
                <w:color w:val="auto"/>
              </w:rPr>
            </w:pPr>
            <w:r>
              <w:rPr>
                <w:rFonts w:ascii="Arial" w:cs="Arial" w:eastAsia="Arial" w:hAnsi="Arial"/>
                <w:sz w:val="20"/>
                <w:szCs w:val="20"/>
                <w:color w:val="auto"/>
                <w:w w:val="91"/>
              </w:rPr>
              <w:t>10.24†</w:t>
            </w:r>
          </w:p>
        </w:tc>
        <w:tc>
          <w:tcPr>
            <w:tcW w:w="9780" w:type="dxa"/>
            <w:vAlign w:val="bottom"/>
          </w:tcPr>
          <w:p>
            <w:pPr>
              <w:ind w:left="60"/>
              <w:spacing w:after="0"/>
              <w:rPr>
                <w:sz w:val="20"/>
                <w:szCs w:val="20"/>
                <w:color w:val="auto"/>
              </w:rPr>
            </w:pPr>
            <w:r>
              <w:rPr>
                <w:rFonts w:ascii="Arial" w:cs="Arial" w:eastAsia="Arial" w:hAnsi="Arial"/>
                <w:sz w:val="20"/>
                <w:szCs w:val="20"/>
                <w:color w:val="auto"/>
                <w:w w:val="91"/>
              </w:rPr>
              <w:t>Israeli Appendix to the Bel Fuse Inc. 2020 Equity Compensation Plan, is incorporated by reference to Exhibit 10.1 to the</w:t>
            </w:r>
          </w:p>
        </w:tc>
      </w:tr>
      <w:tr>
        <w:trPr>
          <w:trHeight w:val="264"/>
        </w:trPr>
        <w:tc>
          <w:tcPr>
            <w:tcW w:w="900" w:type="dxa"/>
            <w:vAlign w:val="bottom"/>
          </w:tcPr>
          <w:p>
            <w:pPr>
              <w:spacing w:after="0"/>
              <w:rPr>
                <w:sz w:val="22"/>
                <w:szCs w:val="22"/>
                <w:color w:val="auto"/>
              </w:rPr>
            </w:pPr>
          </w:p>
        </w:tc>
        <w:tc>
          <w:tcPr>
            <w:tcW w:w="9780" w:type="dxa"/>
            <w:vAlign w:val="bottom"/>
          </w:tcPr>
          <w:p>
            <w:pPr>
              <w:ind w:left="60"/>
              <w:spacing w:after="0"/>
              <w:rPr>
                <w:sz w:val="20"/>
                <w:szCs w:val="20"/>
                <w:color w:val="auto"/>
              </w:rPr>
            </w:pPr>
            <w:r>
              <w:rPr>
                <w:rFonts w:ascii="Arial" w:cs="Arial" w:eastAsia="Arial" w:hAnsi="Arial"/>
                <w:sz w:val="20"/>
                <w:szCs w:val="20"/>
                <w:color w:val="auto"/>
              </w:rPr>
              <w:t>Company’s Current Report on Form 8-K filed on February 18, 2025.</w:t>
            </w:r>
          </w:p>
        </w:tc>
      </w:tr>
      <w:tr>
        <w:trPr>
          <w:trHeight w:val="443"/>
        </w:trPr>
        <w:tc>
          <w:tcPr>
            <w:tcW w:w="900" w:type="dxa"/>
            <w:vAlign w:val="bottom"/>
          </w:tcPr>
          <w:p>
            <w:pPr>
              <w:jc w:val="center"/>
              <w:spacing w:after="0"/>
              <w:rPr>
                <w:sz w:val="20"/>
                <w:szCs w:val="20"/>
                <w:color w:val="auto"/>
              </w:rPr>
            </w:pPr>
            <w:r>
              <w:rPr>
                <w:rFonts w:ascii="Arial" w:cs="Arial" w:eastAsia="Arial" w:hAnsi="Arial"/>
                <w:sz w:val="20"/>
                <w:szCs w:val="20"/>
                <w:color w:val="auto"/>
                <w:w w:val="92"/>
              </w:rPr>
              <w:t>16.1</w:t>
            </w:r>
          </w:p>
        </w:tc>
        <w:tc>
          <w:tcPr>
            <w:tcW w:w="9780" w:type="dxa"/>
            <w:vAlign w:val="bottom"/>
          </w:tcPr>
          <w:p>
            <w:pPr>
              <w:ind w:left="60"/>
              <w:spacing w:after="0"/>
              <w:rPr>
                <w:sz w:val="20"/>
                <w:szCs w:val="20"/>
                <w:color w:val="auto"/>
              </w:rPr>
            </w:pPr>
            <w:r>
              <w:rPr>
                <w:rFonts w:ascii="Arial" w:cs="Arial" w:eastAsia="Arial" w:hAnsi="Arial"/>
                <w:sz w:val="20"/>
                <w:szCs w:val="20"/>
                <w:color w:val="auto"/>
                <w:w w:val="91"/>
              </w:rPr>
              <w:t>Letter to Securities and Exchange Commission from Grant Thornton LLP, dated December 10, 2025, is incorporated by</w:t>
            </w:r>
          </w:p>
        </w:tc>
      </w:tr>
      <w:tr>
        <w:trPr>
          <w:trHeight w:val="264"/>
        </w:trPr>
        <w:tc>
          <w:tcPr>
            <w:tcW w:w="900" w:type="dxa"/>
            <w:vAlign w:val="bottom"/>
          </w:tcPr>
          <w:p>
            <w:pPr>
              <w:spacing w:after="0"/>
              <w:rPr>
                <w:sz w:val="22"/>
                <w:szCs w:val="22"/>
                <w:color w:val="auto"/>
              </w:rPr>
            </w:pPr>
          </w:p>
        </w:tc>
        <w:tc>
          <w:tcPr>
            <w:tcW w:w="9780" w:type="dxa"/>
            <w:vAlign w:val="bottom"/>
          </w:tcPr>
          <w:p>
            <w:pPr>
              <w:ind w:left="60"/>
              <w:spacing w:after="0"/>
              <w:rPr>
                <w:sz w:val="20"/>
                <w:szCs w:val="20"/>
                <w:color w:val="auto"/>
              </w:rPr>
            </w:pPr>
            <w:r>
              <w:rPr>
                <w:rFonts w:ascii="Arial" w:cs="Arial" w:eastAsia="Arial" w:hAnsi="Arial"/>
                <w:sz w:val="20"/>
                <w:szCs w:val="20"/>
                <w:color w:val="auto"/>
              </w:rPr>
              <w:t>reference to Exhibit 16.1 to the Company’s Current Report on Form 8-K filed on December 10, 2025</w:t>
            </w:r>
          </w:p>
        </w:tc>
      </w:tr>
      <w:tr>
        <w:trPr>
          <w:trHeight w:val="440"/>
        </w:trPr>
        <w:tc>
          <w:tcPr>
            <w:tcW w:w="900" w:type="dxa"/>
            <w:vAlign w:val="bottom"/>
          </w:tcPr>
          <w:p>
            <w:pPr>
              <w:jc w:val="center"/>
              <w:spacing w:after="0"/>
              <w:rPr>
                <w:sz w:val="20"/>
                <w:szCs w:val="20"/>
                <w:color w:val="auto"/>
              </w:rPr>
            </w:pPr>
            <w:r>
              <w:rPr>
                <w:rFonts w:ascii="Arial" w:cs="Arial" w:eastAsia="Arial" w:hAnsi="Arial"/>
                <w:sz w:val="20"/>
                <w:szCs w:val="20"/>
                <w:color w:val="auto"/>
                <w:w w:val="92"/>
              </w:rPr>
              <w:t>19.1</w:t>
            </w:r>
          </w:p>
        </w:tc>
        <w:tc>
          <w:tcPr>
            <w:tcW w:w="9780" w:type="dxa"/>
            <w:vAlign w:val="bottom"/>
          </w:tcPr>
          <w:p>
            <w:pPr>
              <w:ind w:left="60"/>
              <w:spacing w:after="0"/>
              <w:rPr>
                <w:sz w:val="20"/>
                <w:szCs w:val="20"/>
                <w:color w:val="auto"/>
              </w:rPr>
            </w:pPr>
            <w:r>
              <w:rPr>
                <w:rFonts w:ascii="Arial" w:cs="Arial" w:eastAsia="Arial" w:hAnsi="Arial"/>
                <w:sz w:val="20"/>
                <w:szCs w:val="20"/>
                <w:color w:val="auto"/>
                <w:w w:val="91"/>
              </w:rPr>
              <w:t>Bel Fuse Inc. Policy on Insider Trading, is incorporated by reference to Exhibit 19.1 to the Company’s Annual Report on</w:t>
            </w:r>
          </w:p>
        </w:tc>
      </w:tr>
      <w:tr>
        <w:trPr>
          <w:trHeight w:val="264"/>
        </w:trPr>
        <w:tc>
          <w:tcPr>
            <w:tcW w:w="900" w:type="dxa"/>
            <w:vAlign w:val="bottom"/>
          </w:tcPr>
          <w:p>
            <w:pPr>
              <w:spacing w:after="0"/>
              <w:rPr>
                <w:sz w:val="22"/>
                <w:szCs w:val="22"/>
                <w:color w:val="auto"/>
              </w:rPr>
            </w:pPr>
          </w:p>
        </w:tc>
        <w:tc>
          <w:tcPr>
            <w:tcW w:w="9780" w:type="dxa"/>
            <w:vAlign w:val="bottom"/>
          </w:tcPr>
          <w:p>
            <w:pPr>
              <w:ind w:left="60"/>
              <w:spacing w:after="0"/>
              <w:rPr>
                <w:sz w:val="20"/>
                <w:szCs w:val="20"/>
                <w:color w:val="auto"/>
              </w:rPr>
            </w:pPr>
            <w:r>
              <w:rPr>
                <w:rFonts w:ascii="Arial" w:cs="Arial" w:eastAsia="Arial" w:hAnsi="Arial"/>
                <w:sz w:val="20"/>
                <w:szCs w:val="20"/>
                <w:color w:val="auto"/>
              </w:rPr>
              <w:t>Form 10-K for the fiscal year ended December 31, 2024 filed on February 28, 2025</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w w:val="94"/>
              </w:rPr>
              <w:t>21.1*</w:t>
            </w:r>
          </w:p>
        </w:tc>
        <w:tc>
          <w:tcPr>
            <w:tcW w:w="9780" w:type="dxa"/>
            <w:vAlign w:val="bottom"/>
          </w:tcPr>
          <w:p>
            <w:pPr>
              <w:ind w:left="60"/>
              <w:spacing w:after="0"/>
              <w:rPr>
                <w:sz w:val="20"/>
                <w:szCs w:val="20"/>
                <w:color w:val="auto"/>
              </w:rPr>
            </w:pPr>
            <w:r>
              <w:rPr>
                <w:rFonts w:ascii="Arial" w:cs="Arial" w:eastAsia="Arial" w:hAnsi="Arial"/>
                <w:sz w:val="20"/>
                <w:szCs w:val="20"/>
                <w:color w:val="auto"/>
              </w:rPr>
              <w:t>Subsidiaries of the Registrant.</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w w:val="94"/>
              </w:rPr>
              <w:t>23.1*</w:t>
            </w:r>
          </w:p>
        </w:tc>
        <w:tc>
          <w:tcPr>
            <w:tcW w:w="9780" w:type="dxa"/>
            <w:vAlign w:val="bottom"/>
          </w:tcPr>
          <w:p>
            <w:pPr>
              <w:ind w:left="60"/>
              <w:spacing w:after="0"/>
              <w:rPr>
                <w:sz w:val="20"/>
                <w:szCs w:val="20"/>
                <w:color w:val="auto"/>
              </w:rPr>
            </w:pPr>
            <w:r>
              <w:rPr>
                <w:rFonts w:ascii="Arial" w:cs="Arial" w:eastAsia="Arial" w:hAnsi="Arial"/>
                <w:sz w:val="20"/>
                <w:szCs w:val="20"/>
                <w:color w:val="auto"/>
              </w:rPr>
              <w:t>Consent of Independent Registered Public Accounting Firm (Grant Thornton LLP).</w:t>
            </w:r>
          </w:p>
        </w:tc>
      </w:tr>
      <w:tr>
        <w:trPr>
          <w:trHeight w:val="468"/>
        </w:trPr>
        <w:tc>
          <w:tcPr>
            <w:tcW w:w="900" w:type="dxa"/>
            <w:vAlign w:val="bottom"/>
          </w:tcPr>
          <w:p>
            <w:pPr>
              <w:jc w:val="center"/>
              <w:spacing w:after="0"/>
              <w:rPr>
                <w:sz w:val="20"/>
                <w:szCs w:val="20"/>
                <w:color w:val="auto"/>
              </w:rPr>
            </w:pPr>
            <w:r>
              <w:rPr>
                <w:rFonts w:ascii="Arial" w:cs="Arial" w:eastAsia="Arial" w:hAnsi="Arial"/>
                <w:sz w:val="20"/>
                <w:szCs w:val="20"/>
                <w:color w:val="auto"/>
                <w:w w:val="94"/>
              </w:rPr>
              <w:t>24.1*</w:t>
            </w:r>
          </w:p>
        </w:tc>
        <w:tc>
          <w:tcPr>
            <w:tcW w:w="9780" w:type="dxa"/>
            <w:vAlign w:val="bottom"/>
          </w:tcPr>
          <w:p>
            <w:pPr>
              <w:ind w:left="60"/>
              <w:spacing w:after="0"/>
              <w:rPr>
                <w:sz w:val="20"/>
                <w:szCs w:val="20"/>
                <w:color w:val="auto"/>
              </w:rPr>
            </w:pPr>
            <w:r>
              <w:rPr>
                <w:rFonts w:ascii="Arial" w:cs="Arial" w:eastAsia="Arial" w:hAnsi="Arial"/>
                <w:sz w:val="20"/>
                <w:szCs w:val="20"/>
                <w:color w:val="auto"/>
              </w:rPr>
              <w:t>Power of attorney (included on the signature page).</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w w:val="94"/>
              </w:rPr>
              <w:t>31.1*</w:t>
            </w:r>
          </w:p>
        </w:tc>
        <w:tc>
          <w:tcPr>
            <w:tcW w:w="9780" w:type="dxa"/>
            <w:vAlign w:val="bottom"/>
          </w:tcPr>
          <w:p>
            <w:pPr>
              <w:ind w:left="60"/>
              <w:spacing w:after="0"/>
              <w:rPr>
                <w:sz w:val="20"/>
                <w:szCs w:val="20"/>
                <w:color w:val="auto"/>
              </w:rPr>
            </w:pPr>
            <w:r>
              <w:rPr>
                <w:rFonts w:ascii="Arial" w:cs="Arial" w:eastAsia="Arial" w:hAnsi="Arial"/>
                <w:sz w:val="20"/>
                <w:szCs w:val="20"/>
                <w:color w:val="auto"/>
              </w:rPr>
              <w:t>Certification of the Principal Executive Officer pursuant to Section 302 of the Sarbanes-Oxley Act of 2002.</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w w:val="94"/>
              </w:rPr>
              <w:t>31.2*</w:t>
            </w:r>
          </w:p>
        </w:tc>
        <w:tc>
          <w:tcPr>
            <w:tcW w:w="9780" w:type="dxa"/>
            <w:vAlign w:val="bottom"/>
          </w:tcPr>
          <w:p>
            <w:pPr>
              <w:ind w:left="60"/>
              <w:spacing w:after="0"/>
              <w:rPr>
                <w:sz w:val="20"/>
                <w:szCs w:val="20"/>
                <w:color w:val="auto"/>
              </w:rPr>
            </w:pPr>
            <w:r>
              <w:rPr>
                <w:rFonts w:ascii="Arial" w:cs="Arial" w:eastAsia="Arial" w:hAnsi="Arial"/>
                <w:sz w:val="20"/>
                <w:szCs w:val="20"/>
                <w:color w:val="auto"/>
              </w:rPr>
              <w:t>Certification of the Principal Financial Officer pursuant to Section 302 of the Sarbanes-Oxley Act of 2002.</w:t>
            </w:r>
          </w:p>
        </w:tc>
      </w:tr>
      <w:tr>
        <w:trPr>
          <w:trHeight w:val="477"/>
        </w:trPr>
        <w:tc>
          <w:tcPr>
            <w:tcW w:w="900" w:type="dxa"/>
            <w:vAlign w:val="bottom"/>
          </w:tcPr>
          <w:p>
            <w:pPr>
              <w:jc w:val="center"/>
              <w:spacing w:after="0"/>
              <w:rPr>
                <w:sz w:val="20"/>
                <w:szCs w:val="20"/>
                <w:color w:val="auto"/>
              </w:rPr>
            </w:pPr>
            <w:r>
              <w:rPr>
                <w:rFonts w:ascii="Arial" w:cs="Arial" w:eastAsia="Arial" w:hAnsi="Arial"/>
                <w:sz w:val="20"/>
                <w:szCs w:val="20"/>
                <w:color w:val="auto"/>
              </w:rPr>
              <w:t>32.1**</w:t>
            </w:r>
          </w:p>
        </w:tc>
        <w:tc>
          <w:tcPr>
            <w:tcW w:w="9780" w:type="dxa"/>
            <w:vAlign w:val="bottom"/>
          </w:tcPr>
          <w:p>
            <w:pPr>
              <w:ind w:left="60"/>
              <w:spacing w:after="0"/>
              <w:rPr>
                <w:sz w:val="20"/>
                <w:szCs w:val="20"/>
                <w:color w:val="auto"/>
              </w:rPr>
            </w:pPr>
            <w:r>
              <w:rPr>
                <w:rFonts w:ascii="Arial" w:cs="Arial" w:eastAsia="Arial" w:hAnsi="Arial"/>
                <w:sz w:val="20"/>
                <w:szCs w:val="20"/>
                <w:color w:val="auto"/>
              </w:rPr>
              <w:t>Certification of the Principal Executive Officer pursuant to Section 906 of the Sarbanes - Oxley Act of 2002.</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rPr>
              <w:t>32.2**</w:t>
            </w:r>
          </w:p>
        </w:tc>
        <w:tc>
          <w:tcPr>
            <w:tcW w:w="9780" w:type="dxa"/>
            <w:vAlign w:val="bottom"/>
          </w:tcPr>
          <w:p>
            <w:pPr>
              <w:ind w:left="60"/>
              <w:spacing w:after="0"/>
              <w:rPr>
                <w:sz w:val="20"/>
                <w:szCs w:val="20"/>
                <w:color w:val="auto"/>
              </w:rPr>
            </w:pPr>
            <w:r>
              <w:rPr>
                <w:rFonts w:ascii="Arial" w:cs="Arial" w:eastAsia="Arial" w:hAnsi="Arial"/>
                <w:sz w:val="20"/>
                <w:szCs w:val="20"/>
                <w:color w:val="auto"/>
              </w:rPr>
              <w:t>Certification of the Principal Financial Officer pursuant to Section 906 of the Sarbanes-Oxley Act of 2002.</w:t>
            </w:r>
          </w:p>
        </w:tc>
      </w:tr>
      <w:tr>
        <w:trPr>
          <w:trHeight w:val="443"/>
        </w:trPr>
        <w:tc>
          <w:tcPr>
            <w:tcW w:w="900" w:type="dxa"/>
            <w:vAlign w:val="bottom"/>
          </w:tcPr>
          <w:p>
            <w:pPr>
              <w:jc w:val="center"/>
              <w:spacing w:after="0"/>
              <w:rPr>
                <w:sz w:val="20"/>
                <w:szCs w:val="20"/>
                <w:color w:val="auto"/>
              </w:rPr>
            </w:pPr>
            <w:r>
              <w:rPr>
                <w:rFonts w:ascii="Arial" w:cs="Arial" w:eastAsia="Arial" w:hAnsi="Arial"/>
                <w:sz w:val="20"/>
                <w:szCs w:val="20"/>
                <w:color w:val="auto"/>
                <w:w w:val="87"/>
              </w:rPr>
              <w:t>97.1†</w:t>
            </w:r>
          </w:p>
        </w:tc>
        <w:tc>
          <w:tcPr>
            <w:tcW w:w="9780" w:type="dxa"/>
            <w:vAlign w:val="bottom"/>
          </w:tcPr>
          <w:p>
            <w:pPr>
              <w:ind w:left="60"/>
              <w:spacing w:after="0"/>
              <w:rPr>
                <w:sz w:val="20"/>
                <w:szCs w:val="20"/>
                <w:color w:val="auto"/>
              </w:rPr>
            </w:pPr>
            <w:r>
              <w:rPr>
                <w:rFonts w:ascii="Arial" w:cs="Arial" w:eastAsia="Arial" w:hAnsi="Arial"/>
                <w:sz w:val="20"/>
                <w:szCs w:val="20"/>
                <w:color w:val="auto"/>
                <w:w w:val="95"/>
              </w:rPr>
              <w:t>Bel Fuse Inc. Compensation Recovery Policy, is incorporated by reference to Exhibit 97.1 to the Company’s Annual</w:t>
            </w:r>
          </w:p>
        </w:tc>
      </w:tr>
      <w:tr>
        <w:trPr>
          <w:trHeight w:val="264"/>
        </w:trPr>
        <w:tc>
          <w:tcPr>
            <w:tcW w:w="900" w:type="dxa"/>
            <w:vAlign w:val="bottom"/>
          </w:tcPr>
          <w:p>
            <w:pPr>
              <w:spacing w:after="0"/>
              <w:rPr>
                <w:sz w:val="22"/>
                <w:szCs w:val="22"/>
                <w:color w:val="auto"/>
              </w:rPr>
            </w:pPr>
          </w:p>
        </w:tc>
        <w:tc>
          <w:tcPr>
            <w:tcW w:w="9780" w:type="dxa"/>
            <w:vAlign w:val="bottom"/>
          </w:tcPr>
          <w:p>
            <w:pPr>
              <w:ind w:left="60"/>
              <w:spacing w:after="0"/>
              <w:rPr>
                <w:sz w:val="20"/>
                <w:szCs w:val="20"/>
                <w:color w:val="auto"/>
              </w:rPr>
            </w:pPr>
            <w:r>
              <w:rPr>
                <w:rFonts w:ascii="Arial" w:cs="Arial" w:eastAsia="Arial" w:hAnsi="Arial"/>
                <w:sz w:val="20"/>
                <w:szCs w:val="20"/>
                <w:color w:val="auto"/>
              </w:rPr>
              <w:t>Report on Form 10-K for the fiscal year ended December 31, 2023 filed on March 11, 2024.</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w w:val="94"/>
              </w:rPr>
              <w:t>101.INS*</w:t>
            </w:r>
          </w:p>
        </w:tc>
        <w:tc>
          <w:tcPr>
            <w:tcW w:w="9780" w:type="dxa"/>
            <w:vAlign w:val="bottom"/>
          </w:tcPr>
          <w:p>
            <w:pPr>
              <w:ind w:left="60"/>
              <w:spacing w:after="0"/>
              <w:rPr>
                <w:sz w:val="20"/>
                <w:szCs w:val="20"/>
                <w:color w:val="auto"/>
              </w:rPr>
            </w:pPr>
            <w:r>
              <w:rPr>
                <w:rFonts w:ascii="Arial" w:cs="Arial" w:eastAsia="Arial" w:hAnsi="Arial"/>
                <w:sz w:val="20"/>
                <w:szCs w:val="20"/>
                <w:color w:val="auto"/>
              </w:rPr>
              <w:t>Inline XBRL Instance Document</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w w:val="94"/>
              </w:rPr>
              <w:t>101.SCH*</w:t>
            </w:r>
          </w:p>
        </w:tc>
        <w:tc>
          <w:tcPr>
            <w:tcW w:w="9780" w:type="dxa"/>
            <w:vAlign w:val="bottom"/>
          </w:tcPr>
          <w:p>
            <w:pPr>
              <w:ind w:left="60"/>
              <w:spacing w:after="0"/>
              <w:rPr>
                <w:sz w:val="20"/>
                <w:szCs w:val="20"/>
                <w:color w:val="auto"/>
              </w:rPr>
            </w:pPr>
            <w:r>
              <w:rPr>
                <w:rFonts w:ascii="Arial" w:cs="Arial" w:eastAsia="Arial" w:hAnsi="Arial"/>
                <w:sz w:val="20"/>
                <w:szCs w:val="20"/>
                <w:color w:val="auto"/>
              </w:rPr>
              <w:t>Inline XBRL Taxonomy Extension Schema Document</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w w:val="98"/>
              </w:rPr>
              <w:t>101.CAL*</w:t>
            </w:r>
          </w:p>
        </w:tc>
        <w:tc>
          <w:tcPr>
            <w:tcW w:w="9780" w:type="dxa"/>
            <w:vAlign w:val="bottom"/>
          </w:tcPr>
          <w:p>
            <w:pPr>
              <w:ind w:left="6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w w:val="96"/>
              </w:rPr>
              <w:t>101.DEF*</w:t>
            </w:r>
          </w:p>
        </w:tc>
        <w:tc>
          <w:tcPr>
            <w:tcW w:w="9780" w:type="dxa"/>
            <w:vAlign w:val="bottom"/>
          </w:tcPr>
          <w:p>
            <w:pPr>
              <w:ind w:left="60"/>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w w:val="99"/>
              </w:rPr>
              <w:t>101.LAB*</w:t>
            </w:r>
          </w:p>
        </w:tc>
        <w:tc>
          <w:tcPr>
            <w:tcW w:w="9780" w:type="dxa"/>
            <w:vAlign w:val="bottom"/>
          </w:tcPr>
          <w:p>
            <w:pPr>
              <w:ind w:left="6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w w:val="91"/>
              </w:rPr>
              <w:t>101.PRE*</w:t>
            </w:r>
          </w:p>
        </w:tc>
        <w:tc>
          <w:tcPr>
            <w:tcW w:w="9780" w:type="dxa"/>
            <w:vAlign w:val="bottom"/>
          </w:tcPr>
          <w:p>
            <w:pPr>
              <w:ind w:left="6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478"/>
        </w:trPr>
        <w:tc>
          <w:tcPr>
            <w:tcW w:w="900" w:type="dxa"/>
            <w:vAlign w:val="bottom"/>
          </w:tcPr>
          <w:p>
            <w:pPr>
              <w:jc w:val="center"/>
              <w:spacing w:after="0"/>
              <w:rPr>
                <w:sz w:val="20"/>
                <w:szCs w:val="20"/>
                <w:color w:val="auto"/>
              </w:rPr>
            </w:pPr>
            <w:r>
              <w:rPr>
                <w:rFonts w:ascii="Arial" w:cs="Arial" w:eastAsia="Arial" w:hAnsi="Arial"/>
                <w:sz w:val="20"/>
                <w:szCs w:val="20"/>
                <w:color w:val="auto"/>
                <w:w w:val="97"/>
              </w:rPr>
              <w:t>104*</w:t>
            </w:r>
          </w:p>
        </w:tc>
        <w:tc>
          <w:tcPr>
            <w:tcW w:w="9780" w:type="dxa"/>
            <w:vAlign w:val="bottom"/>
          </w:tcPr>
          <w:p>
            <w:pPr>
              <w:ind w:left="60"/>
              <w:spacing w:after="0"/>
              <w:rPr>
                <w:sz w:val="20"/>
                <w:szCs w:val="20"/>
                <w:color w:val="auto"/>
              </w:rPr>
            </w:pPr>
            <w:r>
              <w:rPr>
                <w:rFonts w:ascii="Arial" w:cs="Arial" w:eastAsia="Arial" w:hAnsi="Arial"/>
                <w:sz w:val="20"/>
                <w:szCs w:val="20"/>
                <w:color w:val="auto"/>
              </w:rPr>
              <w:t>Cover Page Interactive Data File (formatted as Inline XBRL and contained in Exhibit 101)</w:t>
            </w:r>
          </w:p>
        </w:tc>
      </w:tr>
    </w:tbl>
    <w:p>
      <w:pPr>
        <w:spacing w:after="0" w:line="199" w:lineRule="exact"/>
        <w:rPr>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24"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Submitted herewith.</w:t>
      </w:r>
    </w:p>
    <w:p>
      <w:pPr>
        <w:spacing w:after="0"/>
        <w:rPr>
          <w:sz w:val="20"/>
          <w:szCs w:val="20"/>
          <w:color w:val="auto"/>
        </w:rPr>
      </w:pPr>
      <w:r>
        <w:rPr>
          <w:rFonts w:ascii="Arial" w:cs="Arial" w:eastAsia="Arial" w:hAnsi="Arial"/>
          <w:sz w:val="20"/>
          <w:szCs w:val="20"/>
          <w:color w:val="auto"/>
        </w:rPr>
        <w:t>†  Management contract or compensatory plan or arrangement.</w:t>
      </w:r>
    </w:p>
    <w:p>
      <w:pPr>
        <w:spacing w:after="0" w:line="271" w:lineRule="auto"/>
        <w:tabs>
          <w:tab w:leader="none" w:pos="3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Annexes, schedules and/or exhibits have been omitted pursuant to Item 601(a)(5) of Regulation S-K. The Company hereby agrees to furnish supplementally a copy of any omitted attachment to the SEC on a confidential basis upon request.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16. </w:t>
      </w:r>
      <w:r>
        <w:rPr>
          <w:rFonts w:ascii="Arial" w:cs="Arial" w:eastAsia="Arial" w:hAnsi="Arial"/>
          <w:sz w:val="20"/>
          <w:szCs w:val="20"/>
          <w:b w:val="1"/>
          <w:bCs w:val="1"/>
          <w:i w:val="1"/>
          <w:iCs w:val="1"/>
          <w:color w:val="auto"/>
        </w:rPr>
        <w:t>Form 10-K Summary</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2240" w:h="15840" w:orient="portrait"/>
          <w:cols w:equalWidth="0" w:num="1">
            <w:col w:w="10800"/>
          </w:cols>
          <w:pgMar w:left="720" w:top="677" w:right="720" w:bottom="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2240" w:h="15840" w:orient="portrait"/>
          <w:cols w:equalWidth="0" w:num="1">
            <w:col w:w="10800"/>
          </w:cols>
          <w:pgMar w:left="720" w:top="677" w:right="720" w:bottom="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20"/>
          <w:szCs w:val="20"/>
          <w:b w:val="1"/>
          <w:bCs w:val="1"/>
          <w:color w:val="auto"/>
        </w:rPr>
        <w:t>SIGNATURES</w:t>
      </w:r>
    </w:p>
    <w:p>
      <w:pPr>
        <w:spacing w:after="0" w:line="230"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BEL FUSE INC.</w:t>
      </w:r>
    </w:p>
    <w:p>
      <w:pPr>
        <w:spacing w:after="0" w:line="2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(Registrant)</w:t>
      </w:r>
    </w:p>
    <w:p>
      <w:pPr>
        <w:spacing w:after="0" w:line="200" w:lineRule="exact"/>
        <w:rPr>
          <w:sz w:val="20"/>
          <w:szCs w:val="20"/>
          <w:color w:val="auto"/>
        </w:rPr>
      </w:pPr>
    </w:p>
    <w:p>
      <w:pPr>
        <w:spacing w:after="0" w:line="258"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 Farouq Tuweiq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3637280</wp:posOffset>
                </wp:positionH>
                <wp:positionV relativeFrom="paragraph">
                  <wp:posOffset>19685</wp:posOffset>
                </wp:positionV>
                <wp:extent cx="24034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3475" cy="4763"/>
                        </a:xfrm>
                        <a:prstGeom prst="line">
                          <a:avLst/>
                        </a:prstGeom>
                        <a:solidFill>
                          <a:srgbClr val="FFFFFF"/>
                        </a:solidFill>
                        <a:ln w="9093">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pt,1.55pt" to="475.65pt,1.55pt" o:allowincell="f" strokecolor="#000000" strokeweight="0.716pt"/>
            </w:pict>
          </mc:Fallback>
        </mc:AlternateConten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Farouq Tuweiq</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20"/>
          <w:szCs w:val="20"/>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24, 2026</w:t>
      </w:r>
    </w:p>
    <w:p>
      <w:pPr>
        <w:spacing w:after="0" w:line="208"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KNOW ALL MEN BY THESE PRESENTS, that each person whose signature appears below constitutes and appoints Farouq Tuweiq, Lynn Hutkin and Daniel Bernstein, and each or any of them, his/her attorney-in-fact and agent, each with full power of substitution and resubstitution, for him/her and in his/her name, place, and stead, in any and all capacities, to sign and file any and all amendments to this Annual Report on Form 10-K, with all exhibits thereto and hereto, and other documents with the Securities and Exchange Commission, granting unto said attorney -in-fact and agents,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or her substitute or substitutes, may lawfully do or cause to be done by virtue hereof.</w:t>
      </w:r>
    </w:p>
    <w:p>
      <w:pPr>
        <w:spacing w:after="0" w:line="179" w:lineRule="exact"/>
        <w:rPr>
          <w:sz w:val="20"/>
          <w:szCs w:val="20"/>
          <w:color w:val="auto"/>
        </w:rPr>
      </w:pPr>
    </w:p>
    <w:p>
      <w:pPr>
        <w:jc w:val="both"/>
        <w:ind w:firstLine="770"/>
        <w:spacing w:after="0" w:line="274"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40" w:type="dxa"/>
            <w:vAlign w:val="bottom"/>
          </w:tcPr>
          <w:p>
            <w:pPr>
              <w:ind w:left="1240"/>
              <w:spacing w:after="0"/>
              <w:rPr>
                <w:sz w:val="20"/>
                <w:szCs w:val="20"/>
                <w:color w:val="auto"/>
              </w:rPr>
            </w:pPr>
            <w:r>
              <w:rPr>
                <w:rFonts w:ascii="Arial" w:cs="Arial" w:eastAsia="Arial" w:hAnsi="Arial"/>
                <w:sz w:val="20"/>
                <w:szCs w:val="20"/>
                <w:color w:val="auto"/>
              </w:rPr>
              <w:t>Signature</w:t>
            </w:r>
          </w:p>
        </w:tc>
        <w:tc>
          <w:tcPr>
            <w:tcW w:w="4920" w:type="dxa"/>
            <w:vAlign w:val="bottom"/>
          </w:tcPr>
          <w:p>
            <w:pPr>
              <w:ind w:left="2360"/>
              <w:spacing w:after="0"/>
              <w:rPr>
                <w:sz w:val="20"/>
                <w:szCs w:val="20"/>
                <w:color w:val="auto"/>
              </w:rPr>
            </w:pPr>
            <w:r>
              <w:rPr>
                <w:rFonts w:ascii="Arial" w:cs="Arial" w:eastAsia="Arial" w:hAnsi="Arial"/>
                <w:sz w:val="20"/>
                <w:szCs w:val="20"/>
                <w:color w:val="auto"/>
              </w:rPr>
              <w:t>Title</w:t>
            </w:r>
          </w:p>
        </w:tc>
        <w:tc>
          <w:tcPr>
            <w:tcW w:w="2140" w:type="dxa"/>
            <w:vAlign w:val="bottom"/>
          </w:tcPr>
          <w:p>
            <w:pPr>
              <w:jc w:val="center"/>
              <w:ind w:left="581"/>
              <w:spacing w:after="0"/>
              <w:rPr>
                <w:sz w:val="20"/>
                <w:szCs w:val="20"/>
                <w:color w:val="auto"/>
              </w:rPr>
            </w:pPr>
            <w:r>
              <w:rPr>
                <w:rFonts w:ascii="Arial" w:cs="Arial" w:eastAsia="Arial" w:hAnsi="Arial"/>
                <w:sz w:val="20"/>
                <w:szCs w:val="20"/>
                <w:color w:val="auto"/>
                <w:w w:val="89"/>
              </w:rPr>
              <w:t>Date</w:t>
            </w:r>
          </w:p>
        </w:tc>
        <w:tc>
          <w:tcPr>
            <w:tcW w:w="0" w:type="dxa"/>
            <w:vAlign w:val="bottom"/>
          </w:tcPr>
          <w:p>
            <w:pPr>
              <w:spacing w:after="0"/>
              <w:rPr>
                <w:sz w:val="1"/>
                <w:szCs w:val="1"/>
                <w:color w:val="auto"/>
              </w:rPr>
            </w:pPr>
          </w:p>
        </w:tc>
      </w:tr>
      <w:tr>
        <w:trPr>
          <w:trHeight w:val="364"/>
        </w:trPr>
        <w:tc>
          <w:tcPr>
            <w:tcW w:w="3240" w:type="dxa"/>
            <w:vAlign w:val="bottom"/>
            <w:vMerge w:val="restart"/>
          </w:tcPr>
          <w:p>
            <w:pPr>
              <w:spacing w:after="0"/>
              <w:rPr>
                <w:sz w:val="20"/>
                <w:szCs w:val="20"/>
                <w:color w:val="auto"/>
              </w:rPr>
            </w:pPr>
            <w:r>
              <w:rPr>
                <w:rFonts w:ascii="Arial" w:cs="Arial" w:eastAsia="Arial" w:hAnsi="Arial"/>
                <w:sz w:val="20"/>
                <w:szCs w:val="20"/>
                <w:color w:val="auto"/>
              </w:rPr>
              <w:t>/s/Farouq Tuweiq</w:t>
            </w:r>
          </w:p>
        </w:tc>
        <w:tc>
          <w:tcPr>
            <w:tcW w:w="4920" w:type="dxa"/>
            <w:vAlign w:val="bottom"/>
          </w:tcPr>
          <w:p>
            <w:pPr>
              <w:ind w:left="440"/>
              <w:spacing w:after="0"/>
              <w:rPr>
                <w:sz w:val="20"/>
                <w:szCs w:val="20"/>
                <w:color w:val="auto"/>
              </w:rPr>
            </w:pPr>
            <w:r>
              <w:rPr>
                <w:rFonts w:ascii="Arial" w:cs="Arial" w:eastAsia="Arial" w:hAnsi="Arial"/>
                <w:sz w:val="20"/>
                <w:szCs w:val="20"/>
                <w:color w:val="auto"/>
              </w:rPr>
              <w:t>President, Chief Executive Officer and Director</w:t>
            </w:r>
          </w:p>
        </w:tc>
        <w:tc>
          <w:tcPr>
            <w:tcW w:w="2140" w:type="dxa"/>
            <w:vAlign w:val="bottom"/>
            <w:vMerge w:val="restart"/>
          </w:tcPr>
          <w:p>
            <w:pPr>
              <w:jc w:val="center"/>
              <w:ind w:left="561"/>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109"/>
        </w:trPr>
        <w:tc>
          <w:tcPr>
            <w:tcW w:w="3240" w:type="dxa"/>
            <w:vAlign w:val="bottom"/>
            <w:tcBorders>
              <w:bottom w:val="single" w:sz="8" w:color="auto"/>
            </w:tcBorders>
            <w:vMerge w:val="continue"/>
          </w:tcPr>
          <w:p>
            <w:pPr>
              <w:spacing w:after="0"/>
              <w:rPr>
                <w:sz w:val="9"/>
                <w:szCs w:val="9"/>
                <w:color w:val="auto"/>
              </w:rPr>
            </w:pPr>
          </w:p>
        </w:tc>
        <w:tc>
          <w:tcPr>
            <w:tcW w:w="4920" w:type="dxa"/>
            <w:vAlign w:val="bottom"/>
            <w:vMerge w:val="restart"/>
          </w:tcPr>
          <w:p>
            <w:pPr>
              <w:ind w:left="440"/>
              <w:spacing w:after="0"/>
              <w:rPr>
                <w:sz w:val="20"/>
                <w:szCs w:val="20"/>
                <w:color w:val="auto"/>
              </w:rPr>
            </w:pPr>
            <w:r>
              <w:rPr>
                <w:rFonts w:ascii="Arial" w:cs="Arial" w:eastAsia="Arial" w:hAnsi="Arial"/>
                <w:sz w:val="20"/>
                <w:szCs w:val="20"/>
                <w:i w:val="1"/>
                <w:iCs w:val="1"/>
                <w:color w:val="auto"/>
              </w:rPr>
              <w:t>(Principal Executive Officer)</w:t>
            </w: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Arial" w:cs="Arial" w:eastAsia="Arial" w:hAnsi="Arial"/>
                <w:sz w:val="20"/>
                <w:szCs w:val="20"/>
                <w:color w:val="auto"/>
              </w:rPr>
              <w:t>Farouq Tuweiq</w:t>
            </w:r>
          </w:p>
        </w:tc>
        <w:tc>
          <w:tcPr>
            <w:tcW w:w="4920" w:type="dxa"/>
            <w:vAlign w:val="bottom"/>
            <w:vMerge w:val="continue"/>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Daniel Bernstein</w:t>
            </w:r>
          </w:p>
        </w:tc>
        <w:tc>
          <w:tcPr>
            <w:tcW w:w="4920" w:type="dxa"/>
            <w:vAlign w:val="bottom"/>
          </w:tcPr>
          <w:p>
            <w:pPr>
              <w:ind w:left="440"/>
              <w:spacing w:after="0"/>
              <w:rPr>
                <w:sz w:val="20"/>
                <w:szCs w:val="20"/>
                <w:color w:val="auto"/>
              </w:rPr>
            </w:pPr>
            <w:r>
              <w:rPr>
                <w:rFonts w:ascii="Arial" w:cs="Arial" w:eastAsia="Arial" w:hAnsi="Arial"/>
                <w:sz w:val="20"/>
                <w:szCs w:val="20"/>
                <w:color w:val="auto"/>
              </w:rPr>
              <w:t>Chairman of the Board of Directors</w:t>
            </w:r>
          </w:p>
        </w:tc>
        <w:tc>
          <w:tcPr>
            <w:tcW w:w="2140" w:type="dxa"/>
            <w:vAlign w:val="bottom"/>
          </w:tcPr>
          <w:p>
            <w:pPr>
              <w:jc w:val="center"/>
              <w:ind w:left="561"/>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Arial" w:cs="Arial" w:eastAsia="Arial" w:hAnsi="Arial"/>
                <w:sz w:val="20"/>
                <w:szCs w:val="20"/>
                <w:color w:val="auto"/>
              </w:rPr>
              <w:t>Daniel Bernstein</w:t>
            </w:r>
          </w:p>
        </w:tc>
        <w:tc>
          <w:tcPr>
            <w:tcW w:w="4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Peter Gilbert</w:t>
            </w:r>
          </w:p>
        </w:tc>
        <w:tc>
          <w:tcPr>
            <w:tcW w:w="4920" w:type="dxa"/>
            <w:vAlign w:val="bottom"/>
          </w:tcPr>
          <w:p>
            <w:pPr>
              <w:ind w:left="440"/>
              <w:spacing w:after="0"/>
              <w:rPr>
                <w:sz w:val="20"/>
                <w:szCs w:val="20"/>
                <w:color w:val="auto"/>
              </w:rPr>
            </w:pPr>
            <w:r>
              <w:rPr>
                <w:rFonts w:ascii="Arial" w:cs="Arial" w:eastAsia="Arial" w:hAnsi="Arial"/>
                <w:sz w:val="20"/>
                <w:szCs w:val="20"/>
                <w:color w:val="auto"/>
              </w:rPr>
              <w:t>Director</w:t>
            </w:r>
          </w:p>
        </w:tc>
        <w:tc>
          <w:tcPr>
            <w:tcW w:w="2140" w:type="dxa"/>
            <w:vAlign w:val="bottom"/>
          </w:tcPr>
          <w:p>
            <w:pPr>
              <w:jc w:val="center"/>
              <w:ind w:left="561"/>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Arial" w:cs="Arial" w:eastAsia="Arial" w:hAnsi="Arial"/>
                <w:sz w:val="20"/>
                <w:szCs w:val="20"/>
                <w:color w:val="auto"/>
              </w:rPr>
              <w:t>Peter Gilbert</w:t>
            </w:r>
          </w:p>
        </w:tc>
        <w:tc>
          <w:tcPr>
            <w:tcW w:w="4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David Valletta</w:t>
            </w:r>
          </w:p>
        </w:tc>
        <w:tc>
          <w:tcPr>
            <w:tcW w:w="4920" w:type="dxa"/>
            <w:vAlign w:val="bottom"/>
          </w:tcPr>
          <w:p>
            <w:pPr>
              <w:ind w:left="440"/>
              <w:spacing w:after="0"/>
              <w:rPr>
                <w:sz w:val="20"/>
                <w:szCs w:val="20"/>
                <w:color w:val="auto"/>
              </w:rPr>
            </w:pPr>
            <w:r>
              <w:rPr>
                <w:rFonts w:ascii="Arial" w:cs="Arial" w:eastAsia="Arial" w:hAnsi="Arial"/>
                <w:sz w:val="20"/>
                <w:szCs w:val="20"/>
                <w:color w:val="auto"/>
              </w:rPr>
              <w:t>Director</w:t>
            </w:r>
          </w:p>
        </w:tc>
        <w:tc>
          <w:tcPr>
            <w:tcW w:w="2140" w:type="dxa"/>
            <w:vAlign w:val="bottom"/>
          </w:tcPr>
          <w:p>
            <w:pPr>
              <w:jc w:val="center"/>
              <w:ind w:left="561"/>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Arial" w:cs="Arial" w:eastAsia="Arial" w:hAnsi="Arial"/>
                <w:sz w:val="20"/>
                <w:szCs w:val="20"/>
                <w:color w:val="auto"/>
              </w:rPr>
              <w:t>David Valletta</w:t>
            </w:r>
          </w:p>
        </w:tc>
        <w:tc>
          <w:tcPr>
            <w:tcW w:w="4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Segall</w:t>
            </w:r>
          </w:p>
        </w:tc>
        <w:tc>
          <w:tcPr>
            <w:tcW w:w="4920" w:type="dxa"/>
            <w:vAlign w:val="bottom"/>
          </w:tcPr>
          <w:p>
            <w:pPr>
              <w:ind w:left="440"/>
              <w:spacing w:after="0"/>
              <w:rPr>
                <w:sz w:val="20"/>
                <w:szCs w:val="20"/>
                <w:color w:val="auto"/>
              </w:rPr>
            </w:pPr>
            <w:r>
              <w:rPr>
                <w:rFonts w:ascii="Arial" w:cs="Arial" w:eastAsia="Arial" w:hAnsi="Arial"/>
                <w:sz w:val="20"/>
                <w:szCs w:val="20"/>
                <w:color w:val="auto"/>
              </w:rPr>
              <w:t>Director</w:t>
            </w:r>
          </w:p>
        </w:tc>
        <w:tc>
          <w:tcPr>
            <w:tcW w:w="2140" w:type="dxa"/>
            <w:vAlign w:val="bottom"/>
          </w:tcPr>
          <w:p>
            <w:pPr>
              <w:jc w:val="center"/>
              <w:ind w:left="561"/>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Arial" w:cs="Arial" w:eastAsia="Arial" w:hAnsi="Arial"/>
                <w:sz w:val="20"/>
                <w:szCs w:val="20"/>
                <w:color w:val="auto"/>
              </w:rPr>
              <w:t>Mark Segall</w:t>
            </w:r>
          </w:p>
        </w:tc>
        <w:tc>
          <w:tcPr>
            <w:tcW w:w="4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Eric Nowling</w:t>
            </w:r>
          </w:p>
        </w:tc>
        <w:tc>
          <w:tcPr>
            <w:tcW w:w="4920" w:type="dxa"/>
            <w:vAlign w:val="bottom"/>
          </w:tcPr>
          <w:p>
            <w:pPr>
              <w:ind w:left="440"/>
              <w:spacing w:after="0"/>
              <w:rPr>
                <w:sz w:val="20"/>
                <w:szCs w:val="20"/>
                <w:color w:val="auto"/>
              </w:rPr>
            </w:pPr>
            <w:r>
              <w:rPr>
                <w:rFonts w:ascii="Arial" w:cs="Arial" w:eastAsia="Arial" w:hAnsi="Arial"/>
                <w:sz w:val="20"/>
                <w:szCs w:val="20"/>
                <w:color w:val="auto"/>
              </w:rPr>
              <w:t>Director</w:t>
            </w:r>
          </w:p>
        </w:tc>
        <w:tc>
          <w:tcPr>
            <w:tcW w:w="2140" w:type="dxa"/>
            <w:vAlign w:val="bottom"/>
          </w:tcPr>
          <w:p>
            <w:pPr>
              <w:jc w:val="center"/>
              <w:ind w:left="561"/>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Arial" w:cs="Arial" w:eastAsia="Arial" w:hAnsi="Arial"/>
                <w:sz w:val="20"/>
                <w:szCs w:val="20"/>
                <w:color w:val="auto"/>
              </w:rPr>
              <w:t>Eric Nowling</w:t>
            </w:r>
          </w:p>
        </w:tc>
        <w:tc>
          <w:tcPr>
            <w:tcW w:w="4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Vincent Vellucci</w:t>
            </w:r>
          </w:p>
        </w:tc>
        <w:tc>
          <w:tcPr>
            <w:tcW w:w="4920" w:type="dxa"/>
            <w:vAlign w:val="bottom"/>
          </w:tcPr>
          <w:p>
            <w:pPr>
              <w:ind w:left="440"/>
              <w:spacing w:after="0"/>
              <w:rPr>
                <w:sz w:val="20"/>
                <w:szCs w:val="20"/>
                <w:color w:val="auto"/>
              </w:rPr>
            </w:pPr>
            <w:r>
              <w:rPr>
                <w:rFonts w:ascii="Arial" w:cs="Arial" w:eastAsia="Arial" w:hAnsi="Arial"/>
                <w:sz w:val="20"/>
                <w:szCs w:val="20"/>
                <w:color w:val="auto"/>
              </w:rPr>
              <w:t>Director</w:t>
            </w:r>
          </w:p>
        </w:tc>
        <w:tc>
          <w:tcPr>
            <w:tcW w:w="2140" w:type="dxa"/>
            <w:vAlign w:val="bottom"/>
          </w:tcPr>
          <w:p>
            <w:pPr>
              <w:jc w:val="center"/>
              <w:ind w:left="561"/>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Arial" w:cs="Arial" w:eastAsia="Arial" w:hAnsi="Arial"/>
                <w:sz w:val="20"/>
                <w:szCs w:val="20"/>
                <w:color w:val="auto"/>
              </w:rPr>
              <w:t>Vincent Vellucci</w:t>
            </w:r>
          </w:p>
        </w:tc>
        <w:tc>
          <w:tcPr>
            <w:tcW w:w="4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8"/>
        </w:trPr>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Rita V. Smith</w:t>
            </w:r>
          </w:p>
        </w:tc>
        <w:tc>
          <w:tcPr>
            <w:tcW w:w="4920" w:type="dxa"/>
            <w:vAlign w:val="bottom"/>
          </w:tcPr>
          <w:p>
            <w:pPr>
              <w:ind w:left="440"/>
              <w:spacing w:after="0"/>
              <w:rPr>
                <w:sz w:val="20"/>
                <w:szCs w:val="20"/>
                <w:color w:val="auto"/>
              </w:rPr>
            </w:pPr>
            <w:r>
              <w:rPr>
                <w:rFonts w:ascii="Arial" w:cs="Arial" w:eastAsia="Arial" w:hAnsi="Arial"/>
                <w:sz w:val="20"/>
                <w:szCs w:val="20"/>
                <w:color w:val="auto"/>
              </w:rPr>
              <w:t>Director</w:t>
            </w:r>
          </w:p>
        </w:tc>
        <w:tc>
          <w:tcPr>
            <w:tcW w:w="2140" w:type="dxa"/>
            <w:vAlign w:val="bottom"/>
          </w:tcPr>
          <w:p>
            <w:pPr>
              <w:jc w:val="center"/>
              <w:ind w:left="561"/>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0"/>
                <w:szCs w:val="20"/>
                <w:color w:val="auto"/>
              </w:rPr>
            </w:pPr>
            <w:r>
              <w:rPr>
                <w:rFonts w:ascii="Arial" w:cs="Arial" w:eastAsia="Arial" w:hAnsi="Arial"/>
                <w:sz w:val="20"/>
                <w:szCs w:val="20"/>
                <w:color w:val="auto"/>
              </w:rPr>
              <w:t>Rita V. Smith</w:t>
            </w:r>
          </w:p>
        </w:tc>
        <w:tc>
          <w:tcPr>
            <w:tcW w:w="4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Jacqueline Brito</w:t>
            </w:r>
          </w:p>
        </w:tc>
        <w:tc>
          <w:tcPr>
            <w:tcW w:w="4920" w:type="dxa"/>
            <w:vAlign w:val="bottom"/>
          </w:tcPr>
          <w:p>
            <w:pPr>
              <w:ind w:left="440"/>
              <w:spacing w:after="0"/>
              <w:rPr>
                <w:sz w:val="20"/>
                <w:szCs w:val="20"/>
                <w:color w:val="auto"/>
              </w:rPr>
            </w:pPr>
            <w:r>
              <w:rPr>
                <w:rFonts w:ascii="Arial" w:cs="Arial" w:eastAsia="Arial" w:hAnsi="Arial"/>
                <w:sz w:val="20"/>
                <w:szCs w:val="20"/>
                <w:color w:val="auto"/>
              </w:rPr>
              <w:t>Director</w:t>
            </w:r>
          </w:p>
        </w:tc>
        <w:tc>
          <w:tcPr>
            <w:tcW w:w="2140" w:type="dxa"/>
            <w:vAlign w:val="bottom"/>
          </w:tcPr>
          <w:p>
            <w:pPr>
              <w:jc w:val="center"/>
              <w:ind w:left="561"/>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Arial" w:cs="Arial" w:eastAsia="Arial" w:hAnsi="Arial"/>
                <w:sz w:val="20"/>
                <w:szCs w:val="20"/>
                <w:color w:val="auto"/>
              </w:rPr>
              <w:t>Jacqueline Brito</w:t>
            </w:r>
          </w:p>
        </w:tc>
        <w:tc>
          <w:tcPr>
            <w:tcW w:w="4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Lynn Hutkin</w:t>
            </w:r>
          </w:p>
        </w:tc>
        <w:tc>
          <w:tcPr>
            <w:tcW w:w="4920" w:type="dxa"/>
            <w:vAlign w:val="bottom"/>
          </w:tcPr>
          <w:p>
            <w:pPr>
              <w:ind w:left="440"/>
              <w:spacing w:after="0"/>
              <w:rPr>
                <w:sz w:val="20"/>
                <w:szCs w:val="20"/>
                <w:color w:val="auto"/>
              </w:rPr>
            </w:pPr>
            <w:r>
              <w:rPr>
                <w:rFonts w:ascii="Arial" w:cs="Arial" w:eastAsia="Arial" w:hAnsi="Arial"/>
                <w:sz w:val="20"/>
                <w:szCs w:val="20"/>
                <w:color w:val="auto"/>
              </w:rPr>
              <w:t>Chief Financial Officer and Treasurer</w:t>
            </w:r>
          </w:p>
        </w:tc>
        <w:tc>
          <w:tcPr>
            <w:tcW w:w="2140" w:type="dxa"/>
            <w:vAlign w:val="bottom"/>
          </w:tcPr>
          <w:p>
            <w:pPr>
              <w:jc w:val="center"/>
              <w:ind w:left="561"/>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08"/>
        </w:trPr>
        <w:tc>
          <w:tcPr>
            <w:tcW w:w="3240" w:type="dxa"/>
            <w:vAlign w:val="bottom"/>
          </w:tcPr>
          <w:p>
            <w:pPr>
              <w:spacing w:after="0" w:line="207" w:lineRule="exact"/>
              <w:rPr>
                <w:sz w:val="20"/>
                <w:szCs w:val="20"/>
                <w:color w:val="auto"/>
              </w:rPr>
            </w:pPr>
            <w:r>
              <w:rPr>
                <w:rFonts w:ascii="Arial" w:cs="Arial" w:eastAsia="Arial" w:hAnsi="Arial"/>
                <w:sz w:val="20"/>
                <w:szCs w:val="20"/>
                <w:color w:val="auto"/>
              </w:rPr>
              <w:t>Lynn Hutkin</w:t>
            </w:r>
          </w:p>
        </w:tc>
        <w:tc>
          <w:tcPr>
            <w:tcW w:w="4920" w:type="dxa"/>
            <w:vAlign w:val="bottom"/>
          </w:tcPr>
          <w:p>
            <w:pPr>
              <w:ind w:left="440"/>
              <w:spacing w:after="0" w:line="208" w:lineRule="exact"/>
              <w:rPr>
                <w:sz w:val="20"/>
                <w:szCs w:val="20"/>
                <w:color w:val="auto"/>
              </w:rPr>
            </w:pPr>
            <w:r>
              <w:rPr>
                <w:rFonts w:ascii="Arial" w:cs="Arial" w:eastAsia="Arial" w:hAnsi="Arial"/>
                <w:sz w:val="20"/>
                <w:szCs w:val="20"/>
                <w:i w:val="1"/>
                <w:iCs w:val="1"/>
                <w:color w:val="auto"/>
              </w:rPr>
              <w:t>(Principal</w:t>
            </w:r>
            <w:r>
              <w:rPr>
                <w:rFonts w:ascii="PMingLiU" w:cs="PMingLiU" w:eastAsia="PMingLiU" w:hAnsi="PMingLiU"/>
                <w:sz w:val="20"/>
                <w:szCs w:val="20"/>
                <w:i w:val="1"/>
                <w:iCs w:val="1"/>
                <w:color w:val="auto"/>
              </w:rPr>
              <w:t>)LQDQFLDO2IILFHUDQG3ULQFLSDO</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240" w:type="dxa"/>
            <w:vAlign w:val="bottom"/>
          </w:tcPr>
          <w:p>
            <w:pPr>
              <w:spacing w:after="0"/>
              <w:rPr>
                <w:sz w:val="22"/>
                <w:szCs w:val="22"/>
                <w:color w:val="auto"/>
              </w:rPr>
            </w:pPr>
          </w:p>
        </w:tc>
        <w:tc>
          <w:tcPr>
            <w:tcW w:w="4920" w:type="dxa"/>
            <w:vAlign w:val="bottom"/>
          </w:tcPr>
          <w:p>
            <w:pPr>
              <w:ind w:left="440"/>
              <w:spacing w:after="0"/>
              <w:rPr>
                <w:sz w:val="20"/>
                <w:szCs w:val="20"/>
                <w:color w:val="auto"/>
              </w:rPr>
            </w:pPr>
            <w:r>
              <w:rPr>
                <w:rFonts w:ascii="PMingLiU" w:cs="PMingLiU" w:eastAsia="PMingLiU" w:hAnsi="PMingLiU"/>
                <w:sz w:val="20"/>
                <w:szCs w:val="20"/>
                <w:i w:val="1"/>
                <w:iCs w:val="1"/>
                <w:color w:val="auto"/>
              </w:rPr>
              <w:t>$FFRXQWLQJ2IILFHU</w:t>
            </w: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782" w:right="720" w:bottom="0" w:gutter="0" w:footer="0" w:header="0"/>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2240" w:h="15840" w:orient="portrait"/>
          <w:cols w:equalWidth="0" w:num="1">
            <w:col w:w="10800"/>
          </w:cols>
          <w:pgMar w:left="720" w:top="782" w:right="720" w:bottom="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21.1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THE REGISTRANT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2"/>
          </w:tcPr>
          <w:p>
            <w:pPr>
              <w:spacing w:after="0"/>
              <w:rPr>
                <w:sz w:val="20"/>
                <w:szCs w:val="20"/>
                <w:color w:val="auto"/>
              </w:rPr>
            </w:pPr>
            <w:r>
              <w:rPr>
                <w:rFonts w:ascii="Arial" w:cs="Arial" w:eastAsia="Arial" w:hAnsi="Arial"/>
                <w:sz w:val="20"/>
                <w:szCs w:val="20"/>
                <w:b w:val="1"/>
                <w:bCs w:val="1"/>
                <w:color w:val="auto"/>
              </w:rPr>
              <w:t>Subsidiary</w:t>
            </w:r>
          </w:p>
        </w:tc>
        <w:tc>
          <w:tcPr>
            <w:tcW w:w="3400" w:type="dxa"/>
            <w:vAlign w:val="bottom"/>
            <w:gridSpan w:val="3"/>
          </w:tcPr>
          <w:p>
            <w:pPr>
              <w:ind w:left="960"/>
              <w:spacing w:after="0"/>
              <w:rPr>
                <w:sz w:val="20"/>
                <w:szCs w:val="20"/>
                <w:color w:val="auto"/>
              </w:rPr>
            </w:pPr>
            <w:r>
              <w:rPr>
                <w:rFonts w:ascii="Arial" w:cs="Arial" w:eastAsia="Arial" w:hAnsi="Arial"/>
                <w:sz w:val="20"/>
                <w:szCs w:val="20"/>
                <w:b w:val="1"/>
                <w:bCs w:val="1"/>
                <w:color w:val="auto"/>
                <w:w w:val="91"/>
              </w:rPr>
              <w:t>Jurisdiction of Organization</w:t>
            </w:r>
          </w:p>
        </w:tc>
      </w:tr>
      <w:tr>
        <w:trPr>
          <w:trHeight w:val="232"/>
        </w:trPr>
        <w:tc>
          <w:tcPr>
            <w:tcW w:w="92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98"/>
              </w:rPr>
              <w:t>Bel Power</w:t>
            </w:r>
          </w:p>
        </w:tc>
        <w:tc>
          <w:tcPr>
            <w:tcW w:w="4620" w:type="dxa"/>
            <w:vAlign w:val="bottom"/>
          </w:tcPr>
          <w:p>
            <w:pPr>
              <w:spacing w:after="0"/>
              <w:rPr>
                <w:sz w:val="20"/>
                <w:szCs w:val="20"/>
                <w:color w:val="auto"/>
              </w:rPr>
            </w:pPr>
            <w:r>
              <w:rPr>
                <w:rFonts w:ascii="Arial" w:cs="Arial" w:eastAsia="Arial" w:hAnsi="Arial"/>
                <w:sz w:val="20"/>
                <w:szCs w:val="20"/>
                <w:color w:val="auto"/>
              </w:rPr>
              <w:t>Solutions Germany GmbH</w:t>
            </w:r>
          </w:p>
        </w:tc>
        <w:tc>
          <w:tcPr>
            <w:tcW w:w="960" w:type="dxa"/>
            <w:vAlign w:val="bottom"/>
          </w:tcPr>
          <w:p>
            <w:pPr>
              <w:spacing w:after="0"/>
              <w:rPr>
                <w:sz w:val="20"/>
                <w:szCs w:val="20"/>
                <w:color w:val="auto"/>
              </w:rPr>
            </w:pPr>
          </w:p>
        </w:tc>
        <w:tc>
          <w:tcPr>
            <w:tcW w:w="24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Germany</w:t>
            </w:r>
          </w:p>
        </w:tc>
        <w:tc>
          <w:tcPr>
            <w:tcW w:w="20" w:type="dxa"/>
            <w:vAlign w:val="bottom"/>
          </w:tcPr>
          <w:p>
            <w:pPr>
              <w:spacing w:after="0"/>
              <w:rPr>
                <w:sz w:val="20"/>
                <w:szCs w:val="20"/>
                <w:color w:val="auto"/>
              </w:rPr>
            </w:pP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Components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Hong Kong</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Connector Inc.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Delaware</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Fuse (Macao Commercial Offshore) Limited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Macao</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Fuse Limited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Hong Kong</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Guangxi Electronics Co.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PRC</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Power (Hangzhou) Co.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PRC</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Power Europe S.r.l.</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Italy</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Power Inc.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Massachusetts</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Power Solutions GmbH</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Switzerland</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Power Solutions Inc.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Delaware</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Power Solutions Ireland Limited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Ireland</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Power Solutions s.r.o.</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Slovakia</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Sales (Hong Kong)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Hong Kong</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Stewart GmbH</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Germany</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Transformer Inc.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Delaware</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Bel Ventures Inc.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Delaware</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BPS Asia Pacific Electronics (Shenzhen) Co.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PRC</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BPS Cooperatief U.A.</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Netherlands</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Cinch Connectivity Solutions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England and Wales</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Cinch Connectivity Solutions, Inc.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Delaware</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Cinch Connectors de Mexico, S.A. de C.V.</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Mexico</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Cinch Connectors Limited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England and Wales</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Continental Converters Corporation Pte.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Singapore</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Dongguan Transpower Electric Products Co.,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PRC</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Elcatech Development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Israel</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Enercon Technologies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Israel</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Enercon Technologies Europe AG</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Switzerland</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EOS Power India Private Limited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India</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Mil Power Converter Technologies India Private Limited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India</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Mil Power Magnetics India Private Limited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India</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Mil Power Source Inc.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United States</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Multisphere Power Solutions Private Limited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India</w:t>
            </w:r>
          </w:p>
        </w:tc>
      </w:tr>
      <w:tr>
        <w:trPr>
          <w:trHeight w:val="264"/>
        </w:trPr>
        <w:tc>
          <w:tcPr>
            <w:tcW w:w="5540" w:type="dxa"/>
            <w:vAlign w:val="bottom"/>
            <w:gridSpan w:val="2"/>
          </w:tcPr>
          <w:p>
            <w:pPr>
              <w:spacing w:after="0"/>
              <w:rPr>
                <w:sz w:val="20"/>
                <w:szCs w:val="20"/>
                <w:color w:val="auto"/>
              </w:rPr>
            </w:pPr>
            <w:r>
              <w:rPr>
                <w:rFonts w:ascii="Arial" w:cs="Arial" w:eastAsia="Arial" w:hAnsi="Arial"/>
                <w:sz w:val="20"/>
                <w:szCs w:val="20"/>
                <w:color w:val="auto"/>
              </w:rPr>
              <w:t>PAI Capital LLC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Delaware</w:t>
            </w:r>
          </w:p>
        </w:tc>
      </w:tr>
      <w:tr>
        <w:trPr>
          <w:trHeight w:val="443"/>
        </w:trPr>
        <w:tc>
          <w:tcPr>
            <w:tcW w:w="5540" w:type="dxa"/>
            <w:vAlign w:val="bottom"/>
            <w:gridSpan w:val="2"/>
          </w:tcPr>
          <w:p>
            <w:pPr>
              <w:spacing w:after="0"/>
              <w:rPr>
                <w:sz w:val="20"/>
                <w:szCs w:val="20"/>
                <w:color w:val="auto"/>
              </w:rPr>
            </w:pPr>
            <w:r>
              <w:rPr>
                <w:rFonts w:ascii="Arial" w:cs="Arial" w:eastAsia="Arial" w:hAnsi="Arial"/>
                <w:sz w:val="20"/>
                <w:szCs w:val="20"/>
                <w:color w:val="auto"/>
              </w:rPr>
              <w:t>Shireoaks Worksop Holdings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England and Wales</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Signal Dominicana, S.R.L.</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Dominican Republic</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Stewart Connector Systems de Mexico, S.A. de C.V.</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Mexico</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Stratos International, LLC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Delaware</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Stratos Lightwave LLC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Delaware</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Stratos Lightwave-Florida LLC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Delaware</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Transpower Cooperatief U.A.</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Netherlands</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Transpower Technologies (HK) Limited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Hong Kong</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Trompeter Electronics, Inc.</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Delaware</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TRP Connector B.V.</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Netherlands</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TRP Connector Limited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Macao</w:t>
            </w:r>
          </w:p>
        </w:tc>
      </w:tr>
      <w:tr>
        <w:trPr>
          <w:trHeight w:val="239"/>
        </w:trPr>
        <w:tc>
          <w:tcPr>
            <w:tcW w:w="5540" w:type="dxa"/>
            <w:vAlign w:val="bottom"/>
            <w:gridSpan w:val="2"/>
          </w:tcPr>
          <w:p>
            <w:pPr>
              <w:spacing w:after="0"/>
              <w:rPr>
                <w:sz w:val="20"/>
                <w:szCs w:val="20"/>
                <w:color w:val="auto"/>
              </w:rPr>
            </w:pPr>
            <w:r>
              <w:rPr>
                <w:rFonts w:ascii="Arial" w:cs="Arial" w:eastAsia="Arial" w:hAnsi="Arial"/>
                <w:sz w:val="20"/>
                <w:szCs w:val="20"/>
                <w:color w:val="auto"/>
              </w:rPr>
              <w:t>TRP International*</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PRC</w:t>
            </w:r>
          </w:p>
        </w:tc>
      </w:tr>
      <w:tr>
        <w:trPr>
          <w:trHeight w:val="264"/>
        </w:trPr>
        <w:tc>
          <w:tcPr>
            <w:tcW w:w="5540" w:type="dxa"/>
            <w:vAlign w:val="bottom"/>
            <w:gridSpan w:val="2"/>
          </w:tcPr>
          <w:p>
            <w:pPr>
              <w:spacing w:after="0"/>
              <w:rPr>
                <w:sz w:val="20"/>
                <w:szCs w:val="20"/>
                <w:color w:val="auto"/>
              </w:rPr>
            </w:pPr>
            <w:r>
              <w:rPr>
                <w:rFonts w:ascii="Arial" w:cs="Arial" w:eastAsia="Arial" w:hAnsi="Arial"/>
                <w:sz w:val="20"/>
                <w:szCs w:val="20"/>
                <w:color w:val="auto"/>
              </w:rPr>
              <w:t>Winsonko (Guangxi Pingguo) Electron Co., Ltd.</w:t>
            </w:r>
          </w:p>
        </w:tc>
        <w:tc>
          <w:tcPr>
            <w:tcW w:w="3400" w:type="dxa"/>
            <w:vAlign w:val="bottom"/>
            <w:gridSpan w:val="3"/>
          </w:tcPr>
          <w:p>
            <w:pPr>
              <w:ind w:left="960"/>
              <w:spacing w:after="0"/>
              <w:rPr>
                <w:sz w:val="20"/>
                <w:szCs w:val="20"/>
                <w:color w:val="auto"/>
              </w:rPr>
            </w:pPr>
            <w:r>
              <w:rPr>
                <w:rFonts w:ascii="Arial" w:cs="Arial" w:eastAsia="Arial" w:hAnsi="Arial"/>
                <w:sz w:val="20"/>
                <w:szCs w:val="20"/>
                <w:color w:val="auto"/>
              </w:rPr>
              <w:t>PRC</w:t>
            </w:r>
          </w:p>
        </w:tc>
      </w:tr>
      <w:tr>
        <w:trPr>
          <w:trHeight w:val="478"/>
        </w:trPr>
        <w:tc>
          <w:tcPr>
            <w:tcW w:w="5540" w:type="dxa"/>
            <w:vAlign w:val="bottom"/>
            <w:gridSpan w:val="2"/>
          </w:tcPr>
          <w:p>
            <w:pPr>
              <w:spacing w:after="0"/>
              <w:rPr>
                <w:sz w:val="20"/>
                <w:szCs w:val="20"/>
                <w:color w:val="auto"/>
              </w:rPr>
            </w:pPr>
            <w:r>
              <w:rPr>
                <w:rFonts w:ascii="Arial" w:cs="Arial" w:eastAsia="Arial" w:hAnsi="Arial"/>
                <w:sz w:val="20"/>
                <w:szCs w:val="20"/>
                <w:color w:val="auto"/>
              </w:rPr>
              <w:t>* TRP International is a China Business Trust</w:t>
            </w:r>
          </w:p>
        </w:tc>
        <w:tc>
          <w:tcPr>
            <w:tcW w:w="9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2240" w:h="15840" w:orient="portrait"/>
          <w:cols w:equalWidth="0" w:num="1">
            <w:col w:w="10800"/>
          </w:cols>
          <w:pgMar w:left="720" w:top="781" w:right="720" w:bottom="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23.1</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We have issued our reports dated February 24, 2026, with respect to the consolidated financial statements and internal control over financial reporting included in the Annual Report of Bel Fuse Inc. on Form 10-K for the year ended December 31, 2025. We consent to the incorporation by reference of said reports in the Registration Statements of Bel Fuse Inc. on Form S-3 (File No. 333-271817) and on Forms S-8 (File No. 333-180340 and File No. 333-239267).</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GRANT THORNTON LLP</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Iselin, New Jersey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100</w:t>
      </w:r>
    </w:p>
    <w:p>
      <w:pPr>
        <w:sectPr>
          <w:pgSz w:w="12240" w:h="15840" w:orient="portrait"/>
          <w:cols w:equalWidth="0" w:num="1">
            <w:col w:w="10820"/>
          </w:cols>
          <w:pgMar w:left="700" w:top="553" w:right="720" w:bottom="116" w:gutter="0" w:footer="0" w:header="0"/>
        </w:sectPr>
      </w:pPr>
    </w:p>
    <w:bookmarkStart w:id="110" w:name="page111"/>
    <w:bookmarkEnd w:id="110"/>
    <w:p>
      <w:pPr>
        <w:ind w:left="9760"/>
        <w:spacing w:after="0"/>
        <w:rPr>
          <w:sz w:val="20"/>
          <w:szCs w:val="20"/>
          <w:color w:val="auto"/>
        </w:rPr>
      </w:pPr>
      <w:r>
        <w:rPr>
          <w:rFonts w:ascii="Arial" w:cs="Arial" w:eastAsia="Arial" w:hAnsi="Arial"/>
          <w:sz w:val="18"/>
          <w:szCs w:val="18"/>
          <w:b w:val="1"/>
          <w:bCs w:val="1"/>
          <w:color w:val="auto"/>
        </w:rPr>
        <w:t>Exhibit 31.1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Farouq Tuweiq, certify that:</w:t>
      </w:r>
    </w:p>
    <w:p>
      <w:pPr>
        <w:spacing w:after="0" w:line="236" w:lineRule="exact"/>
        <w:rPr>
          <w:sz w:val="20"/>
          <w:szCs w:val="20"/>
          <w:color w:val="auto"/>
        </w:rPr>
      </w:pPr>
    </w:p>
    <w:p>
      <w:pPr>
        <w:ind w:left="720" w:hanging="355"/>
        <w:spacing w:after="0"/>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Bel Fuse Inc.;</w:t>
      </w:r>
    </w:p>
    <w:p>
      <w:pPr>
        <w:spacing w:after="0" w:line="341" w:lineRule="exact"/>
        <w:rPr>
          <w:rFonts w:ascii="Arial" w:cs="Arial" w:eastAsia="Arial" w:hAnsi="Arial"/>
          <w:sz w:val="20"/>
          <w:szCs w:val="20"/>
          <w:color w:val="auto"/>
        </w:rPr>
      </w:pPr>
    </w:p>
    <w:p>
      <w:pPr>
        <w:jc w:val="both"/>
        <w:ind w:left="720" w:hanging="355"/>
        <w:spacing w:after="0" w:line="258" w:lineRule="auto"/>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4" w:lineRule="exact"/>
        <w:rPr>
          <w:rFonts w:ascii="Arial" w:cs="Arial" w:eastAsia="Arial" w:hAnsi="Arial"/>
          <w:sz w:val="20"/>
          <w:szCs w:val="20"/>
          <w:color w:val="auto"/>
        </w:rPr>
      </w:pPr>
    </w:p>
    <w:p>
      <w:pPr>
        <w:jc w:val="both"/>
        <w:ind w:left="720" w:hanging="355"/>
        <w:spacing w:after="0" w:line="258" w:lineRule="auto"/>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4" w:lineRule="exact"/>
        <w:rPr>
          <w:rFonts w:ascii="Arial" w:cs="Arial" w:eastAsia="Arial" w:hAnsi="Arial"/>
          <w:sz w:val="20"/>
          <w:szCs w:val="20"/>
          <w:color w:val="auto"/>
        </w:rPr>
      </w:pPr>
    </w:p>
    <w:p>
      <w:pPr>
        <w:jc w:val="both"/>
        <w:ind w:left="720" w:hanging="355"/>
        <w:spacing w:after="0" w:line="257" w:lineRule="auto"/>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7" w:lineRule="exact"/>
        <w:rPr>
          <w:rFonts w:ascii="Arial" w:cs="Arial" w:eastAsia="Arial" w:hAnsi="Arial"/>
          <w:sz w:val="20"/>
          <w:szCs w:val="20"/>
          <w:color w:val="auto"/>
        </w:rPr>
      </w:pPr>
    </w:p>
    <w:p>
      <w:pPr>
        <w:jc w:val="both"/>
        <w:ind w:left="1080" w:hanging="355"/>
        <w:spacing w:after="0" w:line="251" w:lineRule="auto"/>
        <w:tabs>
          <w:tab w:leader="none" w:pos="10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2" w:lineRule="exact"/>
        <w:rPr>
          <w:rFonts w:ascii="Arial" w:cs="Arial" w:eastAsia="Arial" w:hAnsi="Arial"/>
          <w:sz w:val="20"/>
          <w:szCs w:val="20"/>
          <w:color w:val="auto"/>
        </w:rPr>
      </w:pPr>
    </w:p>
    <w:p>
      <w:pPr>
        <w:jc w:val="both"/>
        <w:ind w:left="1080" w:hanging="355"/>
        <w:spacing w:after="0" w:line="300"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jc w:val="both"/>
        <w:ind w:left="1080" w:hanging="355"/>
        <w:spacing w:after="0" w:line="257" w:lineRule="auto"/>
        <w:tabs>
          <w:tab w:leader="none" w:pos="10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5" w:lineRule="exact"/>
        <w:rPr>
          <w:rFonts w:ascii="Arial" w:cs="Arial" w:eastAsia="Arial" w:hAnsi="Arial"/>
          <w:sz w:val="20"/>
          <w:szCs w:val="20"/>
          <w:color w:val="auto"/>
        </w:rPr>
      </w:pPr>
    </w:p>
    <w:p>
      <w:pPr>
        <w:jc w:val="both"/>
        <w:ind w:left="1080" w:hanging="355"/>
        <w:spacing w:after="0" w:line="252" w:lineRule="auto"/>
        <w:tabs>
          <w:tab w:leader="none" w:pos="10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0" w:lineRule="exact"/>
        <w:rPr>
          <w:rFonts w:ascii="Arial" w:cs="Arial" w:eastAsia="Arial" w:hAnsi="Arial"/>
          <w:sz w:val="20"/>
          <w:szCs w:val="20"/>
          <w:color w:val="auto"/>
        </w:rPr>
      </w:pPr>
    </w:p>
    <w:p>
      <w:pPr>
        <w:jc w:val="both"/>
        <w:ind w:left="720" w:hanging="355"/>
        <w:spacing w:after="0" w:line="258" w:lineRule="auto"/>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4" w:lineRule="exact"/>
        <w:rPr>
          <w:rFonts w:ascii="Arial" w:cs="Arial" w:eastAsia="Arial" w:hAnsi="Arial"/>
          <w:sz w:val="20"/>
          <w:szCs w:val="20"/>
          <w:color w:val="auto"/>
        </w:rPr>
      </w:pPr>
    </w:p>
    <w:p>
      <w:pPr>
        <w:jc w:val="both"/>
        <w:ind w:left="1080" w:hanging="355"/>
        <w:spacing w:after="0" w:line="258" w:lineRule="auto"/>
        <w:tabs>
          <w:tab w:leader="none" w:pos="10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4" w:lineRule="exact"/>
        <w:rPr>
          <w:rFonts w:ascii="Arial" w:cs="Arial" w:eastAsia="Arial" w:hAnsi="Arial"/>
          <w:sz w:val="20"/>
          <w:szCs w:val="20"/>
          <w:color w:val="auto"/>
        </w:rPr>
      </w:pPr>
    </w:p>
    <w:p>
      <w:pPr>
        <w:ind w:left="1080" w:hanging="355"/>
        <w:spacing w:after="0" w:line="277" w:lineRule="auto"/>
        <w:tabs>
          <w:tab w:leader="none" w:pos="10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200" w:type="dxa"/>
            <w:vAlign w:val="bottom"/>
          </w:tcPr>
          <w:p>
            <w:pPr>
              <w:spacing w:after="0"/>
              <w:rPr>
                <w:sz w:val="20"/>
                <w:szCs w:val="20"/>
                <w:color w:val="auto"/>
              </w:rPr>
            </w:pPr>
            <w:r>
              <w:rPr>
                <w:rFonts w:ascii="Arial" w:cs="Arial" w:eastAsia="Arial" w:hAnsi="Arial"/>
                <w:sz w:val="20"/>
                <w:szCs w:val="20"/>
                <w:color w:val="auto"/>
              </w:rPr>
              <w:t>Date: February 24, 2026</w:t>
            </w:r>
          </w:p>
        </w:tc>
        <w:tc>
          <w:tcPr>
            <w:tcW w:w="5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Farouq Tuweiq</w:t>
            </w:r>
          </w:p>
        </w:tc>
      </w:tr>
      <w:tr>
        <w:trPr>
          <w:trHeight w:val="216"/>
        </w:trPr>
        <w:tc>
          <w:tcPr>
            <w:tcW w:w="5200" w:type="dxa"/>
            <w:vAlign w:val="bottom"/>
          </w:tcPr>
          <w:p>
            <w:pPr>
              <w:spacing w:after="0"/>
              <w:rPr>
                <w:sz w:val="18"/>
                <w:szCs w:val="18"/>
                <w:color w:val="auto"/>
              </w:rPr>
            </w:pPr>
          </w:p>
        </w:tc>
        <w:tc>
          <w:tcPr>
            <w:tcW w:w="5600" w:type="dxa"/>
            <w:vAlign w:val="bottom"/>
          </w:tcPr>
          <w:p>
            <w:pPr>
              <w:spacing w:after="0" w:line="216" w:lineRule="exact"/>
              <w:rPr>
                <w:sz w:val="20"/>
                <w:szCs w:val="20"/>
                <w:color w:val="auto"/>
              </w:rPr>
            </w:pPr>
            <w:r>
              <w:rPr>
                <w:rFonts w:ascii="Arial" w:cs="Arial" w:eastAsia="Arial" w:hAnsi="Arial"/>
                <w:sz w:val="20"/>
                <w:szCs w:val="20"/>
                <w:color w:val="auto"/>
              </w:rPr>
              <w:t>Farouq Tuweiq</w:t>
            </w:r>
          </w:p>
        </w:tc>
      </w:tr>
      <w:tr>
        <w:trPr>
          <w:trHeight w:val="230"/>
        </w:trPr>
        <w:tc>
          <w:tcPr>
            <w:tcW w:w="52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President and Chief Executive Officer</w:t>
            </w:r>
          </w:p>
        </w:tc>
      </w:tr>
      <w:tr>
        <w:trPr>
          <w:trHeight w:val="265"/>
        </w:trPr>
        <w:tc>
          <w:tcPr>
            <w:tcW w:w="5200" w:type="dxa"/>
            <w:vAlign w:val="bottom"/>
          </w:tcPr>
          <w:p>
            <w:pPr>
              <w:spacing w:after="0"/>
              <w:rPr>
                <w:sz w:val="23"/>
                <w:szCs w:val="23"/>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Principal Executive Officer</w:t>
            </w: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2240" w:h="15840" w:orient="portrait"/>
          <w:cols w:equalWidth="0" w:num="1">
            <w:col w:w="10800"/>
          </w:cols>
          <w:pgMar w:left="720" w:top="553" w:right="720" w:bottom="116" w:gutter="0" w:footer="0" w:header="0"/>
        </w:sectPr>
      </w:pPr>
    </w:p>
    <w:bookmarkStart w:id="111" w:name="page112"/>
    <w:bookmarkEnd w:id="111"/>
    <w:p>
      <w:pPr>
        <w:ind w:left="9760"/>
        <w:spacing w:after="0"/>
        <w:rPr>
          <w:sz w:val="20"/>
          <w:szCs w:val="20"/>
          <w:color w:val="auto"/>
        </w:rPr>
      </w:pPr>
      <w:r>
        <w:rPr>
          <w:rFonts w:ascii="Arial" w:cs="Arial" w:eastAsia="Arial" w:hAnsi="Arial"/>
          <w:sz w:val="18"/>
          <w:szCs w:val="18"/>
          <w:b w:val="1"/>
          <w:bCs w:val="1"/>
          <w:color w:val="auto"/>
        </w:rPr>
        <w:t>Exhibit 31.2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Lynn Hutkin, certify that:</w:t>
      </w:r>
    </w:p>
    <w:p>
      <w:pPr>
        <w:spacing w:after="0" w:line="236" w:lineRule="exact"/>
        <w:rPr>
          <w:sz w:val="20"/>
          <w:szCs w:val="20"/>
          <w:color w:val="auto"/>
        </w:rPr>
      </w:pPr>
    </w:p>
    <w:p>
      <w:pPr>
        <w:ind w:left="720" w:hanging="355"/>
        <w:spacing w:after="0"/>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Bel Fuse Inc.;</w:t>
      </w:r>
    </w:p>
    <w:p>
      <w:pPr>
        <w:spacing w:after="0" w:line="341" w:lineRule="exact"/>
        <w:rPr>
          <w:rFonts w:ascii="Arial" w:cs="Arial" w:eastAsia="Arial" w:hAnsi="Arial"/>
          <w:sz w:val="20"/>
          <w:szCs w:val="20"/>
          <w:color w:val="auto"/>
        </w:rPr>
      </w:pPr>
    </w:p>
    <w:p>
      <w:pPr>
        <w:jc w:val="both"/>
        <w:ind w:left="720" w:hanging="355"/>
        <w:spacing w:after="0" w:line="258"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4" w:lineRule="exact"/>
        <w:rPr>
          <w:rFonts w:ascii="Arial" w:cs="Arial" w:eastAsia="Arial" w:hAnsi="Arial"/>
          <w:sz w:val="20"/>
          <w:szCs w:val="20"/>
          <w:color w:val="auto"/>
        </w:rPr>
      </w:pPr>
    </w:p>
    <w:p>
      <w:pPr>
        <w:jc w:val="both"/>
        <w:ind w:left="720" w:hanging="355"/>
        <w:spacing w:after="0" w:line="258"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4" w:lineRule="exact"/>
        <w:rPr>
          <w:rFonts w:ascii="Arial" w:cs="Arial" w:eastAsia="Arial" w:hAnsi="Arial"/>
          <w:sz w:val="20"/>
          <w:szCs w:val="20"/>
          <w:color w:val="auto"/>
        </w:rPr>
      </w:pPr>
    </w:p>
    <w:p>
      <w:pPr>
        <w:jc w:val="both"/>
        <w:ind w:left="720" w:hanging="355"/>
        <w:spacing w:after="0" w:line="257"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7" w:lineRule="exact"/>
        <w:rPr>
          <w:rFonts w:ascii="Arial" w:cs="Arial" w:eastAsia="Arial" w:hAnsi="Arial"/>
          <w:sz w:val="20"/>
          <w:szCs w:val="20"/>
          <w:color w:val="auto"/>
        </w:rPr>
      </w:pPr>
    </w:p>
    <w:p>
      <w:pPr>
        <w:jc w:val="both"/>
        <w:ind w:left="1080" w:hanging="355"/>
        <w:spacing w:after="0" w:line="251" w:lineRule="auto"/>
        <w:tabs>
          <w:tab w:leader="none" w:pos="10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2" w:lineRule="exact"/>
        <w:rPr>
          <w:rFonts w:ascii="Arial" w:cs="Arial" w:eastAsia="Arial" w:hAnsi="Arial"/>
          <w:sz w:val="20"/>
          <w:szCs w:val="20"/>
          <w:color w:val="auto"/>
        </w:rPr>
      </w:pPr>
    </w:p>
    <w:p>
      <w:pPr>
        <w:jc w:val="both"/>
        <w:ind w:left="1080" w:hanging="355"/>
        <w:spacing w:after="0" w:line="300"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080" w:hanging="355"/>
        <w:spacing w:after="0" w:line="258" w:lineRule="auto"/>
        <w:tabs>
          <w:tab w:leader="none" w:pos="10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4" w:lineRule="exact"/>
        <w:rPr>
          <w:rFonts w:ascii="Arial" w:cs="Arial" w:eastAsia="Arial" w:hAnsi="Arial"/>
          <w:sz w:val="20"/>
          <w:szCs w:val="20"/>
          <w:color w:val="auto"/>
        </w:rPr>
      </w:pPr>
    </w:p>
    <w:p>
      <w:pPr>
        <w:jc w:val="both"/>
        <w:ind w:left="1080" w:hanging="355"/>
        <w:spacing w:after="0" w:line="251" w:lineRule="auto"/>
        <w:tabs>
          <w:tab w:leader="none" w:pos="10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2" w:lineRule="exact"/>
        <w:rPr>
          <w:rFonts w:ascii="Arial" w:cs="Arial" w:eastAsia="Arial" w:hAnsi="Arial"/>
          <w:sz w:val="20"/>
          <w:szCs w:val="20"/>
          <w:color w:val="auto"/>
        </w:rPr>
      </w:pPr>
    </w:p>
    <w:p>
      <w:pPr>
        <w:jc w:val="both"/>
        <w:ind w:left="720" w:hanging="355"/>
        <w:spacing w:after="0" w:line="258"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4" w:lineRule="exact"/>
        <w:rPr>
          <w:rFonts w:ascii="Arial" w:cs="Arial" w:eastAsia="Arial" w:hAnsi="Arial"/>
          <w:sz w:val="20"/>
          <w:szCs w:val="20"/>
          <w:color w:val="auto"/>
        </w:rPr>
      </w:pPr>
    </w:p>
    <w:p>
      <w:pPr>
        <w:jc w:val="both"/>
        <w:ind w:left="1080" w:hanging="355"/>
        <w:spacing w:after="0" w:line="258" w:lineRule="auto"/>
        <w:tabs>
          <w:tab w:leader="none" w:pos="10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4" w:lineRule="exact"/>
        <w:rPr>
          <w:rFonts w:ascii="Arial" w:cs="Arial" w:eastAsia="Arial" w:hAnsi="Arial"/>
          <w:sz w:val="20"/>
          <w:szCs w:val="20"/>
          <w:color w:val="auto"/>
        </w:rPr>
      </w:pPr>
    </w:p>
    <w:p>
      <w:pPr>
        <w:ind w:left="1080" w:hanging="355"/>
        <w:spacing w:after="0" w:line="277" w:lineRule="auto"/>
        <w:tabs>
          <w:tab w:leader="none" w:pos="10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00" w:type="dxa"/>
            <w:vAlign w:val="bottom"/>
          </w:tcPr>
          <w:p>
            <w:pPr>
              <w:spacing w:after="0"/>
              <w:rPr>
                <w:sz w:val="20"/>
                <w:szCs w:val="20"/>
                <w:color w:val="auto"/>
              </w:rPr>
            </w:pPr>
            <w:r>
              <w:rPr>
                <w:rFonts w:ascii="Arial" w:cs="Arial" w:eastAsia="Arial" w:hAnsi="Arial"/>
                <w:sz w:val="20"/>
                <w:szCs w:val="20"/>
                <w:color w:val="auto"/>
              </w:rPr>
              <w:t>Date: February 24, 2026</w:t>
            </w:r>
          </w:p>
        </w:tc>
        <w:tc>
          <w:tcPr>
            <w:tcW w:w="5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Lynn Hutkin</w:t>
            </w:r>
          </w:p>
        </w:tc>
      </w:tr>
      <w:tr>
        <w:trPr>
          <w:trHeight w:val="216"/>
        </w:trPr>
        <w:tc>
          <w:tcPr>
            <w:tcW w:w="5200" w:type="dxa"/>
            <w:vAlign w:val="bottom"/>
          </w:tcPr>
          <w:p>
            <w:pPr>
              <w:spacing w:after="0"/>
              <w:rPr>
                <w:sz w:val="18"/>
                <w:szCs w:val="18"/>
                <w:color w:val="auto"/>
              </w:rPr>
            </w:pPr>
          </w:p>
        </w:tc>
        <w:tc>
          <w:tcPr>
            <w:tcW w:w="5600" w:type="dxa"/>
            <w:vAlign w:val="bottom"/>
          </w:tcPr>
          <w:p>
            <w:pPr>
              <w:spacing w:after="0" w:line="216" w:lineRule="exact"/>
              <w:rPr>
                <w:sz w:val="20"/>
                <w:szCs w:val="20"/>
                <w:color w:val="auto"/>
              </w:rPr>
            </w:pPr>
            <w:r>
              <w:rPr>
                <w:rFonts w:ascii="Arial" w:cs="Arial" w:eastAsia="Arial" w:hAnsi="Arial"/>
                <w:sz w:val="20"/>
                <w:szCs w:val="20"/>
                <w:color w:val="auto"/>
              </w:rPr>
              <w:t>Lynn Hutkin</w:t>
            </w:r>
          </w:p>
        </w:tc>
      </w:tr>
      <w:tr>
        <w:trPr>
          <w:trHeight w:val="242"/>
        </w:trPr>
        <w:tc>
          <w:tcPr>
            <w:tcW w:w="520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Chief Financial Officer and Treasurer</w:t>
            </w:r>
          </w:p>
        </w:tc>
      </w:tr>
      <w:tr>
        <w:trPr>
          <w:trHeight w:val="263"/>
        </w:trPr>
        <w:tc>
          <w:tcPr>
            <w:tcW w:w="5200" w:type="dxa"/>
            <w:vAlign w:val="bottom"/>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20"/>
                <w:szCs w:val="20"/>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2240" w:h="15840" w:orient="portrait"/>
          <w:cols w:equalWidth="0" w:num="1">
            <w:col w:w="10800"/>
          </w:cols>
          <w:pgMar w:left="720" w:top="553" w:right="720" w:bottom="116" w:gutter="0" w:footer="0" w:header="0"/>
        </w:sectPr>
      </w:pPr>
    </w:p>
    <w:bookmarkStart w:id="112" w:name="page113"/>
    <w:bookmarkEnd w:id="112"/>
    <w:p>
      <w:pPr>
        <w:ind w:left="9760"/>
        <w:spacing w:after="0"/>
        <w:rPr>
          <w:sz w:val="20"/>
          <w:szCs w:val="20"/>
          <w:color w:val="auto"/>
        </w:rPr>
      </w:pPr>
      <w:r>
        <w:rPr>
          <w:rFonts w:ascii="Arial" w:cs="Arial" w:eastAsia="Arial" w:hAnsi="Arial"/>
          <w:sz w:val="18"/>
          <w:szCs w:val="18"/>
          <w:b w:val="1"/>
          <w:bCs w:val="1"/>
          <w:color w:val="auto"/>
        </w:rPr>
        <w:t>Exhibit 32.1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connection with the annual report of Bel Fuse Inc. (the "Company") on Form 10-K for the year ended December 31, 2025 filed with the Securities and Exchange Commission (the "Report"), I, Farouq Tuweiq, as President and Chief Executive Officer of the Company, certify, pursuant to 18 U.S.C. Section 1350, as adopted pursuant to Section 906 of the Sarbanes-Oxley Act of 2002, that to my knowledge:</w:t>
      </w:r>
    </w:p>
    <w:p>
      <w:pPr>
        <w:spacing w:after="0" w:line="192" w:lineRule="exact"/>
        <w:rPr>
          <w:sz w:val="20"/>
          <w:szCs w:val="20"/>
          <w:color w:val="auto"/>
        </w:rPr>
      </w:pPr>
    </w:p>
    <w:p>
      <w:pPr>
        <w:ind w:left="360" w:hanging="355"/>
        <w:spacing w:after="0"/>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95" w:lineRule="exact"/>
        <w:rPr>
          <w:rFonts w:ascii="Arial" w:cs="Arial" w:eastAsia="Arial" w:hAnsi="Arial"/>
          <w:sz w:val="20"/>
          <w:szCs w:val="20"/>
          <w:color w:val="auto"/>
        </w:rPr>
      </w:pPr>
    </w:p>
    <w:p>
      <w:pPr>
        <w:ind w:left="360" w:hanging="355"/>
        <w:spacing w:after="0" w:line="304" w:lineRule="auto"/>
        <w:tabs>
          <w:tab w:leader="none" w:pos="3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consolidated financial condition of the Company as of the dates presented and consolidated results of operations of the Company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00" w:type="dxa"/>
            <w:vAlign w:val="bottom"/>
          </w:tcPr>
          <w:p>
            <w:pPr>
              <w:spacing w:after="0"/>
              <w:rPr>
                <w:sz w:val="20"/>
                <w:szCs w:val="20"/>
                <w:color w:val="auto"/>
              </w:rPr>
            </w:pPr>
            <w:r>
              <w:rPr>
                <w:rFonts w:ascii="Arial" w:cs="Arial" w:eastAsia="Arial" w:hAnsi="Arial"/>
                <w:sz w:val="20"/>
                <w:szCs w:val="20"/>
                <w:color w:val="auto"/>
              </w:rPr>
              <w:t>Date: February 24, 2026</w:t>
            </w:r>
          </w:p>
        </w:tc>
        <w:tc>
          <w:tcPr>
            <w:tcW w:w="5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Farouq Tuweiq</w:t>
            </w:r>
          </w:p>
        </w:tc>
      </w:tr>
      <w:tr>
        <w:trPr>
          <w:trHeight w:val="216"/>
        </w:trPr>
        <w:tc>
          <w:tcPr>
            <w:tcW w:w="5200" w:type="dxa"/>
            <w:vAlign w:val="bottom"/>
          </w:tcPr>
          <w:p>
            <w:pPr>
              <w:spacing w:after="0"/>
              <w:rPr>
                <w:sz w:val="18"/>
                <w:szCs w:val="18"/>
                <w:color w:val="auto"/>
              </w:rPr>
            </w:pPr>
          </w:p>
        </w:tc>
        <w:tc>
          <w:tcPr>
            <w:tcW w:w="5600" w:type="dxa"/>
            <w:vAlign w:val="bottom"/>
          </w:tcPr>
          <w:p>
            <w:pPr>
              <w:spacing w:after="0" w:line="216" w:lineRule="exact"/>
              <w:rPr>
                <w:sz w:val="20"/>
                <w:szCs w:val="20"/>
                <w:color w:val="auto"/>
              </w:rPr>
            </w:pPr>
            <w:r>
              <w:rPr>
                <w:rFonts w:ascii="Arial" w:cs="Arial" w:eastAsia="Arial" w:hAnsi="Arial"/>
                <w:sz w:val="20"/>
                <w:szCs w:val="20"/>
                <w:color w:val="auto"/>
              </w:rPr>
              <w:t>Farouq Tuweiq</w:t>
            </w:r>
          </w:p>
        </w:tc>
      </w:tr>
      <w:tr>
        <w:trPr>
          <w:trHeight w:val="230"/>
        </w:trPr>
        <w:tc>
          <w:tcPr>
            <w:tcW w:w="52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President and Chief Executive Officer</w:t>
            </w:r>
          </w:p>
        </w:tc>
      </w:tr>
      <w:tr>
        <w:trPr>
          <w:trHeight w:val="265"/>
        </w:trPr>
        <w:tc>
          <w:tcPr>
            <w:tcW w:w="5200" w:type="dxa"/>
            <w:vAlign w:val="bottom"/>
          </w:tcPr>
          <w:p>
            <w:pPr>
              <w:spacing w:after="0"/>
              <w:rPr>
                <w:sz w:val="23"/>
                <w:szCs w:val="23"/>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Principal Executive Officer</w:t>
            </w: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2240" w:h="15840" w:orient="portrait"/>
          <w:cols w:equalWidth="0" w:num="1">
            <w:col w:w="10800"/>
          </w:cols>
          <w:pgMar w:left="720" w:top="553" w:right="720" w:bottom="116" w:gutter="0" w:footer="0" w:header="0"/>
        </w:sectPr>
      </w:pPr>
    </w:p>
    <w:bookmarkStart w:id="113" w:name="page114"/>
    <w:bookmarkEnd w:id="113"/>
    <w:p>
      <w:pPr>
        <w:ind w:left="9760"/>
        <w:spacing w:after="0"/>
        <w:rPr>
          <w:sz w:val="20"/>
          <w:szCs w:val="20"/>
          <w:color w:val="auto"/>
        </w:rPr>
      </w:pPr>
      <w:r>
        <w:rPr>
          <w:rFonts w:ascii="Arial" w:cs="Arial" w:eastAsia="Arial" w:hAnsi="Arial"/>
          <w:sz w:val="18"/>
          <w:szCs w:val="18"/>
          <w:b w:val="1"/>
          <w:bCs w:val="1"/>
          <w:color w:val="auto"/>
        </w:rPr>
        <w:t>Exhibit 32.2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connection with the annual report of Bel Fuse Inc. (the "Company") on Form 10-K for the year ended December 31, 2025 filed with the Securities and Exchange Commission (the "Report"), I, Lynn Hutkin, as Chief Financial Officer (principal financial officer and principal accounting officer) and Treasurer of the Company, certify, pursuant to 18 U.S.C. Section 1350, as adopted pursuant to Section 906 of the Sarbanes-Oxley Act of 2002, that to my knowledge:</w:t>
      </w:r>
    </w:p>
    <w:p>
      <w:pPr>
        <w:spacing w:after="0" w:line="192" w:lineRule="exact"/>
        <w:rPr>
          <w:sz w:val="20"/>
          <w:szCs w:val="20"/>
          <w:color w:val="auto"/>
        </w:rPr>
      </w:pPr>
    </w:p>
    <w:p>
      <w:pPr>
        <w:ind w:left="360" w:hanging="355"/>
        <w:spacing w:after="0"/>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95" w:lineRule="exact"/>
        <w:rPr>
          <w:rFonts w:ascii="Arial" w:cs="Arial" w:eastAsia="Arial" w:hAnsi="Arial"/>
          <w:sz w:val="20"/>
          <w:szCs w:val="20"/>
          <w:color w:val="auto"/>
        </w:rPr>
      </w:pPr>
    </w:p>
    <w:p>
      <w:pPr>
        <w:ind w:left="360" w:hanging="355"/>
        <w:spacing w:after="0" w:line="304" w:lineRule="auto"/>
        <w:tabs>
          <w:tab w:leader="none" w:pos="3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consolidated financial condition of the Company as of the dates presented and consolidated results of operations of the Company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00" w:type="dxa"/>
            <w:vAlign w:val="bottom"/>
          </w:tcPr>
          <w:p>
            <w:pPr>
              <w:spacing w:after="0"/>
              <w:rPr>
                <w:sz w:val="20"/>
                <w:szCs w:val="20"/>
                <w:color w:val="auto"/>
              </w:rPr>
            </w:pPr>
            <w:r>
              <w:rPr>
                <w:rFonts w:ascii="Arial" w:cs="Arial" w:eastAsia="Arial" w:hAnsi="Arial"/>
                <w:sz w:val="20"/>
                <w:szCs w:val="20"/>
                <w:color w:val="auto"/>
              </w:rPr>
              <w:t>Date: February 24, 2026</w:t>
            </w:r>
          </w:p>
        </w:tc>
        <w:tc>
          <w:tcPr>
            <w:tcW w:w="5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Lynn Hutkin</w:t>
            </w:r>
          </w:p>
        </w:tc>
      </w:tr>
      <w:tr>
        <w:trPr>
          <w:trHeight w:val="216"/>
        </w:trPr>
        <w:tc>
          <w:tcPr>
            <w:tcW w:w="5200" w:type="dxa"/>
            <w:vAlign w:val="bottom"/>
          </w:tcPr>
          <w:p>
            <w:pPr>
              <w:spacing w:after="0"/>
              <w:rPr>
                <w:sz w:val="18"/>
                <w:szCs w:val="18"/>
                <w:color w:val="auto"/>
              </w:rPr>
            </w:pPr>
          </w:p>
        </w:tc>
        <w:tc>
          <w:tcPr>
            <w:tcW w:w="5600" w:type="dxa"/>
            <w:vAlign w:val="bottom"/>
          </w:tcPr>
          <w:p>
            <w:pPr>
              <w:spacing w:after="0" w:line="216" w:lineRule="exact"/>
              <w:rPr>
                <w:sz w:val="20"/>
                <w:szCs w:val="20"/>
                <w:color w:val="auto"/>
              </w:rPr>
            </w:pPr>
            <w:r>
              <w:rPr>
                <w:rFonts w:ascii="Arial" w:cs="Arial" w:eastAsia="Arial" w:hAnsi="Arial"/>
                <w:sz w:val="20"/>
                <w:szCs w:val="20"/>
                <w:color w:val="auto"/>
              </w:rPr>
              <w:t>Lynn Hutkin</w:t>
            </w:r>
          </w:p>
        </w:tc>
      </w:tr>
      <w:tr>
        <w:trPr>
          <w:trHeight w:val="242"/>
        </w:trPr>
        <w:tc>
          <w:tcPr>
            <w:tcW w:w="520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Chief Financial Officer and Treasurer</w:t>
            </w:r>
          </w:p>
        </w:tc>
      </w:tr>
      <w:tr>
        <w:trPr>
          <w:trHeight w:val="263"/>
        </w:trPr>
        <w:tc>
          <w:tcPr>
            <w:tcW w:w="5200" w:type="dxa"/>
            <w:vAlign w:val="bottom"/>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20"/>
                <w:szCs w:val="20"/>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2240" w:h="15840" w:orient="portrait"/>
          <w:cols w:equalWidth="0" w:num="1">
            <w:col w:w="10800"/>
          </w:cols>
          <w:pgMar w:left="720" w:top="553" w:right="720" w:bottom="116" w:gutter="0" w:footer="0" w:header="0"/>
        </w:sectPr>
      </w:pPr>
    </w:p>
    <w:bookmarkStart w:id="114" w:name="page115"/>
    <w:bookmarkEnd w:id="114"/>
    <w:p>
      <w:pPr>
        <w:spacing w:after="0" w:line="251"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57150</wp:posOffset>
                </wp:positionH>
                <wp:positionV relativeFrom="page">
                  <wp:posOffset>114300</wp:posOffset>
                </wp:positionV>
                <wp:extent cx="7658100" cy="982980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58100" cy="9829800"/>
                        </a:xfrm>
                        <a:prstGeom prst="rect">
                          <a:avLst/>
                        </a:prstGeom>
                        <a:solidFill>
                          <a:srgbClr val="0086B7"/>
                        </a:solidFill>
                      </wps:spPr>
                      <wps:bodyPr/>
                    </wps:wsp>
                  </a:graphicData>
                </a:graphic>
              </wp:anchor>
            </w:drawing>
          </mc:Choice>
          <mc:Fallback>
            <w:pict>
              <v:rect id="Shape 135" o:spid="_x0000_s1160" style="position:absolute;margin-left:4.5pt;margin-top:9pt;width:603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86B7" stroked="f">
                <w10:wrap anchorx="page" anchory="page"/>
              </v:rect>
            </w:pict>
          </mc:Fallback>
        </mc:AlternateContent>
      </w:r>
    </w:p>
    <w:p>
      <w:pPr>
        <w:ind w:left="3580"/>
        <w:spacing w:after="0"/>
        <w:rPr>
          <w:sz w:val="20"/>
          <w:szCs w:val="20"/>
          <w:color w:val="auto"/>
        </w:rPr>
      </w:pPr>
      <w:r>
        <w:rPr>
          <w:rFonts w:ascii="Arial" w:cs="Arial" w:eastAsia="Arial" w:hAnsi="Arial"/>
          <w:sz w:val="20"/>
          <w:szCs w:val="20"/>
          <w:b w:val="1"/>
          <w:bCs w:val="1"/>
          <w:color w:val="FFFFFF"/>
        </w:rPr>
        <w:t>CORPORATE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2720" w:type="dxa"/>
            <w:vAlign w:val="bottom"/>
          </w:tcPr>
          <w:p>
            <w:pPr>
              <w:spacing w:after="0"/>
              <w:rPr>
                <w:sz w:val="19"/>
                <w:szCs w:val="19"/>
                <w:color w:val="auto"/>
              </w:rPr>
            </w:pPr>
          </w:p>
        </w:tc>
        <w:tc>
          <w:tcPr>
            <w:tcW w:w="3220" w:type="dxa"/>
            <w:vAlign w:val="bottom"/>
          </w:tcPr>
          <w:p>
            <w:pPr>
              <w:ind w:left="400"/>
              <w:spacing w:after="0"/>
              <w:rPr>
                <w:sz w:val="20"/>
                <w:szCs w:val="20"/>
                <w:color w:val="auto"/>
              </w:rPr>
            </w:pPr>
            <w:r>
              <w:rPr>
                <w:rFonts w:ascii="Arial" w:cs="Arial" w:eastAsia="Arial" w:hAnsi="Arial"/>
                <w:sz w:val="18"/>
                <w:szCs w:val="18"/>
                <w:b w:val="1"/>
                <w:bCs w:val="1"/>
                <w:color w:val="FFFFFF"/>
              </w:rPr>
              <w:t>D I R E C TO R S</w:t>
            </w:r>
          </w:p>
        </w:tc>
        <w:tc>
          <w:tcPr>
            <w:tcW w:w="3040" w:type="dxa"/>
            <w:vAlign w:val="bottom"/>
          </w:tcPr>
          <w:p>
            <w:pPr>
              <w:ind w:left="340"/>
              <w:spacing w:after="0"/>
              <w:rPr>
                <w:sz w:val="20"/>
                <w:szCs w:val="20"/>
                <w:color w:val="auto"/>
              </w:rPr>
            </w:pPr>
            <w:r>
              <w:rPr>
                <w:rFonts w:ascii="Arial" w:cs="Arial" w:eastAsia="Arial" w:hAnsi="Arial"/>
                <w:sz w:val="18"/>
                <w:szCs w:val="18"/>
                <w:b w:val="1"/>
                <w:bCs w:val="1"/>
                <w:color w:val="FFFFFF"/>
              </w:rPr>
              <w:t>OFFICERS</w:t>
            </w:r>
          </w:p>
        </w:tc>
        <w:tc>
          <w:tcPr>
            <w:tcW w:w="0" w:type="dxa"/>
            <w:vAlign w:val="bottom"/>
          </w:tcPr>
          <w:p>
            <w:pPr>
              <w:spacing w:after="0"/>
              <w:rPr>
                <w:sz w:val="1"/>
                <w:szCs w:val="1"/>
                <w:color w:val="auto"/>
              </w:rPr>
            </w:pPr>
          </w:p>
        </w:tc>
      </w:tr>
      <w:tr>
        <w:trPr>
          <w:trHeight w:val="396"/>
        </w:trPr>
        <w:tc>
          <w:tcPr>
            <w:tcW w:w="2720" w:type="dxa"/>
            <w:vAlign w:val="bottom"/>
          </w:tcPr>
          <w:p>
            <w:pPr>
              <w:spacing w:after="0"/>
              <w:rPr>
                <w:sz w:val="24"/>
                <w:szCs w:val="24"/>
                <w:color w:val="auto"/>
              </w:rPr>
            </w:pPr>
          </w:p>
        </w:tc>
        <w:tc>
          <w:tcPr>
            <w:tcW w:w="3220" w:type="dxa"/>
            <w:vAlign w:val="bottom"/>
          </w:tcPr>
          <w:p>
            <w:pPr>
              <w:ind w:left="400"/>
              <w:spacing w:after="0"/>
              <w:rPr>
                <w:sz w:val="20"/>
                <w:szCs w:val="20"/>
                <w:color w:val="auto"/>
              </w:rPr>
            </w:pPr>
            <w:r>
              <w:rPr>
                <w:rFonts w:ascii="Arial" w:cs="Arial" w:eastAsia="Arial" w:hAnsi="Arial"/>
                <w:sz w:val="16"/>
                <w:szCs w:val="16"/>
                <w:b w:val="1"/>
                <w:bCs w:val="1"/>
                <w:color w:val="FFFFFF"/>
              </w:rPr>
              <w:t>Daniel Bernstein</w:t>
            </w:r>
          </w:p>
        </w:tc>
        <w:tc>
          <w:tcPr>
            <w:tcW w:w="3040" w:type="dxa"/>
            <w:vAlign w:val="bottom"/>
          </w:tcPr>
          <w:p>
            <w:pPr>
              <w:ind w:left="340"/>
              <w:spacing w:after="0"/>
              <w:rPr>
                <w:sz w:val="20"/>
                <w:szCs w:val="20"/>
                <w:color w:val="auto"/>
              </w:rPr>
            </w:pPr>
            <w:r>
              <w:rPr>
                <w:rFonts w:ascii="Arial" w:cs="Arial" w:eastAsia="Arial" w:hAnsi="Arial"/>
                <w:sz w:val="16"/>
                <w:szCs w:val="16"/>
                <w:b w:val="1"/>
                <w:bCs w:val="1"/>
                <w:color w:val="FFFFFF"/>
              </w:rPr>
              <w:t>Farouq Tuweiq</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ind w:left="400"/>
              <w:spacing w:after="0"/>
              <w:rPr>
                <w:sz w:val="20"/>
                <w:szCs w:val="20"/>
                <w:color w:val="auto"/>
              </w:rPr>
            </w:pPr>
            <w:r>
              <w:rPr>
                <w:rFonts w:ascii="Arial" w:cs="Arial" w:eastAsia="Arial" w:hAnsi="Arial"/>
                <w:sz w:val="16"/>
                <w:szCs w:val="16"/>
                <w:color w:val="FFFFFF"/>
              </w:rPr>
              <w:t>Chairman</w:t>
            </w:r>
          </w:p>
        </w:tc>
        <w:tc>
          <w:tcPr>
            <w:tcW w:w="3040" w:type="dxa"/>
            <w:vAlign w:val="bottom"/>
          </w:tcPr>
          <w:p>
            <w:pPr>
              <w:ind w:left="340"/>
              <w:spacing w:after="0" w:line="180" w:lineRule="exact"/>
              <w:rPr>
                <w:sz w:val="20"/>
                <w:szCs w:val="20"/>
                <w:color w:val="auto"/>
              </w:rPr>
            </w:pPr>
            <w:r>
              <w:rPr>
                <w:rFonts w:ascii="Arial" w:cs="Arial" w:eastAsia="Arial" w:hAnsi="Arial"/>
                <w:sz w:val="16"/>
                <w:szCs w:val="16"/>
                <w:color w:val="FFFFFF"/>
              </w:rPr>
              <w:t>President and</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ind w:left="400"/>
              <w:spacing w:after="0"/>
              <w:rPr>
                <w:sz w:val="20"/>
                <w:szCs w:val="20"/>
                <w:color w:val="auto"/>
              </w:rPr>
            </w:pPr>
            <w:r>
              <w:rPr>
                <w:rFonts w:ascii="Arial" w:cs="Arial" w:eastAsia="Arial" w:hAnsi="Arial"/>
                <w:sz w:val="16"/>
                <w:szCs w:val="16"/>
                <w:color w:val="FFFFFF"/>
              </w:rPr>
              <w:t>Bel Fuse Inc.</w:t>
            </w:r>
          </w:p>
        </w:tc>
        <w:tc>
          <w:tcPr>
            <w:tcW w:w="3040" w:type="dxa"/>
            <w:vAlign w:val="bottom"/>
          </w:tcPr>
          <w:p>
            <w:pPr>
              <w:ind w:left="340"/>
              <w:spacing w:after="0" w:line="180" w:lineRule="exact"/>
              <w:rPr>
                <w:sz w:val="20"/>
                <w:szCs w:val="20"/>
                <w:color w:val="auto"/>
              </w:rPr>
            </w:pPr>
            <w:r>
              <w:rPr>
                <w:rFonts w:ascii="Arial" w:cs="Arial" w:eastAsia="Arial" w:hAnsi="Arial"/>
                <w:sz w:val="16"/>
                <w:szCs w:val="16"/>
                <w:color w:val="FFFFFF"/>
              </w:rPr>
              <w:t>&amp;KLHI</w:t>
            </w:r>
            <w:r>
              <w:rPr>
                <w:rFonts w:ascii="PMingLiU" w:cs="PMingLiU" w:eastAsia="PMingLiU" w:hAnsi="PMingLiU"/>
                <w:sz w:val="16"/>
                <w:szCs w:val="16"/>
                <w:color w:val="FFFFFF"/>
              </w:rPr>
              <w:t/>
            </w:r>
            <w:r>
              <w:rPr>
                <w:rFonts w:ascii="Arial" w:cs="Arial" w:eastAsia="Arial" w:hAnsi="Arial"/>
                <w:sz w:val="16"/>
                <w:szCs w:val="16"/>
                <w:color w:val="FFFFFF"/>
              </w:rPr>
              <w:t>([HFXWLYH</w:t>
            </w:r>
            <w:r>
              <w:rPr>
                <w:rFonts w:ascii="PMingLiU" w:cs="PMingLiU" w:eastAsia="PMingLiU" w:hAnsi="PMingLiU"/>
                <w:sz w:val="16"/>
                <w:szCs w:val="16"/>
                <w:color w:val="FFFFFF"/>
              </w:rPr>
              <w:t/>
            </w:r>
            <w:r>
              <w:rPr>
                <w:rFonts w:ascii="Arial" w:cs="Arial" w:eastAsia="Arial" w:hAnsi="Arial"/>
                <w:sz w:val="16"/>
                <w:szCs w:val="16"/>
                <w:color w:val="FFFFFF"/>
              </w:rPr>
              <w:t>2I´FHU</w:t>
            </w:r>
          </w:p>
        </w:tc>
        <w:tc>
          <w:tcPr>
            <w:tcW w:w="0" w:type="dxa"/>
            <w:vAlign w:val="bottom"/>
          </w:tcPr>
          <w:p>
            <w:pPr>
              <w:spacing w:after="0"/>
              <w:rPr>
                <w:sz w:val="1"/>
                <w:szCs w:val="1"/>
                <w:color w:val="auto"/>
              </w:rPr>
            </w:pPr>
          </w:p>
        </w:tc>
      </w:tr>
      <w:tr>
        <w:trPr>
          <w:trHeight w:val="344"/>
        </w:trPr>
        <w:tc>
          <w:tcPr>
            <w:tcW w:w="2720" w:type="dxa"/>
            <w:vAlign w:val="bottom"/>
          </w:tcPr>
          <w:p>
            <w:pPr>
              <w:spacing w:after="0"/>
              <w:rPr>
                <w:sz w:val="24"/>
                <w:szCs w:val="24"/>
                <w:color w:val="auto"/>
              </w:rPr>
            </w:pPr>
          </w:p>
        </w:tc>
        <w:tc>
          <w:tcPr>
            <w:tcW w:w="3220" w:type="dxa"/>
            <w:vAlign w:val="bottom"/>
          </w:tcPr>
          <w:p>
            <w:pPr>
              <w:ind w:left="400"/>
              <w:spacing w:after="0"/>
              <w:rPr>
                <w:sz w:val="20"/>
                <w:szCs w:val="20"/>
                <w:color w:val="auto"/>
              </w:rPr>
            </w:pPr>
            <w:r>
              <w:rPr>
                <w:rFonts w:ascii="Arial" w:cs="Arial" w:eastAsia="Arial" w:hAnsi="Arial"/>
                <w:sz w:val="16"/>
                <w:szCs w:val="16"/>
                <w:b w:val="1"/>
                <w:bCs w:val="1"/>
                <w:color w:val="FFFFFF"/>
              </w:rPr>
              <w:t>Farouq Tuweiq</w:t>
            </w:r>
          </w:p>
        </w:tc>
        <w:tc>
          <w:tcPr>
            <w:tcW w:w="3040" w:type="dxa"/>
            <w:vAlign w:val="bottom"/>
          </w:tcPr>
          <w:p>
            <w:pPr>
              <w:ind w:left="340"/>
              <w:spacing w:after="0"/>
              <w:rPr>
                <w:sz w:val="20"/>
                <w:szCs w:val="20"/>
                <w:color w:val="auto"/>
              </w:rPr>
            </w:pPr>
            <w:r>
              <w:rPr>
                <w:rFonts w:ascii="Arial" w:cs="Arial" w:eastAsia="Arial" w:hAnsi="Arial"/>
                <w:sz w:val="16"/>
                <w:szCs w:val="16"/>
                <w:b w:val="1"/>
                <w:bCs w:val="1"/>
                <w:color w:val="FFFFFF"/>
              </w:rPr>
              <w:t>Lynn Hutkin</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ind w:left="400"/>
              <w:spacing w:after="0"/>
              <w:rPr>
                <w:sz w:val="20"/>
                <w:szCs w:val="20"/>
                <w:color w:val="auto"/>
              </w:rPr>
            </w:pPr>
            <w:r>
              <w:rPr>
                <w:rFonts w:ascii="Arial" w:cs="Arial" w:eastAsia="Arial" w:hAnsi="Arial"/>
                <w:sz w:val="16"/>
                <w:szCs w:val="16"/>
                <w:color w:val="FFFFFF"/>
              </w:rPr>
              <w:t>President and</w:t>
            </w:r>
          </w:p>
        </w:tc>
        <w:tc>
          <w:tcPr>
            <w:tcW w:w="3040" w:type="dxa"/>
            <w:vAlign w:val="bottom"/>
          </w:tcPr>
          <w:p>
            <w:pPr>
              <w:ind w:left="340"/>
              <w:spacing w:after="0" w:line="180" w:lineRule="exact"/>
              <w:rPr>
                <w:sz w:val="20"/>
                <w:szCs w:val="20"/>
                <w:color w:val="auto"/>
              </w:rPr>
            </w:pPr>
            <w:r>
              <w:rPr>
                <w:rFonts w:ascii="Arial" w:cs="Arial" w:eastAsia="Arial" w:hAnsi="Arial"/>
                <w:sz w:val="16"/>
                <w:szCs w:val="16"/>
                <w:color w:val="FFFFFF"/>
              </w:rPr>
              <w:t>&amp;KLHI</w:t>
            </w:r>
            <w:r>
              <w:rPr>
                <w:rFonts w:ascii="PMingLiU" w:cs="PMingLiU" w:eastAsia="PMingLiU" w:hAnsi="PMingLiU"/>
                <w:sz w:val="16"/>
                <w:szCs w:val="16"/>
                <w:color w:val="FFFFFF"/>
              </w:rPr>
              <w:t/>
            </w:r>
            <w:r>
              <w:rPr>
                <w:rFonts w:ascii="Arial" w:cs="Arial" w:eastAsia="Arial" w:hAnsi="Arial"/>
                <w:sz w:val="16"/>
                <w:szCs w:val="16"/>
                <w:color w:val="FFFFFF"/>
              </w:rPr>
              <w:t>)LQDQFLDO</w:t>
            </w:r>
            <w:r>
              <w:rPr>
                <w:rFonts w:ascii="PMingLiU" w:cs="PMingLiU" w:eastAsia="PMingLiU" w:hAnsi="PMingLiU"/>
                <w:sz w:val="16"/>
                <w:szCs w:val="16"/>
                <w:color w:val="FFFFFF"/>
              </w:rPr>
              <w:t/>
            </w:r>
            <w:r>
              <w:rPr>
                <w:rFonts w:ascii="Arial" w:cs="Arial" w:eastAsia="Arial" w:hAnsi="Arial"/>
                <w:sz w:val="16"/>
                <w:szCs w:val="16"/>
                <w:color w:val="FFFFFF"/>
              </w:rPr>
              <w:t>2I´FHU</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ind w:left="400"/>
              <w:spacing w:after="0" w:line="194" w:lineRule="exact"/>
              <w:rPr>
                <w:sz w:val="20"/>
                <w:szCs w:val="20"/>
                <w:color w:val="auto"/>
              </w:rPr>
            </w:pPr>
            <w:r>
              <w:rPr>
                <w:rFonts w:ascii="Arial" w:cs="Arial" w:eastAsia="Arial" w:hAnsi="Arial"/>
                <w:sz w:val="16"/>
                <w:szCs w:val="16"/>
                <w:color w:val="FFFFFF"/>
              </w:rPr>
              <w:t>&amp;KLHI</w:t>
            </w:r>
            <w:r>
              <w:rPr>
                <w:rFonts w:ascii="PMingLiU" w:cs="PMingLiU" w:eastAsia="PMingLiU" w:hAnsi="PMingLiU"/>
                <w:sz w:val="16"/>
                <w:szCs w:val="16"/>
                <w:color w:val="FFFFFF"/>
              </w:rPr>
              <w:t/>
            </w:r>
            <w:r>
              <w:rPr>
                <w:rFonts w:ascii="Arial" w:cs="Arial" w:eastAsia="Arial" w:hAnsi="Arial"/>
                <w:sz w:val="16"/>
                <w:szCs w:val="16"/>
                <w:color w:val="FFFFFF"/>
              </w:rPr>
              <w:t>([HFXWLYH</w:t>
            </w:r>
            <w:r>
              <w:rPr>
                <w:rFonts w:ascii="PMingLiU" w:cs="PMingLiU" w:eastAsia="PMingLiU" w:hAnsi="PMingLiU"/>
                <w:sz w:val="16"/>
                <w:szCs w:val="16"/>
                <w:color w:val="FFFFFF"/>
              </w:rPr>
              <w:t/>
            </w:r>
            <w:r>
              <w:rPr>
                <w:rFonts w:ascii="Arial" w:cs="Arial" w:eastAsia="Arial" w:hAnsi="Arial"/>
                <w:sz w:val="16"/>
                <w:szCs w:val="16"/>
                <w:color w:val="FFFFFF"/>
              </w:rPr>
              <w:t>2I´FHU</w:t>
            </w:r>
          </w:p>
        </w:tc>
        <w:tc>
          <w:tcPr>
            <w:tcW w:w="3040" w:type="dxa"/>
            <w:vAlign w:val="bottom"/>
            <w:vMerge w:val="restart"/>
          </w:tcPr>
          <w:p>
            <w:pPr>
              <w:ind w:left="340"/>
              <w:spacing w:after="0"/>
              <w:rPr>
                <w:sz w:val="20"/>
                <w:szCs w:val="20"/>
                <w:color w:val="auto"/>
              </w:rPr>
            </w:pPr>
            <w:r>
              <w:rPr>
                <w:rFonts w:ascii="Arial" w:cs="Arial" w:eastAsia="Arial" w:hAnsi="Arial"/>
                <w:sz w:val="16"/>
                <w:szCs w:val="16"/>
                <w:b w:val="1"/>
                <w:bCs w:val="1"/>
                <w:color w:val="FFFFFF"/>
              </w:rPr>
              <w:t>Suzanne Kozlovsky</w:t>
            </w: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3220" w:type="dxa"/>
            <w:vAlign w:val="bottom"/>
            <w:vMerge w:val="restart"/>
          </w:tcPr>
          <w:p>
            <w:pPr>
              <w:ind w:left="400"/>
              <w:spacing w:after="0"/>
              <w:rPr>
                <w:sz w:val="20"/>
                <w:szCs w:val="20"/>
                <w:color w:val="auto"/>
              </w:rPr>
            </w:pPr>
            <w:r>
              <w:rPr>
                <w:rFonts w:ascii="Arial" w:cs="Arial" w:eastAsia="Arial" w:hAnsi="Arial"/>
                <w:sz w:val="16"/>
                <w:szCs w:val="16"/>
                <w:color w:val="FFFFFF"/>
              </w:rPr>
              <w:t>Bel Fuse Inc.</w:t>
            </w: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720" w:type="dxa"/>
            <w:vAlign w:val="bottom"/>
          </w:tcPr>
          <w:p>
            <w:pPr>
              <w:spacing w:after="0"/>
              <w:rPr>
                <w:sz w:val="6"/>
                <w:szCs w:val="6"/>
                <w:color w:val="auto"/>
              </w:rPr>
            </w:pPr>
          </w:p>
        </w:tc>
        <w:tc>
          <w:tcPr>
            <w:tcW w:w="3220" w:type="dxa"/>
            <w:vAlign w:val="bottom"/>
            <w:vMerge w:val="continue"/>
          </w:tcPr>
          <w:p>
            <w:pPr>
              <w:spacing w:after="0"/>
              <w:rPr>
                <w:sz w:val="6"/>
                <w:szCs w:val="6"/>
                <w:color w:val="auto"/>
              </w:rPr>
            </w:pPr>
          </w:p>
        </w:tc>
        <w:tc>
          <w:tcPr>
            <w:tcW w:w="3040" w:type="dxa"/>
            <w:vAlign w:val="bottom"/>
            <w:vMerge w:val="restart"/>
          </w:tcPr>
          <w:p>
            <w:pPr>
              <w:ind w:left="340"/>
              <w:spacing w:after="0"/>
              <w:rPr>
                <w:sz w:val="20"/>
                <w:szCs w:val="20"/>
                <w:color w:val="auto"/>
              </w:rPr>
            </w:pPr>
            <w:r>
              <w:rPr>
                <w:rFonts w:ascii="Arial" w:cs="Arial" w:eastAsia="Arial" w:hAnsi="Arial"/>
                <w:sz w:val="16"/>
                <w:szCs w:val="16"/>
                <w:color w:val="FFFFFF"/>
              </w:rPr>
              <w:t>Global Head of People</w:t>
            </w: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2720" w:type="dxa"/>
            <w:vAlign w:val="bottom"/>
          </w:tcPr>
          <w:p>
            <w:pPr>
              <w:spacing w:after="0"/>
              <w:rPr>
                <w:sz w:val="19"/>
                <w:szCs w:val="19"/>
                <w:color w:val="auto"/>
              </w:rPr>
            </w:pPr>
          </w:p>
        </w:tc>
        <w:tc>
          <w:tcPr>
            <w:tcW w:w="3220" w:type="dxa"/>
            <w:vAlign w:val="bottom"/>
          </w:tcPr>
          <w:p>
            <w:pPr>
              <w:ind w:left="400"/>
              <w:spacing w:after="0"/>
              <w:rPr>
                <w:sz w:val="20"/>
                <w:szCs w:val="20"/>
                <w:color w:val="auto"/>
              </w:rPr>
            </w:pPr>
            <w:r>
              <w:rPr>
                <w:rFonts w:ascii="Arial" w:cs="Arial" w:eastAsia="Arial" w:hAnsi="Arial"/>
                <w:sz w:val="16"/>
                <w:szCs w:val="16"/>
                <w:b w:val="1"/>
                <w:bCs w:val="1"/>
                <w:color w:val="FFFFFF"/>
              </w:rPr>
              <w:t>Jacqueline Brito</w:t>
            </w:r>
          </w:p>
        </w:tc>
        <w:tc>
          <w:tcPr>
            <w:tcW w:w="3040" w:type="dxa"/>
            <w:vAlign w:val="bottom"/>
            <w:vMerge w:val="restart"/>
          </w:tcPr>
          <w:p>
            <w:pPr>
              <w:ind w:left="340"/>
              <w:spacing w:after="0"/>
              <w:rPr>
                <w:sz w:val="20"/>
                <w:szCs w:val="20"/>
                <w:color w:val="auto"/>
              </w:rPr>
            </w:pPr>
            <w:r>
              <w:rPr>
                <w:rFonts w:ascii="Arial" w:cs="Arial" w:eastAsia="Arial" w:hAnsi="Arial"/>
                <w:sz w:val="16"/>
                <w:szCs w:val="16"/>
                <w:b w:val="1"/>
                <w:bCs w:val="1"/>
                <w:color w:val="FFFFFF"/>
              </w:rPr>
              <w:t>Steve Dawson</w:t>
            </w: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3220" w:type="dxa"/>
            <w:vAlign w:val="bottom"/>
            <w:vMerge w:val="restart"/>
          </w:tcPr>
          <w:p>
            <w:pPr>
              <w:ind w:left="400"/>
              <w:spacing w:after="0" w:line="194" w:lineRule="exact"/>
              <w:rPr>
                <w:sz w:val="20"/>
                <w:szCs w:val="20"/>
                <w:color w:val="auto"/>
              </w:rPr>
            </w:pPr>
            <w:r>
              <w:rPr>
                <w:rFonts w:ascii="Arial" w:cs="Arial" w:eastAsia="Arial" w:hAnsi="Arial"/>
                <w:sz w:val="16"/>
                <w:szCs w:val="16"/>
                <w:color w:val="FFFFFF"/>
              </w:rPr>
              <w:t>&amp;KLHI</w:t>
            </w:r>
            <w:r>
              <w:rPr>
                <w:rFonts w:ascii="PMingLiU" w:cs="PMingLiU" w:eastAsia="PMingLiU" w:hAnsi="PMingLiU"/>
                <w:sz w:val="16"/>
                <w:szCs w:val="16"/>
                <w:color w:val="FFFFFF"/>
              </w:rPr>
              <w:t/>
            </w:r>
            <w:r>
              <w:rPr>
                <w:rFonts w:ascii="Arial" w:cs="Arial" w:eastAsia="Arial" w:hAnsi="Arial"/>
                <w:sz w:val="16"/>
                <w:szCs w:val="16"/>
                <w:color w:val="FFFFFF"/>
              </w:rPr>
              <w:t>([HFXWLYH</w:t>
            </w:r>
            <w:r>
              <w:rPr>
                <w:rFonts w:ascii="PMingLiU" w:cs="PMingLiU" w:eastAsia="PMingLiU" w:hAnsi="PMingLiU"/>
                <w:sz w:val="16"/>
                <w:szCs w:val="16"/>
                <w:color w:val="FFFFFF"/>
              </w:rPr>
              <w:t/>
            </w:r>
            <w:r>
              <w:rPr>
                <w:rFonts w:ascii="Arial" w:cs="Arial" w:eastAsia="Arial" w:hAnsi="Arial"/>
                <w:sz w:val="16"/>
                <w:szCs w:val="16"/>
                <w:color w:val="FFFFFF"/>
              </w:rPr>
              <w:t>2I´FHU</w:t>
            </w: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720" w:type="dxa"/>
            <w:vAlign w:val="bottom"/>
          </w:tcPr>
          <w:p>
            <w:pPr>
              <w:spacing w:after="0"/>
              <w:rPr>
                <w:sz w:val="6"/>
                <w:szCs w:val="6"/>
                <w:color w:val="auto"/>
              </w:rPr>
            </w:pPr>
          </w:p>
        </w:tc>
        <w:tc>
          <w:tcPr>
            <w:tcW w:w="3220" w:type="dxa"/>
            <w:vAlign w:val="bottom"/>
            <w:vMerge w:val="continue"/>
          </w:tcPr>
          <w:p>
            <w:pPr>
              <w:spacing w:after="0"/>
              <w:rPr>
                <w:sz w:val="6"/>
                <w:szCs w:val="6"/>
                <w:color w:val="auto"/>
              </w:rPr>
            </w:pPr>
          </w:p>
        </w:tc>
        <w:tc>
          <w:tcPr>
            <w:tcW w:w="3040" w:type="dxa"/>
            <w:vAlign w:val="bottom"/>
            <w:vMerge w:val="restart"/>
          </w:tcPr>
          <w:p>
            <w:pPr>
              <w:ind w:left="340"/>
              <w:spacing w:after="0"/>
              <w:rPr>
                <w:sz w:val="20"/>
                <w:szCs w:val="20"/>
                <w:color w:val="auto"/>
              </w:rPr>
            </w:pPr>
            <w:r>
              <w:rPr>
                <w:rFonts w:ascii="Arial" w:cs="Arial" w:eastAsia="Arial" w:hAnsi="Arial"/>
                <w:sz w:val="16"/>
                <w:szCs w:val="16"/>
                <w:color w:val="FFFFFF"/>
              </w:rPr>
              <w:t>President of Bel Power Solutions</w:t>
            </w:r>
            <w:r>
              <w:rPr>
                <w:rFonts w:ascii="Arial" w:cs="Arial" w:eastAsia="Arial" w:hAnsi="Arial"/>
                <w:sz w:val="18"/>
                <w:szCs w:val="18"/>
                <w:color w:val="FFFFFF"/>
                <w:vertAlign w:val="superscript"/>
              </w:rPr>
              <w:t>(1)</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3"/>
                <w:szCs w:val="13"/>
                <w:color w:val="auto"/>
              </w:rPr>
            </w:pPr>
          </w:p>
        </w:tc>
        <w:tc>
          <w:tcPr>
            <w:tcW w:w="3220" w:type="dxa"/>
            <w:vAlign w:val="bottom"/>
            <w:vMerge w:val="restart"/>
          </w:tcPr>
          <w:p>
            <w:pPr>
              <w:ind w:left="400"/>
              <w:spacing w:after="0"/>
              <w:rPr>
                <w:sz w:val="20"/>
                <w:szCs w:val="20"/>
                <w:color w:val="auto"/>
              </w:rPr>
            </w:pPr>
            <w:r>
              <w:rPr>
                <w:rFonts w:ascii="Arial" w:cs="Arial" w:eastAsia="Arial" w:hAnsi="Arial"/>
                <w:sz w:val="16"/>
                <w:szCs w:val="16"/>
                <w:color w:val="FFFFFF"/>
              </w:rPr>
              <w:t>HR Asset Partners LLC</w:t>
            </w:r>
          </w:p>
        </w:tc>
        <w:tc>
          <w:tcPr>
            <w:tcW w:w="3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3220" w:type="dxa"/>
            <w:vAlign w:val="bottom"/>
            <w:vMerge w:val="continue"/>
          </w:tcPr>
          <w:p>
            <w:pPr>
              <w:spacing w:after="0"/>
              <w:rPr>
                <w:sz w:val="3"/>
                <w:szCs w:val="3"/>
                <w:color w:val="auto"/>
              </w:rPr>
            </w:pPr>
          </w:p>
        </w:tc>
        <w:tc>
          <w:tcPr>
            <w:tcW w:w="3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8"/>
        </w:trPr>
        <w:tc>
          <w:tcPr>
            <w:tcW w:w="2720" w:type="dxa"/>
            <w:vAlign w:val="bottom"/>
          </w:tcPr>
          <w:p>
            <w:pPr>
              <w:spacing w:after="0"/>
              <w:rPr>
                <w:sz w:val="24"/>
                <w:szCs w:val="24"/>
                <w:color w:val="auto"/>
              </w:rPr>
            </w:pPr>
          </w:p>
        </w:tc>
        <w:tc>
          <w:tcPr>
            <w:tcW w:w="3220" w:type="dxa"/>
            <w:vAlign w:val="bottom"/>
            <w:vMerge w:val="restart"/>
          </w:tcPr>
          <w:p>
            <w:pPr>
              <w:ind w:left="400"/>
              <w:spacing w:after="0"/>
              <w:rPr>
                <w:sz w:val="20"/>
                <w:szCs w:val="20"/>
                <w:color w:val="auto"/>
              </w:rPr>
            </w:pPr>
            <w:r>
              <w:rPr>
                <w:rFonts w:ascii="Arial" w:cs="Arial" w:eastAsia="Arial" w:hAnsi="Arial"/>
                <w:sz w:val="16"/>
                <w:szCs w:val="16"/>
                <w:b w:val="1"/>
                <w:bCs w:val="1"/>
                <w:color w:val="FFFFFF"/>
              </w:rPr>
              <w:t>Peter Gilbert</w:t>
            </w:r>
          </w:p>
        </w:tc>
        <w:tc>
          <w:tcPr>
            <w:tcW w:w="3040" w:type="dxa"/>
            <w:vAlign w:val="bottom"/>
          </w:tcPr>
          <w:p>
            <w:pPr>
              <w:ind w:left="340"/>
              <w:spacing w:after="0"/>
              <w:rPr>
                <w:sz w:val="20"/>
                <w:szCs w:val="20"/>
                <w:color w:val="auto"/>
              </w:rPr>
            </w:pPr>
            <w:r>
              <w:rPr>
                <w:rFonts w:ascii="Arial" w:cs="Arial" w:eastAsia="Arial" w:hAnsi="Arial"/>
                <w:sz w:val="16"/>
                <w:szCs w:val="16"/>
                <w:b w:val="1"/>
                <w:bCs w:val="1"/>
                <w:color w:val="FFFFFF"/>
              </w:rPr>
              <w:t>Peter Bittner III</w:t>
            </w:r>
            <w:r>
              <w:rPr>
                <w:rFonts w:ascii="Arial" w:cs="Arial" w:eastAsia="Arial" w:hAnsi="Arial"/>
                <w:sz w:val="18"/>
                <w:szCs w:val="18"/>
                <w:color w:val="FFFFFF"/>
                <w:vertAlign w:val="superscript"/>
              </w:rPr>
              <w:t>(2)</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3220" w:type="dxa"/>
            <w:vAlign w:val="bottom"/>
            <w:vMerge w:val="continue"/>
          </w:tcPr>
          <w:p>
            <w:pPr>
              <w:spacing w:after="0"/>
              <w:rPr>
                <w:sz w:val="2"/>
                <w:szCs w:val="2"/>
                <w:color w:val="auto"/>
              </w:rPr>
            </w:pPr>
          </w:p>
        </w:tc>
        <w:tc>
          <w:tcPr>
            <w:tcW w:w="3040" w:type="dxa"/>
            <w:vAlign w:val="bottom"/>
            <w:vMerge w:val="restart"/>
          </w:tcPr>
          <w:p>
            <w:pPr>
              <w:ind w:left="340"/>
              <w:spacing w:after="0" w:line="171" w:lineRule="exact"/>
              <w:rPr>
                <w:sz w:val="20"/>
                <w:szCs w:val="20"/>
                <w:color w:val="auto"/>
              </w:rPr>
            </w:pPr>
            <w:r>
              <w:rPr>
                <w:rFonts w:ascii="Arial" w:cs="Arial" w:eastAsia="Arial" w:hAnsi="Arial"/>
                <w:sz w:val="16"/>
                <w:szCs w:val="16"/>
                <w:color w:val="FFFFFF"/>
              </w:rPr>
              <w:t>President of Cinch Connectivity</w:t>
            </w:r>
          </w:p>
        </w:tc>
        <w:tc>
          <w:tcPr>
            <w:tcW w:w="0" w:type="dxa"/>
            <w:vAlign w:val="bottom"/>
          </w:tcPr>
          <w:p>
            <w:pPr>
              <w:spacing w:after="0" w:line="20" w:lineRule="exact"/>
              <w:rPr>
                <w:sz w:val="1"/>
                <w:szCs w:val="1"/>
                <w:color w:val="auto"/>
              </w:rPr>
            </w:pPr>
          </w:p>
        </w:tc>
      </w:tr>
      <w:tr>
        <w:trPr>
          <w:trHeight w:val="145"/>
        </w:trPr>
        <w:tc>
          <w:tcPr>
            <w:tcW w:w="2720" w:type="dxa"/>
            <w:vAlign w:val="bottom"/>
          </w:tcPr>
          <w:p>
            <w:pPr>
              <w:spacing w:after="0"/>
              <w:rPr>
                <w:sz w:val="12"/>
                <w:szCs w:val="12"/>
                <w:color w:val="auto"/>
              </w:rPr>
            </w:pPr>
          </w:p>
        </w:tc>
        <w:tc>
          <w:tcPr>
            <w:tcW w:w="3220" w:type="dxa"/>
            <w:vAlign w:val="bottom"/>
            <w:vMerge w:val="restart"/>
          </w:tcPr>
          <w:p>
            <w:pPr>
              <w:ind w:left="400"/>
              <w:spacing w:after="0"/>
              <w:rPr>
                <w:sz w:val="20"/>
                <w:szCs w:val="20"/>
                <w:color w:val="auto"/>
              </w:rPr>
            </w:pPr>
            <w:r>
              <w:rPr>
                <w:rFonts w:ascii="Arial" w:cs="Arial" w:eastAsia="Arial" w:hAnsi="Arial"/>
                <w:sz w:val="16"/>
                <w:szCs w:val="16"/>
                <w:color w:val="FFFFFF"/>
              </w:rPr>
              <w:t>Former President and CEO</w:t>
            </w: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27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3040" w:type="dxa"/>
            <w:vAlign w:val="bottom"/>
            <w:vMerge w:val="restart"/>
          </w:tcPr>
          <w:p>
            <w:pPr>
              <w:ind w:left="340"/>
              <w:spacing w:after="0"/>
              <w:rPr>
                <w:sz w:val="20"/>
                <w:szCs w:val="20"/>
                <w:color w:val="auto"/>
              </w:rPr>
            </w:pPr>
            <w:r>
              <w:rPr>
                <w:rFonts w:ascii="Arial" w:cs="Arial" w:eastAsia="Arial" w:hAnsi="Arial"/>
                <w:sz w:val="16"/>
                <w:szCs w:val="16"/>
                <w:color w:val="FFFFFF"/>
              </w:rPr>
              <w:t>Solutions</w:t>
            </w: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3220" w:type="dxa"/>
            <w:vAlign w:val="bottom"/>
            <w:vMerge w:val="restart"/>
          </w:tcPr>
          <w:p>
            <w:pPr>
              <w:ind w:left="400"/>
              <w:spacing w:after="0"/>
              <w:rPr>
                <w:sz w:val="20"/>
                <w:szCs w:val="20"/>
                <w:color w:val="auto"/>
              </w:rPr>
            </w:pPr>
            <w:r>
              <w:rPr>
                <w:rFonts w:ascii="Arial" w:cs="Arial" w:eastAsia="Arial" w:hAnsi="Arial"/>
                <w:sz w:val="16"/>
                <w:szCs w:val="16"/>
                <w:color w:val="FFFFFF"/>
              </w:rPr>
              <w:t>Gilbert Manufacturing Co. Inc.</w:t>
            </w: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7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3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720" w:type="dxa"/>
            <w:vAlign w:val="bottom"/>
          </w:tcPr>
          <w:p>
            <w:pPr>
              <w:spacing w:after="0"/>
              <w:rPr>
                <w:sz w:val="24"/>
                <w:szCs w:val="24"/>
                <w:color w:val="auto"/>
              </w:rPr>
            </w:pPr>
          </w:p>
        </w:tc>
        <w:tc>
          <w:tcPr>
            <w:tcW w:w="3220" w:type="dxa"/>
            <w:vAlign w:val="bottom"/>
            <w:vMerge w:val="restart"/>
          </w:tcPr>
          <w:p>
            <w:pPr>
              <w:ind w:left="400"/>
              <w:spacing w:after="0"/>
              <w:rPr>
                <w:sz w:val="20"/>
                <w:szCs w:val="20"/>
                <w:color w:val="auto"/>
              </w:rPr>
            </w:pPr>
            <w:r>
              <w:rPr>
                <w:rFonts w:ascii="Arial" w:cs="Arial" w:eastAsia="Arial" w:hAnsi="Arial"/>
                <w:sz w:val="16"/>
                <w:szCs w:val="16"/>
                <w:b w:val="1"/>
                <w:bCs w:val="1"/>
                <w:color w:val="FFFFFF"/>
              </w:rPr>
              <w:t>Eric Nowling</w:t>
            </w:r>
          </w:p>
        </w:tc>
        <w:tc>
          <w:tcPr>
            <w:tcW w:w="3040" w:type="dxa"/>
            <w:vAlign w:val="bottom"/>
          </w:tcPr>
          <w:p>
            <w:pPr>
              <w:ind w:left="340"/>
              <w:spacing w:after="0"/>
              <w:rPr>
                <w:sz w:val="20"/>
                <w:szCs w:val="20"/>
                <w:color w:val="auto"/>
              </w:rPr>
            </w:pPr>
            <w:r>
              <w:rPr>
                <w:rFonts w:ascii="Arial" w:cs="Arial" w:eastAsia="Arial" w:hAnsi="Arial"/>
                <w:sz w:val="16"/>
                <w:szCs w:val="16"/>
                <w:b w:val="1"/>
                <w:bCs w:val="1"/>
                <w:color w:val="FFFFFF"/>
              </w:rPr>
              <w:t>Thomas Smelker</w:t>
            </w:r>
            <w:r>
              <w:rPr>
                <w:rFonts w:ascii="Arial" w:cs="Arial" w:eastAsia="Arial" w:hAnsi="Arial"/>
                <w:sz w:val="18"/>
                <w:szCs w:val="18"/>
                <w:color w:val="FFFFFF"/>
                <w:vertAlign w:val="superscript"/>
              </w:rPr>
              <w:t>(3)</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3220" w:type="dxa"/>
            <w:vAlign w:val="bottom"/>
            <w:vMerge w:val="continue"/>
          </w:tcPr>
          <w:p>
            <w:pPr>
              <w:spacing w:after="0"/>
              <w:rPr>
                <w:sz w:val="2"/>
                <w:szCs w:val="2"/>
                <w:color w:val="auto"/>
              </w:rPr>
            </w:pPr>
          </w:p>
        </w:tc>
        <w:tc>
          <w:tcPr>
            <w:tcW w:w="3040" w:type="dxa"/>
            <w:vAlign w:val="bottom"/>
            <w:vMerge w:val="restart"/>
          </w:tcPr>
          <w:p>
            <w:pPr>
              <w:ind w:left="340"/>
              <w:spacing w:after="0" w:line="171" w:lineRule="exact"/>
              <w:rPr>
                <w:sz w:val="20"/>
                <w:szCs w:val="20"/>
                <w:color w:val="auto"/>
              </w:rPr>
            </w:pPr>
            <w:r>
              <w:rPr>
                <w:rFonts w:ascii="Arial" w:cs="Arial" w:eastAsia="Arial" w:hAnsi="Arial"/>
                <w:sz w:val="16"/>
                <w:szCs w:val="16"/>
                <w:color w:val="FFFFFF"/>
              </w:rPr>
              <w:t>President of Cinch Connectivity</w:t>
            </w:r>
          </w:p>
        </w:tc>
        <w:tc>
          <w:tcPr>
            <w:tcW w:w="0" w:type="dxa"/>
            <w:vAlign w:val="bottom"/>
          </w:tcPr>
          <w:p>
            <w:pPr>
              <w:spacing w:after="0" w:line="20" w:lineRule="exact"/>
              <w:rPr>
                <w:sz w:val="1"/>
                <w:szCs w:val="1"/>
                <w:color w:val="auto"/>
              </w:rPr>
            </w:pPr>
          </w:p>
        </w:tc>
      </w:tr>
      <w:tr>
        <w:trPr>
          <w:trHeight w:val="145"/>
        </w:trPr>
        <w:tc>
          <w:tcPr>
            <w:tcW w:w="2720" w:type="dxa"/>
            <w:vAlign w:val="bottom"/>
          </w:tcPr>
          <w:p>
            <w:pPr>
              <w:spacing w:after="0"/>
              <w:rPr>
                <w:sz w:val="12"/>
                <w:szCs w:val="12"/>
                <w:color w:val="auto"/>
              </w:rPr>
            </w:pPr>
          </w:p>
        </w:tc>
        <w:tc>
          <w:tcPr>
            <w:tcW w:w="3220" w:type="dxa"/>
            <w:vAlign w:val="bottom"/>
            <w:vMerge w:val="restart"/>
          </w:tcPr>
          <w:p>
            <w:pPr>
              <w:ind w:left="400"/>
              <w:spacing w:after="0"/>
              <w:rPr>
                <w:sz w:val="20"/>
                <w:szCs w:val="20"/>
                <w:color w:val="auto"/>
              </w:rPr>
            </w:pPr>
            <w:r>
              <w:rPr>
                <w:rFonts w:ascii="Arial" w:cs="Arial" w:eastAsia="Arial" w:hAnsi="Arial"/>
                <w:sz w:val="16"/>
                <w:szCs w:val="16"/>
                <w:color w:val="FFFFFF"/>
              </w:rPr>
              <w:t>Former Senior Vice President</w:t>
            </w: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27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3040" w:type="dxa"/>
            <w:vAlign w:val="bottom"/>
            <w:vMerge w:val="restart"/>
          </w:tcPr>
          <w:p>
            <w:pPr>
              <w:ind w:left="340"/>
              <w:spacing w:after="0"/>
              <w:rPr>
                <w:sz w:val="20"/>
                <w:szCs w:val="20"/>
                <w:color w:val="auto"/>
              </w:rPr>
            </w:pPr>
            <w:r>
              <w:rPr>
                <w:rFonts w:ascii="Arial" w:cs="Arial" w:eastAsia="Arial" w:hAnsi="Arial"/>
                <w:sz w:val="16"/>
                <w:szCs w:val="16"/>
                <w:color w:val="FFFFFF"/>
              </w:rPr>
              <w:t>Solutions</w:t>
            </w: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3220" w:type="dxa"/>
            <w:vAlign w:val="bottom"/>
            <w:vMerge w:val="restart"/>
          </w:tcPr>
          <w:p>
            <w:pPr>
              <w:ind w:left="400"/>
              <w:spacing w:after="0"/>
              <w:rPr>
                <w:sz w:val="20"/>
                <w:szCs w:val="20"/>
                <w:color w:val="auto"/>
              </w:rPr>
            </w:pPr>
            <w:r>
              <w:rPr>
                <w:rFonts w:ascii="Arial" w:cs="Arial" w:eastAsia="Arial" w:hAnsi="Arial"/>
                <w:sz w:val="16"/>
                <w:szCs w:val="16"/>
                <w:color w:val="FFFFFF"/>
              </w:rPr>
              <w:t>and Corporate Controller</w:t>
            </w: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7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3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ind w:left="400"/>
              <w:spacing w:after="0"/>
              <w:rPr>
                <w:sz w:val="20"/>
                <w:szCs w:val="20"/>
                <w:color w:val="auto"/>
              </w:rPr>
            </w:pPr>
            <w:r>
              <w:rPr>
                <w:rFonts w:ascii="Arial" w:cs="Arial" w:eastAsia="Arial" w:hAnsi="Arial"/>
                <w:sz w:val="16"/>
                <w:szCs w:val="16"/>
                <w:color w:val="FFFFFF"/>
              </w:rPr>
              <w:t>Verint Systems Inc.</w:t>
            </w:r>
          </w:p>
        </w:tc>
        <w:tc>
          <w:tcPr>
            <w:tcW w:w="3040" w:type="dxa"/>
            <w:vAlign w:val="bottom"/>
            <w:vMerge w:val="restart"/>
          </w:tcPr>
          <w:p>
            <w:pPr>
              <w:ind w:left="340"/>
              <w:spacing w:after="0"/>
              <w:rPr>
                <w:sz w:val="20"/>
                <w:szCs w:val="20"/>
                <w:color w:val="auto"/>
              </w:rPr>
            </w:pPr>
            <w:r>
              <w:rPr>
                <w:rFonts w:ascii="Arial" w:cs="Arial" w:eastAsia="Arial" w:hAnsi="Arial"/>
                <w:sz w:val="16"/>
                <w:szCs w:val="16"/>
                <w:b w:val="1"/>
                <w:bCs w:val="1"/>
                <w:color w:val="FFFFFF"/>
              </w:rPr>
              <w:t>Joseph Berry</w:t>
            </w:r>
          </w:p>
        </w:tc>
        <w:tc>
          <w:tcPr>
            <w:tcW w:w="0" w:type="dxa"/>
            <w:vAlign w:val="bottom"/>
          </w:tcPr>
          <w:p>
            <w:pPr>
              <w:spacing w:after="0"/>
              <w:rPr>
                <w:sz w:val="1"/>
                <w:szCs w:val="1"/>
                <w:color w:val="auto"/>
              </w:rPr>
            </w:pPr>
          </w:p>
        </w:tc>
      </w:tr>
      <w:tr>
        <w:trPr>
          <w:trHeight w:val="88"/>
        </w:trPr>
        <w:tc>
          <w:tcPr>
            <w:tcW w:w="27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720" w:type="dxa"/>
            <w:vAlign w:val="bottom"/>
          </w:tcPr>
          <w:p>
            <w:pPr>
              <w:spacing w:after="0"/>
              <w:rPr>
                <w:sz w:val="20"/>
                <w:szCs w:val="20"/>
                <w:color w:val="auto"/>
              </w:rPr>
            </w:pPr>
            <w:r>
              <w:rPr>
                <w:rFonts w:ascii="Arial" w:cs="Arial" w:eastAsia="Arial" w:hAnsi="Arial"/>
                <w:sz w:val="18"/>
                <w:szCs w:val="18"/>
                <w:b w:val="1"/>
                <w:bCs w:val="1"/>
                <w:color w:val="FFFFFF"/>
              </w:rPr>
              <w:t>CORPORATE</w:t>
            </w:r>
          </w:p>
        </w:tc>
        <w:tc>
          <w:tcPr>
            <w:tcW w:w="3220" w:type="dxa"/>
            <w:vAlign w:val="bottom"/>
          </w:tcPr>
          <w:p>
            <w:pPr>
              <w:ind w:left="400"/>
              <w:spacing w:after="0"/>
              <w:rPr>
                <w:sz w:val="20"/>
                <w:szCs w:val="20"/>
                <w:color w:val="auto"/>
              </w:rPr>
            </w:pPr>
            <w:r>
              <w:rPr>
                <w:rFonts w:ascii="Arial" w:cs="Arial" w:eastAsia="Arial" w:hAnsi="Arial"/>
                <w:sz w:val="16"/>
                <w:szCs w:val="16"/>
                <w:b w:val="1"/>
                <w:bCs w:val="1"/>
                <w:color w:val="FFFFFF"/>
              </w:rPr>
              <w:t>Mark Segall</w:t>
            </w:r>
          </w:p>
        </w:tc>
        <w:tc>
          <w:tcPr>
            <w:tcW w:w="3040" w:type="dxa"/>
            <w:vAlign w:val="bottom"/>
          </w:tcPr>
          <w:p>
            <w:pPr>
              <w:ind w:left="340"/>
              <w:spacing w:after="0"/>
              <w:rPr>
                <w:sz w:val="20"/>
                <w:szCs w:val="20"/>
                <w:color w:val="auto"/>
              </w:rPr>
            </w:pPr>
            <w:r>
              <w:rPr>
                <w:rFonts w:ascii="Arial" w:cs="Arial" w:eastAsia="Arial" w:hAnsi="Arial"/>
                <w:sz w:val="16"/>
                <w:szCs w:val="16"/>
                <w:color w:val="FFFFFF"/>
              </w:rPr>
              <w:t>President of Magnetic Solutions</w:t>
            </w:r>
          </w:p>
        </w:tc>
        <w:tc>
          <w:tcPr>
            <w:tcW w:w="0" w:type="dxa"/>
            <w:vAlign w:val="bottom"/>
          </w:tcPr>
          <w:p>
            <w:pPr>
              <w:spacing w:after="0"/>
              <w:rPr>
                <w:sz w:val="1"/>
                <w:szCs w:val="1"/>
                <w:color w:val="auto"/>
              </w:rPr>
            </w:pPr>
          </w:p>
        </w:tc>
      </w:tr>
      <w:tr>
        <w:trPr>
          <w:trHeight w:val="200"/>
        </w:trPr>
        <w:tc>
          <w:tcPr>
            <w:tcW w:w="2720" w:type="dxa"/>
            <w:vAlign w:val="bottom"/>
          </w:tcPr>
          <w:p>
            <w:pPr>
              <w:spacing w:after="0" w:line="200" w:lineRule="exact"/>
              <w:rPr>
                <w:sz w:val="20"/>
                <w:szCs w:val="20"/>
                <w:color w:val="auto"/>
              </w:rPr>
            </w:pPr>
            <w:r>
              <w:rPr>
                <w:rFonts w:ascii="Arial" w:cs="Arial" w:eastAsia="Arial" w:hAnsi="Arial"/>
                <w:sz w:val="18"/>
                <w:szCs w:val="18"/>
                <w:b w:val="1"/>
                <w:bCs w:val="1"/>
                <w:color w:val="FFFFFF"/>
              </w:rPr>
              <w:t>HEADQUARTERS</w:t>
            </w:r>
          </w:p>
        </w:tc>
        <w:tc>
          <w:tcPr>
            <w:tcW w:w="3220" w:type="dxa"/>
            <w:vAlign w:val="bottom"/>
          </w:tcPr>
          <w:p>
            <w:pPr>
              <w:ind w:left="400"/>
              <w:spacing w:after="0"/>
              <w:rPr>
                <w:sz w:val="20"/>
                <w:szCs w:val="20"/>
                <w:color w:val="auto"/>
              </w:rPr>
            </w:pPr>
            <w:r>
              <w:rPr>
                <w:rFonts w:ascii="Arial" w:cs="Arial" w:eastAsia="Arial" w:hAnsi="Arial"/>
                <w:sz w:val="16"/>
                <w:szCs w:val="16"/>
                <w:color w:val="FFFFFF"/>
              </w:rPr>
              <w:t>Managing Member</w:t>
            </w:r>
          </w:p>
        </w:tc>
        <w:tc>
          <w:tcPr>
            <w:tcW w:w="3040" w:type="dxa"/>
            <w:vAlign w:val="bottom"/>
            <w:vMerge w:val="restart"/>
          </w:tcPr>
          <w:p>
            <w:pPr>
              <w:ind w:left="340"/>
              <w:spacing w:after="0"/>
              <w:rPr>
                <w:sz w:val="20"/>
                <w:szCs w:val="20"/>
                <w:color w:val="auto"/>
              </w:rPr>
            </w:pPr>
            <w:r>
              <w:rPr>
                <w:rFonts w:ascii="Arial" w:cs="Arial" w:eastAsia="Arial" w:hAnsi="Arial"/>
                <w:sz w:val="16"/>
                <w:szCs w:val="16"/>
                <w:b w:val="1"/>
                <w:bCs w:val="1"/>
                <w:color w:val="FFFFFF"/>
              </w:rPr>
              <w:t>Kenneth Lai</w:t>
            </w:r>
          </w:p>
        </w:tc>
        <w:tc>
          <w:tcPr>
            <w:tcW w:w="0" w:type="dxa"/>
            <w:vAlign w:val="bottom"/>
          </w:tcPr>
          <w:p>
            <w:pPr>
              <w:spacing w:after="0"/>
              <w:rPr>
                <w:sz w:val="1"/>
                <w:szCs w:val="1"/>
                <w:color w:val="auto"/>
              </w:rPr>
            </w:pPr>
          </w:p>
        </w:tc>
      </w:tr>
      <w:tr>
        <w:trPr>
          <w:trHeight w:val="77"/>
        </w:trPr>
        <w:tc>
          <w:tcPr>
            <w:tcW w:w="2720" w:type="dxa"/>
            <w:vAlign w:val="bottom"/>
          </w:tcPr>
          <w:p>
            <w:pPr>
              <w:spacing w:after="0"/>
              <w:rPr>
                <w:sz w:val="6"/>
                <w:szCs w:val="6"/>
                <w:color w:val="auto"/>
              </w:rPr>
            </w:pPr>
          </w:p>
        </w:tc>
        <w:tc>
          <w:tcPr>
            <w:tcW w:w="3220" w:type="dxa"/>
            <w:vAlign w:val="bottom"/>
            <w:vMerge w:val="restart"/>
          </w:tcPr>
          <w:p>
            <w:pPr>
              <w:ind w:left="400"/>
              <w:spacing w:after="0"/>
              <w:rPr>
                <w:sz w:val="20"/>
                <w:szCs w:val="20"/>
                <w:color w:val="auto"/>
              </w:rPr>
            </w:pPr>
            <w:r>
              <w:rPr>
                <w:rFonts w:ascii="Arial" w:cs="Arial" w:eastAsia="Arial" w:hAnsi="Arial"/>
                <w:sz w:val="16"/>
                <w:szCs w:val="16"/>
                <w:color w:val="FFFFFF"/>
              </w:rPr>
              <w:t>Kidron Corporate Advisors LLC</w:t>
            </w: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72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3040" w:type="dxa"/>
            <w:vAlign w:val="bottom"/>
            <w:vMerge w:val="restart"/>
          </w:tcPr>
          <w:p>
            <w:pPr>
              <w:ind w:left="340"/>
              <w:spacing w:after="0"/>
              <w:rPr>
                <w:sz w:val="20"/>
                <w:szCs w:val="20"/>
                <w:color w:val="auto"/>
              </w:rPr>
            </w:pPr>
            <w:r>
              <w:rPr>
                <w:rFonts w:ascii="Arial" w:cs="Arial" w:eastAsia="Arial" w:hAnsi="Arial"/>
                <w:sz w:val="16"/>
                <w:szCs w:val="16"/>
                <w:color w:val="FFFFFF"/>
              </w:rPr>
              <w:t>Vice President of Asia Operations</w:t>
            </w:r>
          </w:p>
        </w:tc>
        <w:tc>
          <w:tcPr>
            <w:tcW w:w="0" w:type="dxa"/>
            <w:vAlign w:val="bottom"/>
          </w:tcPr>
          <w:p>
            <w:pPr>
              <w:spacing w:after="0"/>
              <w:rPr>
                <w:sz w:val="1"/>
                <w:szCs w:val="1"/>
                <w:color w:val="auto"/>
              </w:rPr>
            </w:pPr>
          </w:p>
        </w:tc>
      </w:tr>
      <w:tr>
        <w:trPr>
          <w:trHeight w:val="88"/>
        </w:trPr>
        <w:tc>
          <w:tcPr>
            <w:tcW w:w="2720" w:type="dxa"/>
            <w:vAlign w:val="bottom"/>
            <w:vMerge w:val="restart"/>
          </w:tcPr>
          <w:p>
            <w:pPr>
              <w:spacing w:after="0"/>
              <w:rPr>
                <w:sz w:val="20"/>
                <w:szCs w:val="20"/>
                <w:color w:val="auto"/>
              </w:rPr>
            </w:pPr>
            <w:r>
              <w:rPr>
                <w:rFonts w:ascii="Arial" w:cs="Arial" w:eastAsia="Arial" w:hAnsi="Arial"/>
                <w:sz w:val="16"/>
                <w:szCs w:val="16"/>
                <w:color w:val="FFFFFF"/>
              </w:rPr>
              <w:t>Bel Fuse Inc.</w:t>
            </w:r>
          </w:p>
        </w:tc>
        <w:tc>
          <w:tcPr>
            <w:tcW w:w="322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720" w:type="dxa"/>
            <w:vAlign w:val="bottom"/>
            <w:vMerge w:val="continue"/>
          </w:tcPr>
          <w:p>
            <w:pPr>
              <w:spacing w:after="0"/>
              <w:rPr>
                <w:sz w:val="10"/>
                <w:szCs w:val="10"/>
                <w:color w:val="auto"/>
              </w:rPr>
            </w:pPr>
          </w:p>
        </w:tc>
        <w:tc>
          <w:tcPr>
            <w:tcW w:w="32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rPr>
                <w:sz w:val="20"/>
                <w:szCs w:val="20"/>
                <w:color w:val="auto"/>
              </w:rPr>
            </w:pPr>
            <w:r>
              <w:rPr>
                <w:rFonts w:ascii="Arial" w:cs="Arial" w:eastAsia="Arial" w:hAnsi="Arial"/>
                <w:sz w:val="16"/>
                <w:szCs w:val="16"/>
                <w:color w:val="FFFFFF"/>
              </w:rPr>
              <w:t>300 Executive Drive</w:t>
            </w:r>
          </w:p>
        </w:tc>
        <w:tc>
          <w:tcPr>
            <w:tcW w:w="3220" w:type="dxa"/>
            <w:vAlign w:val="bottom"/>
          </w:tcPr>
          <w:p>
            <w:pPr>
              <w:ind w:left="400"/>
              <w:spacing w:after="0"/>
              <w:rPr>
                <w:sz w:val="20"/>
                <w:szCs w:val="20"/>
                <w:color w:val="auto"/>
              </w:rPr>
            </w:pPr>
            <w:r>
              <w:rPr>
                <w:rFonts w:ascii="Arial" w:cs="Arial" w:eastAsia="Arial" w:hAnsi="Arial"/>
                <w:sz w:val="16"/>
                <w:szCs w:val="16"/>
                <w:b w:val="1"/>
                <w:bCs w:val="1"/>
                <w:color w:val="FFFFFF"/>
              </w:rPr>
              <w:t>Rita Smith</w:t>
            </w:r>
          </w:p>
        </w:tc>
        <w:tc>
          <w:tcPr>
            <w:tcW w:w="3040" w:type="dxa"/>
            <w:vAlign w:val="bottom"/>
            <w:vMerge w:val="restart"/>
          </w:tcPr>
          <w:p>
            <w:pPr>
              <w:ind w:left="340"/>
              <w:spacing w:after="0"/>
              <w:rPr>
                <w:sz w:val="20"/>
                <w:szCs w:val="20"/>
                <w:color w:val="auto"/>
              </w:rPr>
            </w:pPr>
            <w:r>
              <w:rPr>
                <w:rFonts w:ascii="Arial" w:cs="Arial" w:eastAsia="Arial" w:hAnsi="Arial"/>
                <w:sz w:val="18"/>
                <w:szCs w:val="18"/>
                <w:b w:val="1"/>
                <w:bCs w:val="1"/>
                <w:color w:val="FFFFFF"/>
              </w:rPr>
              <w:t>TRANSFER AGENT</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20"/>
                <w:szCs w:val="20"/>
                <w:color w:val="auto"/>
              </w:rPr>
            </w:pPr>
            <w:r>
              <w:rPr>
                <w:rFonts w:ascii="Arial" w:cs="Arial" w:eastAsia="Arial" w:hAnsi="Arial"/>
                <w:sz w:val="16"/>
                <w:szCs w:val="16"/>
                <w:color w:val="FFFFFF"/>
              </w:rPr>
              <w:t>Suite 300</w:t>
            </w:r>
          </w:p>
        </w:tc>
        <w:tc>
          <w:tcPr>
            <w:tcW w:w="3220" w:type="dxa"/>
            <w:vAlign w:val="bottom"/>
          </w:tcPr>
          <w:p>
            <w:pPr>
              <w:ind w:left="400"/>
              <w:spacing w:after="0"/>
              <w:rPr>
                <w:sz w:val="20"/>
                <w:szCs w:val="20"/>
                <w:color w:val="auto"/>
              </w:rPr>
            </w:pPr>
            <w:r>
              <w:rPr>
                <w:rFonts w:ascii="Arial" w:cs="Arial" w:eastAsia="Arial" w:hAnsi="Arial"/>
                <w:sz w:val="16"/>
                <w:szCs w:val="16"/>
                <w:color w:val="FFFFFF"/>
              </w:rPr>
              <w:t>Partner</w:t>
            </w:r>
          </w:p>
        </w:tc>
        <w:tc>
          <w:tcPr>
            <w:tcW w:w="3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rPr>
                <w:sz w:val="20"/>
                <w:szCs w:val="20"/>
                <w:color w:val="auto"/>
              </w:rPr>
            </w:pPr>
            <w:r>
              <w:rPr>
                <w:rFonts w:ascii="Arial" w:cs="Arial" w:eastAsia="Arial" w:hAnsi="Arial"/>
                <w:sz w:val="16"/>
                <w:szCs w:val="16"/>
                <w:color w:val="FFFFFF"/>
              </w:rPr>
              <w:t>West Orange, NJ 07052 USA</w:t>
            </w:r>
          </w:p>
        </w:tc>
        <w:tc>
          <w:tcPr>
            <w:tcW w:w="3220" w:type="dxa"/>
            <w:vAlign w:val="bottom"/>
          </w:tcPr>
          <w:p>
            <w:pPr>
              <w:ind w:left="400"/>
              <w:spacing w:after="0"/>
              <w:rPr>
                <w:sz w:val="20"/>
                <w:szCs w:val="20"/>
                <w:color w:val="auto"/>
              </w:rPr>
            </w:pPr>
            <w:r>
              <w:rPr>
                <w:rFonts w:ascii="Arial" w:cs="Arial" w:eastAsia="Arial" w:hAnsi="Arial"/>
                <w:sz w:val="16"/>
                <w:szCs w:val="16"/>
                <w:color w:val="FFFFFF"/>
              </w:rPr>
              <w:t>C-Suite Healthcare Advisors</w:t>
            </w:r>
          </w:p>
        </w:tc>
        <w:tc>
          <w:tcPr>
            <w:tcW w:w="3040" w:type="dxa"/>
            <w:vAlign w:val="bottom"/>
          </w:tcPr>
          <w:p>
            <w:pPr>
              <w:ind w:left="340"/>
              <w:spacing w:after="0" w:line="171" w:lineRule="exact"/>
              <w:rPr>
                <w:sz w:val="20"/>
                <w:szCs w:val="20"/>
                <w:color w:val="auto"/>
              </w:rPr>
            </w:pPr>
            <w:r>
              <w:rPr>
                <w:rFonts w:ascii="Arial" w:cs="Arial" w:eastAsia="Arial" w:hAnsi="Arial"/>
                <w:sz w:val="16"/>
                <w:szCs w:val="16"/>
                <w:color w:val="FFFFFF"/>
              </w:rPr>
              <w:t>Continental Stock Transfer</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20"/>
                <w:szCs w:val="20"/>
                <w:color w:val="auto"/>
              </w:rPr>
            </w:pPr>
            <w:r>
              <w:rPr>
                <w:rFonts w:ascii="Arial" w:cs="Arial" w:eastAsia="Arial" w:hAnsi="Arial"/>
                <w:sz w:val="16"/>
                <w:szCs w:val="16"/>
                <w:color w:val="FFFFFF"/>
              </w:rPr>
              <w:t>Tel: 201.432.0463</w:t>
            </w:r>
          </w:p>
        </w:tc>
        <w:tc>
          <w:tcPr>
            <w:tcW w:w="3220" w:type="dxa"/>
            <w:vAlign w:val="bottom"/>
            <w:vMerge w:val="restart"/>
          </w:tcPr>
          <w:p>
            <w:pPr>
              <w:ind w:left="400"/>
              <w:spacing w:after="0"/>
              <w:rPr>
                <w:sz w:val="20"/>
                <w:szCs w:val="20"/>
                <w:color w:val="auto"/>
              </w:rPr>
            </w:pPr>
            <w:r>
              <w:rPr>
                <w:rFonts w:ascii="Arial" w:cs="Arial" w:eastAsia="Arial" w:hAnsi="Arial"/>
                <w:sz w:val="16"/>
                <w:szCs w:val="16"/>
                <w:b w:val="1"/>
                <w:bCs w:val="1"/>
                <w:color w:val="FFFFFF"/>
              </w:rPr>
              <w:t>David Valletta</w:t>
            </w:r>
          </w:p>
        </w:tc>
        <w:tc>
          <w:tcPr>
            <w:tcW w:w="3040" w:type="dxa"/>
            <w:vAlign w:val="bottom"/>
          </w:tcPr>
          <w:p>
            <w:pPr>
              <w:ind w:left="340"/>
              <w:spacing w:after="0" w:line="171" w:lineRule="exact"/>
              <w:rPr>
                <w:sz w:val="20"/>
                <w:szCs w:val="20"/>
                <w:color w:val="auto"/>
              </w:rPr>
            </w:pPr>
            <w:r>
              <w:rPr>
                <w:rFonts w:ascii="Arial" w:cs="Arial" w:eastAsia="Arial" w:hAnsi="Arial"/>
                <w:sz w:val="16"/>
                <w:szCs w:val="16"/>
                <w:color w:val="FFFFFF"/>
              </w:rPr>
              <w:t>and Trust Company</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3040" w:type="dxa"/>
            <w:vAlign w:val="bottom"/>
          </w:tcPr>
          <w:p>
            <w:pPr>
              <w:ind w:left="340"/>
              <w:spacing w:after="0" w:line="168" w:lineRule="exact"/>
              <w:rPr>
                <w:sz w:val="20"/>
                <w:szCs w:val="20"/>
                <w:color w:val="auto"/>
              </w:rPr>
            </w:pPr>
            <w:r>
              <w:rPr>
                <w:rFonts w:ascii="Arial" w:cs="Arial" w:eastAsia="Arial" w:hAnsi="Arial"/>
                <w:sz w:val="16"/>
                <w:szCs w:val="16"/>
                <w:color w:val="FFFFFF"/>
              </w:rPr>
              <w:t>One State Street Plaza</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ind w:left="400"/>
              <w:spacing w:after="0" w:line="171" w:lineRule="exact"/>
              <w:rPr>
                <w:sz w:val="20"/>
                <w:szCs w:val="20"/>
                <w:color w:val="auto"/>
              </w:rPr>
            </w:pPr>
            <w:r>
              <w:rPr>
                <w:rFonts w:ascii="Arial" w:cs="Arial" w:eastAsia="Arial" w:hAnsi="Arial"/>
                <w:sz w:val="16"/>
                <w:szCs w:val="16"/>
                <w:color w:val="FFFFFF"/>
              </w:rPr>
              <w:t>Former Executive Vice</w:t>
            </w:r>
          </w:p>
        </w:tc>
        <w:tc>
          <w:tcPr>
            <w:tcW w:w="3040" w:type="dxa"/>
            <w:vAlign w:val="bottom"/>
          </w:tcPr>
          <w:p>
            <w:pPr>
              <w:ind w:left="340"/>
              <w:spacing w:after="0"/>
              <w:rPr>
                <w:sz w:val="20"/>
                <w:szCs w:val="20"/>
                <w:color w:val="auto"/>
              </w:rPr>
            </w:pPr>
            <w:r>
              <w:rPr>
                <w:rFonts w:ascii="Arial" w:cs="Arial" w:eastAsia="Arial" w:hAnsi="Arial"/>
                <w:sz w:val="16"/>
                <w:szCs w:val="16"/>
                <w:color w:val="FFFFFF"/>
              </w:rPr>
              <w:t>30th Floor</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ind w:left="400"/>
              <w:spacing w:after="0" w:line="171" w:lineRule="exact"/>
              <w:rPr>
                <w:sz w:val="20"/>
                <w:szCs w:val="20"/>
                <w:color w:val="auto"/>
              </w:rPr>
            </w:pPr>
            <w:r>
              <w:rPr>
                <w:rFonts w:ascii="Arial" w:cs="Arial" w:eastAsia="Arial" w:hAnsi="Arial"/>
                <w:sz w:val="16"/>
                <w:szCs w:val="16"/>
                <w:color w:val="FFFFFF"/>
              </w:rPr>
              <w:t>President — Worldwide Sales</w:t>
            </w:r>
          </w:p>
        </w:tc>
        <w:tc>
          <w:tcPr>
            <w:tcW w:w="3040" w:type="dxa"/>
            <w:vAlign w:val="bottom"/>
          </w:tcPr>
          <w:p>
            <w:pPr>
              <w:ind w:left="340"/>
              <w:spacing w:after="0"/>
              <w:rPr>
                <w:sz w:val="20"/>
                <w:szCs w:val="20"/>
                <w:color w:val="auto"/>
              </w:rPr>
            </w:pPr>
            <w:r>
              <w:rPr>
                <w:rFonts w:ascii="Arial" w:cs="Arial" w:eastAsia="Arial" w:hAnsi="Arial"/>
                <w:sz w:val="16"/>
                <w:szCs w:val="16"/>
                <w:color w:val="FFFFFF"/>
              </w:rPr>
              <w:t>New York, NY 10004</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3220" w:type="dxa"/>
            <w:vAlign w:val="bottom"/>
          </w:tcPr>
          <w:p>
            <w:pPr>
              <w:ind w:left="400"/>
              <w:spacing w:after="0" w:line="171" w:lineRule="exact"/>
              <w:rPr>
                <w:sz w:val="20"/>
                <w:szCs w:val="20"/>
                <w:color w:val="auto"/>
              </w:rPr>
            </w:pPr>
            <w:r>
              <w:rPr>
                <w:rFonts w:ascii="Arial" w:cs="Arial" w:eastAsia="Arial" w:hAnsi="Arial"/>
                <w:sz w:val="16"/>
                <w:szCs w:val="16"/>
                <w:color w:val="FFFFFF"/>
              </w:rPr>
              <w:t>Vishay Intertechnology</w:t>
            </w:r>
          </w:p>
        </w:tc>
        <w:tc>
          <w:tcPr>
            <w:tcW w:w="3040" w:type="dxa"/>
            <w:vAlign w:val="bottom"/>
          </w:tcPr>
          <w:p>
            <w:pPr>
              <w:ind w:left="340"/>
              <w:spacing w:after="0"/>
              <w:rPr>
                <w:sz w:val="20"/>
                <w:szCs w:val="20"/>
                <w:color w:val="auto"/>
              </w:rPr>
            </w:pPr>
            <w:r>
              <w:rPr>
                <w:rFonts w:ascii="Arial" w:cs="Arial" w:eastAsia="Arial" w:hAnsi="Arial"/>
                <w:sz w:val="16"/>
                <w:szCs w:val="16"/>
                <w:color w:val="FFFFFF"/>
              </w:rPr>
              <w:t>Tel: 212.509.4000</w:t>
            </w:r>
          </w:p>
        </w:tc>
        <w:tc>
          <w:tcPr>
            <w:tcW w:w="0" w:type="dxa"/>
            <w:vAlign w:val="bottom"/>
          </w:tcPr>
          <w:p>
            <w:pPr>
              <w:spacing w:after="0"/>
              <w:rPr>
                <w:sz w:val="1"/>
                <w:szCs w:val="1"/>
                <w:color w:val="auto"/>
              </w:rPr>
            </w:pPr>
          </w:p>
        </w:tc>
      </w:tr>
      <w:tr>
        <w:trPr>
          <w:trHeight w:val="312"/>
        </w:trPr>
        <w:tc>
          <w:tcPr>
            <w:tcW w:w="2720" w:type="dxa"/>
            <w:vAlign w:val="bottom"/>
          </w:tcPr>
          <w:p>
            <w:pPr>
              <w:spacing w:after="0"/>
              <w:rPr>
                <w:sz w:val="24"/>
                <w:szCs w:val="24"/>
                <w:color w:val="auto"/>
              </w:rPr>
            </w:pPr>
          </w:p>
        </w:tc>
        <w:tc>
          <w:tcPr>
            <w:tcW w:w="3220" w:type="dxa"/>
            <w:vAlign w:val="bottom"/>
          </w:tcPr>
          <w:p>
            <w:pPr>
              <w:ind w:left="400"/>
              <w:spacing w:after="0"/>
              <w:rPr>
                <w:sz w:val="20"/>
                <w:szCs w:val="20"/>
                <w:color w:val="auto"/>
              </w:rPr>
            </w:pPr>
            <w:r>
              <w:rPr>
                <w:rFonts w:ascii="Arial" w:cs="Arial" w:eastAsia="Arial" w:hAnsi="Arial"/>
                <w:sz w:val="16"/>
                <w:szCs w:val="16"/>
                <w:b w:val="1"/>
                <w:bCs w:val="1"/>
                <w:color w:val="FFFFFF"/>
              </w:rPr>
              <w:t>Vincent Vellucci</w:t>
            </w:r>
          </w:p>
        </w:tc>
        <w:tc>
          <w:tcPr>
            <w:tcW w:w="3040" w:type="dxa"/>
            <w:vAlign w:val="bottom"/>
            <w:vMerge w:val="restart"/>
          </w:tcPr>
          <w:p>
            <w:pPr>
              <w:ind w:left="340"/>
              <w:spacing w:after="0"/>
              <w:rPr>
                <w:sz w:val="20"/>
                <w:szCs w:val="20"/>
                <w:color w:val="auto"/>
              </w:rPr>
            </w:pPr>
            <w:r>
              <w:rPr>
                <w:rFonts w:ascii="Arial" w:cs="Arial" w:eastAsia="Arial" w:hAnsi="Arial"/>
                <w:sz w:val="18"/>
                <w:szCs w:val="18"/>
                <w:b w:val="1"/>
                <w:bCs w:val="1"/>
                <w:color w:val="FFFFFF"/>
              </w:rPr>
              <w:t>AUDITORS</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ind w:left="400"/>
              <w:spacing w:after="0"/>
              <w:rPr>
                <w:sz w:val="20"/>
                <w:szCs w:val="20"/>
                <w:color w:val="auto"/>
              </w:rPr>
            </w:pPr>
            <w:r>
              <w:rPr>
                <w:rFonts w:ascii="Arial" w:cs="Arial" w:eastAsia="Arial" w:hAnsi="Arial"/>
                <w:sz w:val="16"/>
                <w:szCs w:val="16"/>
                <w:color w:val="FFFFFF"/>
              </w:rPr>
              <w:t>Former President of Americas</w:t>
            </w:r>
          </w:p>
        </w:tc>
        <w:tc>
          <w:tcPr>
            <w:tcW w:w="3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20" w:type="dxa"/>
            <w:vAlign w:val="bottom"/>
          </w:tcPr>
          <w:p>
            <w:pPr>
              <w:spacing w:after="0"/>
              <w:rPr>
                <w:sz w:val="17"/>
                <w:szCs w:val="17"/>
                <w:color w:val="auto"/>
              </w:rPr>
            </w:pPr>
          </w:p>
        </w:tc>
        <w:tc>
          <w:tcPr>
            <w:tcW w:w="3220" w:type="dxa"/>
            <w:vAlign w:val="bottom"/>
          </w:tcPr>
          <w:p>
            <w:pPr>
              <w:ind w:left="400"/>
              <w:spacing w:after="0"/>
              <w:rPr>
                <w:sz w:val="20"/>
                <w:szCs w:val="20"/>
                <w:color w:val="auto"/>
              </w:rPr>
            </w:pPr>
            <w:r>
              <w:rPr>
                <w:rFonts w:ascii="Arial" w:cs="Arial" w:eastAsia="Arial" w:hAnsi="Arial"/>
                <w:sz w:val="16"/>
                <w:szCs w:val="16"/>
                <w:color w:val="FFFFFF"/>
              </w:rPr>
              <w:t>Components</w:t>
            </w:r>
          </w:p>
        </w:tc>
        <w:tc>
          <w:tcPr>
            <w:tcW w:w="3040" w:type="dxa"/>
            <w:vAlign w:val="bottom"/>
          </w:tcPr>
          <w:p>
            <w:pPr>
              <w:ind w:left="340"/>
              <w:spacing w:after="0" w:line="205" w:lineRule="exact"/>
              <w:rPr>
                <w:sz w:val="20"/>
                <w:szCs w:val="20"/>
                <w:color w:val="auto"/>
              </w:rPr>
            </w:pPr>
            <w:r>
              <w:rPr>
                <w:rFonts w:ascii="Arial" w:cs="Arial" w:eastAsia="Arial" w:hAnsi="Arial"/>
                <w:sz w:val="16"/>
                <w:szCs w:val="16"/>
                <w:color w:val="FFFFFF"/>
              </w:rPr>
              <w:t>Grant Thornton LLP</w:t>
            </w:r>
            <w:r>
              <w:rPr>
                <w:rFonts w:ascii="Arial" w:cs="Arial" w:eastAsia="Arial" w:hAnsi="Arial"/>
                <w:sz w:val="18"/>
                <w:szCs w:val="18"/>
                <w:color w:val="FFFFFF"/>
                <w:vertAlign w:val="superscript"/>
              </w:rPr>
              <w:t>(4)</w:t>
            </w: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3220" w:type="dxa"/>
            <w:vAlign w:val="bottom"/>
          </w:tcPr>
          <w:p>
            <w:pPr>
              <w:ind w:left="400"/>
              <w:spacing w:after="0"/>
              <w:rPr>
                <w:sz w:val="20"/>
                <w:szCs w:val="20"/>
                <w:color w:val="auto"/>
              </w:rPr>
            </w:pPr>
            <w:r>
              <w:rPr>
                <w:rFonts w:ascii="Arial" w:cs="Arial" w:eastAsia="Arial" w:hAnsi="Arial"/>
                <w:sz w:val="16"/>
                <w:szCs w:val="16"/>
                <w:color w:val="FFFFFF"/>
              </w:rPr>
              <w:t>Arrow Electronics, Inc.</w:t>
            </w:r>
          </w:p>
        </w:tc>
        <w:tc>
          <w:tcPr>
            <w:tcW w:w="3040" w:type="dxa"/>
            <w:vAlign w:val="bottom"/>
          </w:tcPr>
          <w:p>
            <w:pPr>
              <w:ind w:left="340"/>
              <w:spacing w:after="0" w:line="171" w:lineRule="exact"/>
              <w:rPr>
                <w:sz w:val="20"/>
                <w:szCs w:val="20"/>
                <w:color w:val="auto"/>
              </w:rPr>
            </w:pPr>
            <w:r>
              <w:rPr>
                <w:rFonts w:ascii="Arial" w:cs="Arial" w:eastAsia="Arial" w:hAnsi="Arial"/>
                <w:sz w:val="16"/>
                <w:szCs w:val="16"/>
                <w:color w:val="FFFFFF"/>
              </w:rPr>
              <w:t>Iselin, NJ</w:t>
            </w:r>
          </w:p>
        </w:tc>
        <w:tc>
          <w:tcPr>
            <w:tcW w:w="0" w:type="dxa"/>
            <w:vAlign w:val="bottom"/>
          </w:tcPr>
          <w:p>
            <w:pPr>
              <w:spacing w:after="0"/>
              <w:rPr>
                <w:sz w:val="1"/>
                <w:szCs w:val="1"/>
                <w:color w:val="auto"/>
              </w:rPr>
            </w:pPr>
          </w:p>
        </w:tc>
      </w:tr>
      <w:tr>
        <w:trPr>
          <w:trHeight w:val="405"/>
        </w:trPr>
        <w:tc>
          <w:tcPr>
            <w:tcW w:w="2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40" w:type="dxa"/>
            <w:vAlign w:val="bottom"/>
          </w:tcPr>
          <w:p>
            <w:pPr>
              <w:ind w:left="340"/>
              <w:spacing w:after="0"/>
              <w:rPr>
                <w:sz w:val="20"/>
                <w:szCs w:val="20"/>
                <w:color w:val="auto"/>
              </w:rPr>
            </w:pPr>
            <w:r>
              <w:rPr>
                <w:rFonts w:ascii="Arial" w:cs="Arial" w:eastAsia="Arial" w:hAnsi="Arial"/>
                <w:sz w:val="16"/>
                <w:szCs w:val="16"/>
                <w:color w:val="FFFFFF"/>
              </w:rPr>
              <w:t>Deloitte &amp; Touche LLP</w:t>
            </w:r>
            <w:r>
              <w:rPr>
                <w:rFonts w:ascii="Arial" w:cs="Arial" w:eastAsia="Arial" w:hAnsi="Arial"/>
                <w:sz w:val="18"/>
                <w:szCs w:val="18"/>
                <w:color w:val="FFFFFF"/>
                <w:vertAlign w:val="superscript"/>
              </w:rPr>
              <w:t>(5)</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40" w:type="dxa"/>
            <w:vAlign w:val="bottom"/>
          </w:tcPr>
          <w:p>
            <w:pPr>
              <w:ind w:left="340"/>
              <w:spacing w:after="0" w:line="171" w:lineRule="exact"/>
              <w:rPr>
                <w:sz w:val="20"/>
                <w:szCs w:val="20"/>
                <w:color w:val="auto"/>
              </w:rPr>
            </w:pPr>
            <w:r>
              <w:rPr>
                <w:rFonts w:ascii="Arial" w:cs="Arial" w:eastAsia="Arial" w:hAnsi="Arial"/>
                <w:sz w:val="16"/>
                <w:szCs w:val="16"/>
                <w:color w:val="FFFFFF"/>
              </w:rPr>
              <w:t>Morristown, NJ</w:t>
            </w:r>
          </w:p>
        </w:tc>
        <w:tc>
          <w:tcPr>
            <w:tcW w:w="0" w:type="dxa"/>
            <w:vAlign w:val="bottom"/>
          </w:tcPr>
          <w:p>
            <w:pPr>
              <w:spacing w:after="0"/>
              <w:rPr>
                <w:sz w:val="1"/>
                <w:szCs w:val="1"/>
                <w:color w:val="auto"/>
              </w:rPr>
            </w:pPr>
          </w:p>
        </w:tc>
      </w:tr>
      <w:tr>
        <w:trPr>
          <w:trHeight w:val="492"/>
        </w:trPr>
        <w:tc>
          <w:tcPr>
            <w:tcW w:w="2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40" w:type="dxa"/>
            <w:vAlign w:val="bottom"/>
          </w:tcPr>
          <w:p>
            <w:pPr>
              <w:ind w:left="340"/>
              <w:spacing w:after="0"/>
              <w:rPr>
                <w:sz w:val="20"/>
                <w:szCs w:val="20"/>
                <w:color w:val="auto"/>
              </w:rPr>
            </w:pPr>
            <w:r>
              <w:rPr>
                <w:rFonts w:ascii="Arial" w:cs="Arial" w:eastAsia="Arial" w:hAnsi="Arial"/>
                <w:sz w:val="18"/>
                <w:szCs w:val="18"/>
                <w:b w:val="1"/>
                <w:bCs w:val="1"/>
                <w:color w:val="FFFFFF"/>
              </w:rPr>
              <w:t>INTERNET</w:t>
            </w: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40" w:type="dxa"/>
            <w:vAlign w:val="bottom"/>
          </w:tcPr>
          <w:p>
            <w:pPr>
              <w:ind w:left="340"/>
              <w:spacing w:after="0"/>
              <w:rPr>
                <w:sz w:val="20"/>
                <w:szCs w:val="20"/>
                <w:color w:val="auto"/>
              </w:rPr>
            </w:pPr>
            <w:r>
              <w:rPr>
                <w:rFonts w:ascii="Arial" w:cs="Arial" w:eastAsia="Arial" w:hAnsi="Arial"/>
                <w:sz w:val="16"/>
                <w:szCs w:val="16"/>
                <w:color w:val="FFFFFF"/>
              </w:rPr>
              <w:t>www.belfuse.com</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40" w:type="dxa"/>
            <w:vAlign w:val="bottom"/>
          </w:tcPr>
          <w:p>
            <w:pPr>
              <w:ind w:left="340"/>
              <w:spacing w:after="0"/>
              <w:rPr>
                <w:sz w:val="20"/>
                <w:szCs w:val="20"/>
                <w:color w:val="auto"/>
              </w:rPr>
            </w:pPr>
            <w:r>
              <w:rPr>
                <w:rFonts w:ascii="Arial" w:cs="Arial" w:eastAsia="Arial" w:hAnsi="Arial"/>
                <w:sz w:val="16"/>
                <w:szCs w:val="16"/>
                <w:color w:val="FFFFFF"/>
              </w:rPr>
              <w:t>Bel Fuse Inc. is traded on</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40" w:type="dxa"/>
            <w:vAlign w:val="bottom"/>
          </w:tcPr>
          <w:p>
            <w:pPr>
              <w:ind w:left="340"/>
              <w:spacing w:after="0"/>
              <w:rPr>
                <w:sz w:val="20"/>
                <w:szCs w:val="20"/>
                <w:color w:val="auto"/>
              </w:rPr>
            </w:pPr>
            <w:r>
              <w:rPr>
                <w:rFonts w:ascii="Arial" w:cs="Arial" w:eastAsia="Arial" w:hAnsi="Arial"/>
                <w:sz w:val="16"/>
                <w:szCs w:val="16"/>
                <w:color w:val="FFFFFF"/>
              </w:rPr>
              <w:t>the NASDAQ Global Select</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40" w:type="dxa"/>
            <w:vAlign w:val="bottom"/>
          </w:tcPr>
          <w:p>
            <w:pPr>
              <w:ind w:left="340"/>
              <w:spacing w:after="0"/>
              <w:rPr>
                <w:sz w:val="20"/>
                <w:szCs w:val="20"/>
                <w:color w:val="auto"/>
              </w:rPr>
            </w:pPr>
            <w:r>
              <w:rPr>
                <w:rFonts w:ascii="Arial" w:cs="Arial" w:eastAsia="Arial" w:hAnsi="Arial"/>
                <w:sz w:val="16"/>
                <w:szCs w:val="16"/>
                <w:color w:val="FFFFFF"/>
              </w:rPr>
              <w:t>Market under the symbols</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40" w:type="dxa"/>
            <w:vAlign w:val="bottom"/>
          </w:tcPr>
          <w:p>
            <w:pPr>
              <w:ind w:left="340"/>
              <w:spacing w:after="0"/>
              <w:rPr>
                <w:sz w:val="20"/>
                <w:szCs w:val="20"/>
                <w:color w:val="auto"/>
              </w:rPr>
            </w:pPr>
            <w:r>
              <w:rPr>
                <w:rFonts w:ascii="Arial" w:cs="Arial" w:eastAsia="Arial" w:hAnsi="Arial"/>
                <w:sz w:val="16"/>
                <w:szCs w:val="16"/>
                <w:color w:val="FFFFFF"/>
              </w:rPr>
              <w:t>BELFA and BELFB</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00" w:hanging="227"/>
        <w:spacing w:after="0"/>
        <w:tabs>
          <w:tab w:leader="none" w:pos="700" w:val="left"/>
        </w:tabs>
        <w:numPr>
          <w:ilvl w:val="0"/>
          <w:numId w:val="45"/>
        </w:numPr>
        <w:rPr>
          <w:rFonts w:ascii="Arial" w:cs="Arial" w:eastAsia="Arial" w:hAnsi="Arial"/>
          <w:sz w:val="13"/>
          <w:szCs w:val="13"/>
          <w:color w:val="FFFFFF"/>
        </w:rPr>
      </w:pPr>
      <w:r>
        <w:rPr>
          <w:rFonts w:ascii="Arial" w:cs="Arial" w:eastAsia="Arial" w:hAnsi="Arial"/>
          <w:sz w:val="13"/>
          <w:szCs w:val="13"/>
          <w:color w:val="FFFFFF"/>
        </w:rPr>
        <w:t>Effective March 31, 2026, Mr. Dawson was appointed EVP, President of Bel’s Industrial Technology &amp; Data Solutions business unit.</w:t>
      </w:r>
    </w:p>
    <w:p>
      <w:pPr>
        <w:spacing w:after="0" w:line="20" w:lineRule="exact"/>
        <w:rPr>
          <w:rFonts w:ascii="Arial" w:cs="Arial" w:eastAsia="Arial" w:hAnsi="Arial"/>
          <w:sz w:val="13"/>
          <w:szCs w:val="13"/>
          <w:color w:val="FFFFFF"/>
        </w:rPr>
      </w:pPr>
    </w:p>
    <w:p>
      <w:pPr>
        <w:ind w:left="700" w:hanging="227"/>
        <w:spacing w:after="0"/>
        <w:tabs>
          <w:tab w:leader="none" w:pos="700" w:val="left"/>
        </w:tabs>
        <w:numPr>
          <w:ilvl w:val="0"/>
          <w:numId w:val="45"/>
        </w:numPr>
        <w:rPr>
          <w:rFonts w:ascii="Arial" w:cs="Arial" w:eastAsia="Arial" w:hAnsi="Arial"/>
          <w:sz w:val="13"/>
          <w:szCs w:val="13"/>
          <w:color w:val="FFFFFF"/>
        </w:rPr>
      </w:pPr>
      <w:r>
        <w:rPr>
          <w:rFonts w:ascii="Arial" w:cs="Arial" w:eastAsia="Arial" w:hAnsi="Arial"/>
          <w:sz w:val="13"/>
          <w:szCs w:val="13"/>
          <w:color w:val="FFFFFF"/>
        </w:rPr>
        <w:t>Retired from Bel effective April 3, 2026.</w:t>
      </w:r>
    </w:p>
    <w:p>
      <w:pPr>
        <w:spacing w:after="0" w:line="33" w:lineRule="exact"/>
        <w:rPr>
          <w:rFonts w:ascii="Arial" w:cs="Arial" w:eastAsia="Arial" w:hAnsi="Arial"/>
          <w:sz w:val="13"/>
          <w:szCs w:val="13"/>
          <w:color w:val="FFFFFF"/>
        </w:rPr>
      </w:pPr>
    </w:p>
    <w:p>
      <w:pPr>
        <w:ind w:left="700" w:right="360" w:hanging="227"/>
        <w:spacing w:after="0" w:line="252" w:lineRule="auto"/>
        <w:tabs>
          <w:tab w:leader="none" w:pos="700" w:val="left"/>
        </w:tabs>
        <w:numPr>
          <w:ilvl w:val="0"/>
          <w:numId w:val="45"/>
        </w:numPr>
        <w:rPr>
          <w:rFonts w:ascii="Arial" w:cs="Arial" w:eastAsia="Arial" w:hAnsi="Arial"/>
          <w:sz w:val="13"/>
          <w:szCs w:val="13"/>
          <w:color w:val="FFFFFF"/>
        </w:rPr>
      </w:pPr>
      <w:r>
        <w:rPr>
          <w:rFonts w:ascii="Arial" w:cs="Arial" w:eastAsia="Arial" w:hAnsi="Arial"/>
          <w:sz w:val="13"/>
          <w:szCs w:val="13"/>
          <w:color w:val="FFFFFF"/>
        </w:rPr>
        <w:t>New appointment effective January 26, 2026. Effective March 31, 2026, Mr. Smelker was appointed EVP, President of Bel’s Aerospace, Defense &amp; Rugged Solutions business unit.</w:t>
      </w:r>
    </w:p>
    <w:p>
      <w:pPr>
        <w:sectPr>
          <w:pgSz w:w="12240" w:h="15840" w:orient="portrait"/>
          <w:cols w:equalWidth="0" w:num="1">
            <w:col w:w="9720"/>
          </w:cols>
          <w:pgMar w:left="1440" w:top="1440" w:right="1080" w:bottom="705" w:gutter="0" w:footer="0" w:header="0"/>
        </w:sectPr>
      </w:pPr>
    </w:p>
    <w:p>
      <w:pPr>
        <w:spacing w:after="0" w:line="26" w:lineRule="exact"/>
        <w:rPr>
          <w:sz w:val="20"/>
          <w:szCs w:val="20"/>
          <w:color w:val="auto"/>
        </w:rPr>
      </w:pPr>
    </w:p>
    <w:p>
      <w:pPr>
        <w:ind w:left="480"/>
        <w:spacing w:after="0" w:line="159" w:lineRule="exact"/>
        <w:rPr>
          <w:sz w:val="20"/>
          <w:szCs w:val="20"/>
          <w:color w:val="auto"/>
        </w:rPr>
      </w:pPr>
      <w:r>
        <w:rPr>
          <w:rFonts w:ascii="PMingLiU" w:cs="PMingLiU" w:eastAsia="PMingLiU" w:hAnsi="PMingLiU"/>
          <w:sz w:val="13"/>
          <w:szCs w:val="13"/>
          <w:color w:val="FFFFFF"/>
        </w:rPr>
        <w:t/>
      </w:r>
      <w:r>
        <w:rPr>
          <w:rFonts w:ascii="Arial" w:cs="Arial" w:eastAsia="Arial" w:hAnsi="Arial"/>
          <w:sz w:val="13"/>
          <w:szCs w:val="13"/>
          <w:color w:val="FFFFFF"/>
        </w:rPr>
        <w:t>*UDQW</w:t>
      </w:r>
      <w:r>
        <w:rPr>
          <w:rFonts w:ascii="PMingLiU" w:cs="PMingLiU" w:eastAsia="PMingLiU" w:hAnsi="PMingLiU"/>
          <w:sz w:val="13"/>
          <w:szCs w:val="13"/>
          <w:color w:val="FFFFFF"/>
        </w:rPr>
        <w:t/>
      </w:r>
      <w:r>
        <w:rPr>
          <w:rFonts w:ascii="Arial" w:cs="Arial" w:eastAsia="Arial" w:hAnsi="Arial"/>
          <w:sz w:val="13"/>
          <w:szCs w:val="13"/>
          <w:color w:val="FFFFFF"/>
        </w:rPr>
        <w:t>7KRUQWRQ</w:t>
      </w:r>
      <w:r>
        <w:rPr>
          <w:rFonts w:ascii="PMingLiU" w:cs="PMingLiU" w:eastAsia="PMingLiU" w:hAnsi="PMingLiU"/>
          <w:sz w:val="13"/>
          <w:szCs w:val="13"/>
          <w:color w:val="FFFFFF"/>
        </w:rPr>
        <w:t/>
      </w:r>
      <w:r>
        <w:rPr>
          <w:rFonts w:ascii="Arial" w:cs="Arial" w:eastAsia="Arial" w:hAnsi="Arial"/>
          <w:sz w:val="13"/>
          <w:szCs w:val="13"/>
          <w:color w:val="FFFFFF"/>
        </w:rPr>
        <w:t>//3</w:t>
      </w:r>
      <w:r>
        <w:rPr>
          <w:rFonts w:ascii="PMingLiU" w:cs="PMingLiU" w:eastAsia="PMingLiU" w:hAnsi="PMingLiU"/>
          <w:sz w:val="13"/>
          <w:szCs w:val="13"/>
          <w:color w:val="FFFFFF"/>
        </w:rPr>
        <w:t/>
      </w:r>
      <w:r>
        <w:rPr>
          <w:rFonts w:ascii="Arial" w:cs="Arial" w:eastAsia="Arial" w:hAnsi="Arial"/>
          <w:sz w:val="13"/>
          <w:szCs w:val="13"/>
          <w:color w:val="FFFFFF"/>
        </w:rPr>
        <w:t>VHUYHG</w:t>
      </w:r>
      <w:r>
        <w:rPr>
          <w:rFonts w:ascii="PMingLiU" w:cs="PMingLiU" w:eastAsia="PMingLiU" w:hAnsi="PMingLiU"/>
          <w:sz w:val="13"/>
          <w:szCs w:val="13"/>
          <w:color w:val="FFFFFF"/>
        </w:rPr>
        <w:t/>
      </w:r>
      <w:r>
        <w:rPr>
          <w:rFonts w:ascii="Arial" w:cs="Arial" w:eastAsia="Arial" w:hAnsi="Arial"/>
          <w:sz w:val="13"/>
          <w:szCs w:val="13"/>
          <w:color w:val="FFFFFF"/>
        </w:rPr>
        <w:t>DV</w:t>
      </w:r>
      <w:r>
        <w:rPr>
          <w:rFonts w:ascii="PMingLiU" w:cs="PMingLiU" w:eastAsia="PMingLiU" w:hAnsi="PMingLiU"/>
          <w:sz w:val="13"/>
          <w:szCs w:val="13"/>
          <w:color w:val="FFFFFF"/>
        </w:rPr>
        <w:t/>
      </w:r>
      <w:r>
        <w:rPr>
          <w:rFonts w:ascii="Arial" w:cs="Arial" w:eastAsia="Arial" w:hAnsi="Arial"/>
          <w:sz w:val="13"/>
          <w:szCs w:val="13"/>
          <w:color w:val="FFFFFF"/>
        </w:rPr>
        <w:t>WKH</w:t>
      </w:r>
      <w:r>
        <w:rPr>
          <w:rFonts w:ascii="PMingLiU" w:cs="PMingLiU" w:eastAsia="PMingLiU" w:hAnsi="PMingLiU"/>
          <w:sz w:val="13"/>
          <w:szCs w:val="13"/>
          <w:color w:val="FFFFFF"/>
        </w:rPr>
        <w:t/>
      </w:r>
      <w:r>
        <w:rPr>
          <w:rFonts w:ascii="Arial" w:cs="Arial" w:eastAsia="Arial" w:hAnsi="Arial"/>
          <w:sz w:val="13"/>
          <w:szCs w:val="13"/>
          <w:color w:val="FFFFFF"/>
        </w:rPr>
        <w:t>&amp;RPSDQ\­V</w:t>
      </w:r>
      <w:r>
        <w:rPr>
          <w:rFonts w:ascii="PMingLiU" w:cs="PMingLiU" w:eastAsia="PMingLiU" w:hAnsi="PMingLiU"/>
          <w:sz w:val="13"/>
          <w:szCs w:val="13"/>
          <w:color w:val="FFFFFF"/>
        </w:rPr>
        <w:t/>
      </w:r>
      <w:r>
        <w:rPr>
          <w:rFonts w:ascii="Arial" w:cs="Arial" w:eastAsia="Arial" w:hAnsi="Arial"/>
          <w:sz w:val="13"/>
          <w:szCs w:val="13"/>
          <w:color w:val="FFFFFF"/>
        </w:rPr>
        <w:t>LQGHSHQGHQW</w:t>
      </w:r>
      <w:r>
        <w:rPr>
          <w:rFonts w:ascii="PMingLiU" w:cs="PMingLiU" w:eastAsia="PMingLiU" w:hAnsi="PMingLiU"/>
          <w:sz w:val="13"/>
          <w:szCs w:val="13"/>
          <w:color w:val="FFFFFF"/>
        </w:rPr>
        <w:t/>
      </w:r>
      <w:r>
        <w:rPr>
          <w:rFonts w:ascii="Arial" w:cs="Arial" w:eastAsia="Arial" w:hAnsi="Arial"/>
          <w:sz w:val="13"/>
          <w:szCs w:val="13"/>
          <w:color w:val="FFFFFF"/>
        </w:rPr>
        <w:t>UHJLVWHUHG</w:t>
      </w:r>
      <w:r>
        <w:rPr>
          <w:rFonts w:ascii="PMingLiU" w:cs="PMingLiU" w:eastAsia="PMingLiU" w:hAnsi="PMingLiU"/>
          <w:sz w:val="13"/>
          <w:szCs w:val="13"/>
          <w:color w:val="FFFFFF"/>
        </w:rPr>
        <w:t/>
      </w:r>
      <w:r>
        <w:rPr>
          <w:rFonts w:ascii="Arial" w:cs="Arial" w:eastAsia="Arial" w:hAnsi="Arial"/>
          <w:sz w:val="13"/>
          <w:szCs w:val="13"/>
          <w:color w:val="FFFFFF"/>
        </w:rPr>
        <w:t>SXEOLF</w:t>
      </w:r>
      <w:r>
        <w:rPr>
          <w:rFonts w:ascii="PMingLiU" w:cs="PMingLiU" w:eastAsia="PMingLiU" w:hAnsi="PMingLiU"/>
          <w:sz w:val="13"/>
          <w:szCs w:val="13"/>
          <w:color w:val="FFFFFF"/>
        </w:rPr>
        <w:t/>
      </w:r>
      <w:r>
        <w:rPr>
          <w:rFonts w:ascii="Arial" w:cs="Arial" w:eastAsia="Arial" w:hAnsi="Arial"/>
          <w:sz w:val="13"/>
          <w:szCs w:val="13"/>
          <w:color w:val="FFFFFF"/>
        </w:rPr>
        <w:t>DFFRXQWLQJ</w:t>
      </w:r>
      <w:r>
        <w:rPr>
          <w:rFonts w:ascii="PMingLiU" w:cs="PMingLiU" w:eastAsia="PMingLiU" w:hAnsi="PMingLiU"/>
          <w:sz w:val="13"/>
          <w:szCs w:val="13"/>
          <w:color w:val="FFFFFF"/>
        </w:rPr>
        <w:t/>
      </w:r>
      <w:r>
        <w:rPr>
          <w:rFonts w:ascii="Arial" w:cs="Arial" w:eastAsia="Arial" w:hAnsi="Arial"/>
          <w:sz w:val="13"/>
          <w:szCs w:val="13"/>
          <w:color w:val="FFFFFF"/>
        </w:rPr>
        <w:t>´UP</w:t>
      </w:r>
      <w:r>
        <w:rPr>
          <w:rFonts w:ascii="PMingLiU" w:cs="PMingLiU" w:eastAsia="PMingLiU" w:hAnsi="PMingLiU"/>
          <w:sz w:val="13"/>
          <w:szCs w:val="13"/>
          <w:color w:val="FFFFFF"/>
        </w:rPr>
        <w:t/>
      </w:r>
      <w:r>
        <w:rPr>
          <w:rFonts w:ascii="Arial" w:cs="Arial" w:eastAsia="Arial" w:hAnsi="Arial"/>
          <w:sz w:val="13"/>
          <w:szCs w:val="13"/>
          <w:color w:val="FFFFFF"/>
        </w:rPr>
        <w:t>IRU</w:t>
      </w:r>
      <w:r>
        <w:rPr>
          <w:rFonts w:ascii="PMingLiU" w:cs="PMingLiU" w:eastAsia="PMingLiU" w:hAnsi="PMingLiU"/>
          <w:sz w:val="13"/>
          <w:szCs w:val="13"/>
          <w:color w:val="FFFFFF"/>
        </w:rPr>
        <w:t/>
      </w:r>
      <w:r>
        <w:rPr>
          <w:rFonts w:ascii="Arial" w:cs="Arial" w:eastAsia="Arial" w:hAnsi="Arial"/>
          <w:sz w:val="13"/>
          <w:szCs w:val="13"/>
          <w:color w:val="FFFFFF"/>
        </w:rPr>
        <w:t>WKH</w:t>
      </w:r>
      <w:r>
        <w:rPr>
          <w:rFonts w:ascii="PMingLiU" w:cs="PMingLiU" w:eastAsia="PMingLiU" w:hAnsi="PMingLiU"/>
          <w:sz w:val="13"/>
          <w:szCs w:val="13"/>
          <w:color w:val="FFFFFF"/>
        </w:rPr>
        <w:t/>
      </w:r>
      <w:r>
        <w:rPr>
          <w:rFonts w:ascii="Arial" w:cs="Arial" w:eastAsia="Arial" w:hAnsi="Arial"/>
          <w:sz w:val="13"/>
          <w:szCs w:val="13"/>
          <w:color w:val="FFFFFF"/>
        </w:rPr>
        <w:t>\HDU</w:t>
      </w:r>
      <w:r>
        <w:rPr>
          <w:rFonts w:ascii="PMingLiU" w:cs="PMingLiU" w:eastAsia="PMingLiU" w:hAnsi="PMingLiU"/>
          <w:sz w:val="13"/>
          <w:szCs w:val="13"/>
          <w:color w:val="FFFFFF"/>
        </w:rPr>
        <w:t/>
      </w:r>
      <w:r>
        <w:rPr>
          <w:rFonts w:ascii="Arial" w:cs="Arial" w:eastAsia="Arial" w:hAnsi="Arial"/>
          <w:sz w:val="13"/>
          <w:szCs w:val="13"/>
          <w:color w:val="FFFFFF"/>
        </w:rPr>
        <w:t>HQGHG</w:t>
      </w:r>
      <w:r>
        <w:rPr>
          <w:rFonts w:ascii="PMingLiU" w:cs="PMingLiU" w:eastAsia="PMingLiU" w:hAnsi="PMingLiU"/>
          <w:sz w:val="13"/>
          <w:szCs w:val="13"/>
          <w:color w:val="FFFFFF"/>
        </w:rPr>
        <w:t/>
      </w:r>
      <w:r>
        <w:rPr>
          <w:rFonts w:ascii="Arial" w:cs="Arial" w:eastAsia="Arial" w:hAnsi="Arial"/>
          <w:sz w:val="13"/>
          <w:szCs w:val="13"/>
          <w:color w:val="FFFFFF"/>
        </w:rPr>
        <w:t>'HFHPEHU</w:t>
      </w:r>
      <w:r>
        <w:rPr>
          <w:rFonts w:ascii="PMingLiU" w:cs="PMingLiU" w:eastAsia="PMingLiU" w:hAnsi="PMingLiU"/>
          <w:sz w:val="13"/>
          <w:szCs w:val="13"/>
          <w:color w:val="FFFFFF"/>
        </w:rPr>
        <w:t/>
      </w:r>
      <w:r>
        <w:rPr>
          <w:rFonts w:ascii="Arial" w:cs="Arial" w:eastAsia="Arial" w:hAnsi="Arial"/>
          <w:sz w:val="13"/>
          <w:szCs w:val="13"/>
          <w:color w:val="FFFFFF"/>
        </w:rPr>
        <w:t xml:space="preserve"> (5) On December 4, 2025, the Company appointed Deloitte &amp; Touche LLP as the Company’s new independent registered public accounting ´UP</w:t>
      </w:r>
      <w:r>
        <w:rPr>
          <w:rFonts w:ascii="PMingLiU" w:cs="PMingLiU" w:eastAsia="PMingLiU" w:hAnsi="PMingLiU"/>
          <w:sz w:val="13"/>
          <w:szCs w:val="13"/>
          <w:color w:val="FFFFFF"/>
        </w:rPr>
        <w:t/>
      </w:r>
      <w:r>
        <w:rPr>
          <w:rFonts w:ascii="Arial" w:cs="Arial" w:eastAsia="Arial" w:hAnsi="Arial"/>
          <w:sz w:val="13"/>
          <w:szCs w:val="13"/>
          <w:color w:val="FFFFFF"/>
        </w:rPr>
        <w:t>IRU</w:t>
      </w:r>
      <w:r>
        <w:rPr>
          <w:rFonts w:ascii="PMingLiU" w:cs="PMingLiU" w:eastAsia="PMingLiU" w:hAnsi="PMingLiU"/>
          <w:sz w:val="13"/>
          <w:szCs w:val="13"/>
          <w:color w:val="FFFFFF"/>
        </w:rPr>
        <w:t/>
      </w:r>
      <w:r>
        <w:rPr>
          <w:rFonts w:ascii="Arial" w:cs="Arial" w:eastAsia="Arial" w:hAnsi="Arial"/>
          <w:sz w:val="13"/>
          <w:szCs w:val="13"/>
          <w:color w:val="FFFFFF"/>
        </w:rPr>
        <w:t>WKH</w:t>
      </w:r>
      <w:r>
        <w:rPr>
          <w:rFonts w:ascii="PMingLiU" w:cs="PMingLiU" w:eastAsia="PMingLiU" w:hAnsi="PMingLiU"/>
          <w:sz w:val="13"/>
          <w:szCs w:val="13"/>
          <w:color w:val="FFFFFF"/>
        </w:rPr>
        <w:t/>
      </w:r>
      <w:r>
        <w:rPr>
          <w:rFonts w:ascii="Arial" w:cs="Arial" w:eastAsia="Arial" w:hAnsi="Arial"/>
          <w:sz w:val="13"/>
          <w:szCs w:val="13"/>
          <w:color w:val="FFFFFF"/>
        </w:rPr>
        <w:t>&amp;RPSDQ\­V</w:t>
      </w:r>
      <w:r>
        <w:rPr>
          <w:rFonts w:ascii="PMingLiU" w:cs="PMingLiU" w:eastAsia="PMingLiU" w:hAnsi="PMingLiU"/>
          <w:sz w:val="13"/>
          <w:szCs w:val="13"/>
          <w:color w:val="FFFFFF"/>
        </w:rPr>
        <w:t/>
      </w:r>
      <w:r>
        <w:rPr>
          <w:rFonts w:ascii="Arial" w:cs="Arial" w:eastAsia="Arial" w:hAnsi="Arial"/>
          <w:sz w:val="13"/>
          <w:szCs w:val="13"/>
          <w:color w:val="FFFFFF"/>
        </w:rPr>
        <w:t>´UVW</w:t>
      </w:r>
      <w:r>
        <w:rPr>
          <w:rFonts w:ascii="PMingLiU" w:cs="PMingLiU" w:eastAsia="PMingLiU" w:hAnsi="PMingLiU"/>
          <w:sz w:val="13"/>
          <w:szCs w:val="13"/>
          <w:color w:val="FFFFFF"/>
        </w:rPr>
        <w:t/>
      </w:r>
      <w:r>
        <w:rPr>
          <w:rFonts w:ascii="Arial" w:cs="Arial" w:eastAsia="Arial" w:hAnsi="Arial"/>
          <w:sz w:val="13"/>
          <w:szCs w:val="13"/>
          <w:color w:val="FFFFFF"/>
        </w:rPr>
        <w:t>TXDUWHU</w:t>
      </w:r>
      <w:r>
        <w:rPr>
          <w:rFonts w:ascii="PMingLiU" w:cs="PMingLiU" w:eastAsia="PMingLiU" w:hAnsi="PMingLiU"/>
          <w:sz w:val="13"/>
          <w:szCs w:val="13"/>
          <w:color w:val="FFFFFF"/>
        </w:rPr>
        <w:t/>
      </w:r>
      <w:r>
        <w:rPr>
          <w:rFonts w:ascii="Arial" w:cs="Arial" w:eastAsia="Arial" w:hAnsi="Arial"/>
          <w:sz w:val="13"/>
          <w:szCs w:val="13"/>
          <w:color w:val="FFFFFF"/>
        </w:rPr>
        <w:t>HQGLQJ</w:t>
      </w:r>
      <w:r>
        <w:rPr>
          <w:rFonts w:ascii="PMingLiU" w:cs="PMingLiU" w:eastAsia="PMingLiU" w:hAnsi="PMingLiU"/>
          <w:sz w:val="13"/>
          <w:szCs w:val="13"/>
          <w:color w:val="FFFFFF"/>
        </w:rPr>
        <w:t/>
      </w:r>
      <w:r>
        <w:rPr>
          <w:rFonts w:ascii="Arial" w:cs="Arial" w:eastAsia="Arial" w:hAnsi="Arial"/>
          <w:sz w:val="13"/>
          <w:szCs w:val="13"/>
          <w:color w:val="FFFFFF"/>
        </w:rPr>
        <w:t>0DUFK</w:t>
      </w:r>
      <w:r>
        <w:rPr>
          <w:rFonts w:ascii="PMingLiU" w:cs="PMingLiU" w:eastAsia="PMingLiU" w:hAnsi="PMingLiU"/>
          <w:sz w:val="13"/>
          <w:szCs w:val="13"/>
          <w:color w:val="FFFFFF"/>
        </w:rPr>
        <w:t/>
      </w:r>
      <w:r>
        <w:rPr>
          <w:rFonts w:ascii="Arial" w:cs="Arial" w:eastAsia="Arial" w:hAnsi="Arial"/>
          <w:sz w:val="13"/>
          <w:szCs w:val="13"/>
          <w:color w:val="FFFFFF"/>
        </w:rPr>
        <w:t>DQG</w:t>
      </w:r>
      <w:r>
        <w:rPr>
          <w:rFonts w:ascii="PMingLiU" w:cs="PMingLiU" w:eastAsia="PMingLiU" w:hAnsi="PMingLiU"/>
          <w:sz w:val="13"/>
          <w:szCs w:val="13"/>
          <w:color w:val="FFFFFF"/>
        </w:rPr>
        <w:t/>
      </w:r>
      <w:r>
        <w:rPr>
          <w:rFonts w:ascii="Arial" w:cs="Arial" w:eastAsia="Arial" w:hAnsi="Arial"/>
          <w:sz w:val="13"/>
          <w:szCs w:val="13"/>
          <w:color w:val="FFFFFF"/>
        </w:rPr>
        <w:t>LWV</w:t>
      </w:r>
      <w:r>
        <w:rPr>
          <w:rFonts w:ascii="PMingLiU" w:cs="PMingLiU" w:eastAsia="PMingLiU" w:hAnsi="PMingLiU"/>
          <w:sz w:val="13"/>
          <w:szCs w:val="13"/>
          <w:color w:val="FFFFFF"/>
        </w:rPr>
        <w:t/>
      </w:r>
      <w:r>
        <w:rPr>
          <w:rFonts w:ascii="Arial" w:cs="Arial" w:eastAsia="Arial" w:hAnsi="Arial"/>
          <w:sz w:val="13"/>
          <w:szCs w:val="13"/>
          <w:color w:val="FFFFFF"/>
        </w:rPr>
        <w:t>´VFDO</w:t>
      </w:r>
      <w:r>
        <w:rPr>
          <w:rFonts w:ascii="PMingLiU" w:cs="PMingLiU" w:eastAsia="PMingLiU" w:hAnsi="PMingLiU"/>
          <w:sz w:val="13"/>
          <w:szCs w:val="13"/>
          <w:color w:val="FFFFFF"/>
        </w:rPr>
        <w:t/>
      </w:r>
      <w:r>
        <w:rPr>
          <w:rFonts w:ascii="Arial" w:cs="Arial" w:eastAsia="Arial" w:hAnsi="Arial"/>
          <w:sz w:val="13"/>
          <w:szCs w:val="13"/>
          <w:color w:val="FFFFFF"/>
        </w:rPr>
        <w:t>\HDU</w:t>
      </w:r>
      <w:r>
        <w:rPr>
          <w:rFonts w:ascii="PMingLiU" w:cs="PMingLiU" w:eastAsia="PMingLiU" w:hAnsi="PMingLiU"/>
          <w:sz w:val="13"/>
          <w:szCs w:val="13"/>
          <w:color w:val="FFFFFF"/>
        </w:rPr>
        <w:t/>
      </w:r>
      <w:r>
        <w:rPr>
          <w:rFonts w:ascii="Arial" w:cs="Arial" w:eastAsia="Arial" w:hAnsi="Arial"/>
          <w:sz w:val="13"/>
          <w:szCs w:val="13"/>
          <w:color w:val="FFFFFF"/>
        </w:rPr>
        <w:t>HQGHG</w:t>
      </w:r>
      <w:r>
        <w:rPr>
          <w:rFonts w:ascii="PMingLiU" w:cs="PMingLiU" w:eastAsia="PMingLiU" w:hAnsi="PMingLiU"/>
          <w:sz w:val="13"/>
          <w:szCs w:val="13"/>
          <w:color w:val="FFFFFF"/>
        </w:rPr>
        <w:t/>
      </w:r>
      <w:r>
        <w:rPr>
          <w:rFonts w:ascii="Arial" w:cs="Arial" w:eastAsia="Arial" w:hAnsi="Arial"/>
          <w:sz w:val="13"/>
          <w:szCs w:val="13"/>
          <w:color w:val="FFFFFF"/>
        </w:rPr>
        <w:t>'HFHPEHU</w:t>
      </w:r>
      <w:r>
        <w:rPr>
          <w:rFonts w:ascii="PMingLiU" w:cs="PMingLiU" w:eastAsia="PMingLiU" w:hAnsi="PMingLiU"/>
          <w:sz w:val="13"/>
          <w:szCs w:val="13"/>
          <w:color w:val="FFFFFF"/>
        </w:rPr>
        <w:t> </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FFFFFF"/>
        </w:rPr>
        <w:t/>
      </w:r>
    </w:p>
    <w:p>
      <w:pPr>
        <w:sectPr>
          <w:pgSz w:w="12240" w:h="15840" w:orient="portrait"/>
          <w:cols w:equalWidth="0" w:num="2">
            <w:col w:w="9500" w:space="180"/>
            <w:col w:w="40"/>
          </w:cols>
          <w:pgMar w:left="1440" w:top="1440" w:right="1080" w:bottom="705" w:gutter="0" w:footer="0" w:header="0"/>
          <w:type w:val="continuous"/>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44450</wp:posOffset>
            </wp:positionH>
            <wp:positionV relativeFrom="page">
              <wp:posOffset>101600</wp:posOffset>
            </wp:positionV>
            <wp:extent cx="7683500" cy="98425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1">
                      <a:extLst>
                        <a:ext uri="{28A0092B-C50C-407E-A947-70E740481C1C}"/>
                      </a:extLst>
                    </a:blip>
                    <a:srcRect/>
                    <a:stretch>
                      <a:fillRect/>
                    </a:stretch>
                  </pic:blipFill>
                  <pic:spPr bwMode="auto">
                    <a:xfrm>
                      <a:off x="0" y="0"/>
                      <a:ext cx="7683500" cy="984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FFFFFF"/>
        </w:rPr>
        <w:t>Bel Fuse Inc.</w:t>
      </w:r>
    </w:p>
    <w:p>
      <w:pPr>
        <w:spacing w:after="0" w:line="3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FFFFFF"/>
        </w:rPr>
        <w:t>300 Executive Drive</w:t>
      </w:r>
    </w:p>
    <w:p>
      <w:pPr>
        <w:spacing w:after="0" w:line="3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FFFFFF"/>
        </w:rPr>
        <w:t>Suite 300</w:t>
      </w:r>
    </w:p>
    <w:p>
      <w:pPr>
        <w:spacing w:after="0" w:line="3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FFFFFF"/>
        </w:rPr>
        <w:t>West Orange, NJ 07052 USA</w:t>
      </w:r>
    </w:p>
    <w:p>
      <w:pPr>
        <w:spacing w:after="0" w:line="36" w:lineRule="exact"/>
        <w:rPr>
          <w:sz w:val="20"/>
          <w:szCs w:val="20"/>
          <w:color w:val="auto"/>
        </w:rPr>
      </w:pPr>
    </w:p>
    <w:p>
      <w:pPr>
        <w:ind w:left="4180"/>
        <w:spacing w:after="0"/>
        <w:rPr>
          <w:sz w:val="20"/>
          <w:szCs w:val="20"/>
          <w:color w:val="auto"/>
        </w:rPr>
      </w:pPr>
      <w:r>
        <w:rPr>
          <w:rFonts w:ascii="Arial" w:cs="Arial" w:eastAsia="Arial" w:hAnsi="Arial"/>
          <w:sz w:val="16"/>
          <w:szCs w:val="16"/>
          <w:color w:val="FFFFFF"/>
        </w:rPr>
        <w:t>Tel: 201.432.0463</w:t>
      </w:r>
    </w:p>
    <w:p>
      <w:pPr>
        <w:spacing w:after="0" w:line="36" w:lineRule="exact"/>
        <w:rPr>
          <w:sz w:val="20"/>
          <w:szCs w:val="20"/>
          <w:color w:val="auto"/>
        </w:rPr>
      </w:pPr>
    </w:p>
    <w:p>
      <w:pPr>
        <w:ind w:left="4180"/>
        <w:spacing w:after="0"/>
        <w:rPr>
          <w:sz w:val="20"/>
          <w:szCs w:val="20"/>
          <w:color w:val="auto"/>
        </w:rPr>
      </w:pPr>
      <w:r>
        <w:rPr>
          <w:rFonts w:ascii="Arial" w:cs="Arial" w:eastAsia="Arial" w:hAnsi="Arial"/>
          <w:sz w:val="16"/>
          <w:szCs w:val="16"/>
          <w:color w:val="FFFFFF"/>
        </w:rPr>
        <w:t>www.belfuse.com</w:t>
      </w:r>
    </w:p>
    <w:sectPr>
      <w:pgSz w:w="12240" w:h="15840" w:orient="portrait"/>
      <w:cols w:equalWidth="0" w:num="1">
        <w:col w:w="9360"/>
      </w:cols>
      <w:pgMar w:left="1440" w:top="1440" w:right="1440" w:bottom="4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lvl w:ilvl="1">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2"/>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Letter"/>
      <w:start w:val="4"/>
    </w:lvl>
  </w:abstractNum>
  <w:abstractNum w:abstractNumId="23">
    <w:nsid w:val="419AC241"/>
    <w:multiLevelType w:val="hybridMultilevel"/>
    <w:lvl w:ilvl="0">
      <w:lvlJc w:val="left"/>
      <w:lvlText w:val="(%1)"/>
      <w:numFmt w:val="lowerLetter"/>
      <w:start w:val="6"/>
    </w:lvl>
  </w:abstractNum>
  <w:abstractNum w:abstractNumId="24">
    <w:nsid w:val="5577F8E1"/>
    <w:multiLevelType w:val="hybridMultilevel"/>
    <w:lvl w:ilvl="0">
      <w:lvlJc w:val="left"/>
      <w:lvlText w:val="(%1)"/>
      <w:numFmt w:val="lowerLetter"/>
      <w:start w:val="7"/>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5"/>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9"/>
    </w:lvl>
  </w:abstractNum>
  <w:abstractNum w:abstractNumId="30">
    <w:nsid w:val="5C482A97"/>
    <w:multiLevelType w:val="hybridMultilevel"/>
    <w:lvl w:ilvl="0">
      <w:lvlJc w:val="left"/>
      <w:lvlText w:val="%1."/>
      <w:numFmt w:val="decimal"/>
      <w:start w:val="10"/>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3"/>
    </w:lvl>
  </w:abstractNum>
  <w:abstractNum w:abstractNumId="33">
    <w:nsid w:val="51EAD36B"/>
    <w:multiLevelType w:val="hybridMultilevel"/>
    <w:lvl w:ilvl="0">
      <w:lvlJc w:val="left"/>
      <w:lvlText w:val="%1."/>
      <w:numFmt w:val="decimal"/>
      <w:start w:val="19"/>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Letter"/>
      <w:start w:val="1"/>
    </w:lvl>
    <w:lvl w:ilvl="1">
      <w:lvlJc w:val="left"/>
      <w:lvlText w:val="(%2)"/>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2026-04-10T19:31:04Z</dcterms:created>
  <dcterms:modified xsi:type="dcterms:W3CDTF">2026-04-10T19:31:04Z</dcterms:modified>
</cp:coreProperties>
</file>