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Bel Fuse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138,469.00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138,469.00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138,469.00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 Suite 300, West Orange, NJ 07052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Class A common stock, par value $0.10 per share ("Class A Common Stock") of Bel Fuse Inc., a New Jersey corporation (the "Issuer"), directly held by the Highbridge Funds; The filing of this statement should not be construed as an admission that any of the foregoing persons or the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$0.10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2,115,263 shares of Class A Common Stock outstanding as of January 31, 2026, as reported in the Issuer's Annual Report on Form 10-K for the year ended December 31, 2025, filed with the Securities and Exchange Commission on February 24, 2026.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Highbridge Funds have the right to receive or the power to direct the receipt of dividends from, or the proceeds from the sale of, the shares of Class A Common Stock reported herein. Highbridge Tactical Credit Master Fund, L.P., a Highbridge Fund, has the right to receive or the power to direct the receipt of dividends or the proceeds from the sale of more than 5% of the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Kirk Rule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Kirk Rule, Executive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1208</Words>
  <Characters>6032</Characters>
  <CharactersWithSpaces>7230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