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8" w:lineRule="exact"/>
        <w:rPr>
          <w:sz w:val="24"/>
          <w:szCs w:val="24"/>
          <w:color w:val="auto"/>
        </w:rPr>
      </w:pPr>
    </w:p>
    <w:p>
      <w:pPr>
        <w:ind w:left="560" w:right="1700" w:hanging="552"/>
        <w:spacing w:after="0" w:line="263" w:lineRule="auto"/>
        <w:tabs>
          <w:tab w:leader="none" w:pos="5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June 30, 2017</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4"/>
          <w:szCs w:val="24"/>
          <w:color w:val="auto"/>
        </w:rPr>
      </w:pPr>
    </w:p>
    <w:p>
      <w:pPr>
        <w:ind w:left="560" w:right="1700" w:hanging="552"/>
        <w:spacing w:after="0" w:line="261" w:lineRule="auto"/>
        <w:tabs>
          <w:tab w:leader="none" w:pos="24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0-11676</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BEL FUSE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206 Van Vorst Street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Jersey City, NJ 07302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(201) 432-0463</w:t>
      </w:r>
    </w:p>
    <w:p>
      <w:pPr>
        <w:spacing w:after="0" w:line="23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3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NEW JERSEY</w:t>
            </w:r>
          </w:p>
        </w:tc>
        <w:tc>
          <w:tcPr>
            <w:tcW w:w="1000" w:type="dxa"/>
            <w:vAlign w:val="bottom"/>
          </w:tcPr>
          <w:p>
            <w:pPr>
              <w:spacing w:after="0"/>
              <w:rPr>
                <w:sz w:val="20"/>
                <w:szCs w:val="20"/>
                <w:color w:val="auto"/>
              </w:rPr>
            </w:pPr>
          </w:p>
        </w:tc>
        <w:tc>
          <w:tcPr>
            <w:tcW w:w="22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22-1463699</w:t>
            </w: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2300" w:type="dxa"/>
            <w:vAlign w:val="bottom"/>
          </w:tcPr>
          <w:p>
            <w:pPr>
              <w:spacing w:after="0"/>
              <w:rPr>
                <w:sz w:val="20"/>
                <w:szCs w:val="20"/>
                <w:color w:val="auto"/>
              </w:rPr>
            </w:pPr>
          </w:p>
        </w:tc>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of incorporation)</w:t>
            </w:r>
          </w:p>
        </w:tc>
        <w:tc>
          <w:tcPr>
            <w:tcW w:w="400" w:type="dxa"/>
            <w:vAlign w:val="bottom"/>
          </w:tcPr>
          <w:p>
            <w:pPr>
              <w:spacing w:after="0"/>
              <w:rPr>
                <w:sz w:val="20"/>
                <w:szCs w:val="20"/>
                <w:color w:val="auto"/>
              </w:rPr>
            </w:pPr>
          </w:p>
        </w:tc>
        <w:tc>
          <w:tcPr>
            <w:tcW w:w="3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66"/>
        </w:trPr>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Exchange Act of 1934 during the preceding 12 months (or for such shorter period that the registrant was required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file such reports), and (2) has been subject to such filing requirements for the past 90 days.</w:t>
            </w:r>
          </w:p>
        </w:tc>
        <w:tc>
          <w:tcPr>
            <w:tcW w:w="2240" w:type="dxa"/>
            <w:vAlign w:val="bottom"/>
          </w:tcPr>
          <w:p>
            <w:pPr>
              <w:spacing w:after="0"/>
              <w:rPr>
                <w:sz w:val="20"/>
                <w:szCs w:val="20"/>
                <w:color w:val="auto"/>
              </w:rPr>
            </w:pPr>
          </w:p>
        </w:tc>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Yes [X]</w:t>
            </w: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every Interactive Data File required to be submitted and posted pursuant to Rule 405 of Regulation S-T (§232.405 of this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chapter) during the preceding 12 months (or for such shorter period that the registrant was required to submit and post such</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files).</w:t>
            </w:r>
          </w:p>
        </w:tc>
        <w:tc>
          <w:tcPr>
            <w:tcW w:w="10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Yes [X]</w:t>
            </w: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203" w:lineRule="exact"/>
        <w:rPr>
          <w:sz w:val="24"/>
          <w:szCs w:val="24"/>
          <w:color w:val="auto"/>
        </w:rPr>
      </w:pPr>
    </w:p>
    <w:p>
      <w:pPr>
        <w:ind w:left="580" w:right="20" w:hanging="312"/>
        <w:spacing w:after="0" w:line="313" w:lineRule="auto"/>
        <w:rPr>
          <w:sz w:val="20"/>
          <w:szCs w:val="20"/>
          <w:color w:val="auto"/>
        </w:rPr>
      </w:pPr>
      <w:r>
        <w:rPr>
          <w:rFonts w:ascii="Times New Roman" w:cs="Times New Roman" w:eastAsia="Times New Roman" w:hAnsi="Times New Roman"/>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w:t>
      </w:r>
    </w:p>
    <w:p>
      <w:pPr>
        <w:spacing w:after="0" w:line="2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filer [X]</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Non-accelerated filer [</w:t>
        <w:tab/>
        <w: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w:t>
      </w:r>
    </w:p>
    <w:p>
      <w:pPr>
        <w:spacing w:after="0" w:line="27" w:lineRule="exact"/>
        <w:rPr>
          <w:sz w:val="24"/>
          <w:szCs w:val="24"/>
          <w:color w:val="auto"/>
        </w:rPr>
      </w:pPr>
    </w:p>
    <w:p>
      <w:pPr>
        <w:ind w:left="160"/>
        <w:spacing w:after="0"/>
        <w:tabs>
          <w:tab w:leader="none" w:pos="1080" w:val="left"/>
        </w:tabs>
        <w:rPr>
          <w:sz w:val="20"/>
          <w:szCs w:val="20"/>
          <w:color w:val="auto"/>
        </w:rPr>
      </w:pPr>
      <w:r>
        <w:rPr>
          <w:rFonts w:ascii="Times New Roman" w:cs="Times New Roman" w:eastAsia="Times New Roman" w:hAnsi="Times New Roman"/>
          <w:sz w:val="18"/>
          <w:szCs w:val="18"/>
          <w:color w:val="auto"/>
        </w:rPr>
        <w:t>company [</w:t>
        <w:tab/>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Emerging growth</w:t>
      </w:r>
    </w:p>
    <w:p>
      <w:pPr>
        <w:spacing w:after="0" w:line="39" w:lineRule="exact"/>
        <w:rPr>
          <w:sz w:val="24"/>
          <w:szCs w:val="24"/>
          <w:color w:val="auto"/>
        </w:rPr>
      </w:pPr>
    </w:p>
    <w:p>
      <w:pPr>
        <w:jc w:val="center"/>
        <w:ind w:right="340"/>
        <w:spacing w:after="0"/>
        <w:tabs>
          <w:tab w:leader="none" w:pos="160" w:val="left"/>
        </w:tabs>
        <w:rPr>
          <w:sz w:val="20"/>
          <w:szCs w:val="20"/>
          <w:color w:val="auto"/>
        </w:rPr>
      </w:pPr>
      <w:r>
        <w:rPr>
          <w:rFonts w:ascii="Times New Roman" w:cs="Times New Roman" w:eastAsia="Times New Roman" w:hAnsi="Times New Roman"/>
          <w:sz w:val="18"/>
          <w:szCs w:val="18"/>
          <w:color w:val="auto"/>
        </w:rPr>
        <w:t>company [</w:t>
        <w:tab/>
        <w:t>]</w:t>
      </w:r>
    </w:p>
    <w:p>
      <w:pPr>
        <w:spacing w:after="0" w:line="206" w:lineRule="exact"/>
        <w:rPr>
          <w:sz w:val="24"/>
          <w:szCs w:val="24"/>
          <w:color w:val="auto"/>
        </w:rPr>
      </w:pPr>
    </w:p>
    <w:p>
      <w:pPr>
        <w:sectPr>
          <w:pgSz w:w="11900" w:h="16838" w:orient="portrait"/>
          <w:cols w:equalWidth="0" w:num="5">
            <w:col w:w="1560" w:space="720"/>
            <w:col w:w="860" w:space="640"/>
            <w:col w:w="3340" w:space="540"/>
            <w:col w:w="1460" w:space="720"/>
            <w:col w:w="1580"/>
          </w:cols>
          <w:pgMar w:left="240" w:top="225" w:right="239" w:bottom="1440" w:gutter="0" w:footer="0" w:header="0"/>
          <w:type w:val="continuous"/>
        </w:sectPr>
      </w:pPr>
    </w:p>
    <w:p>
      <w:pPr>
        <w:ind w:right="2180"/>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01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9" w:lineRule="exact"/>
        <w:rPr>
          <w:sz w:val="24"/>
          <w:szCs w:val="24"/>
          <w:color w:val="auto"/>
        </w:rPr>
      </w:pPr>
    </w:p>
    <w:p>
      <w:pPr>
        <w:jc w:val="right"/>
        <w:spacing w:after="0"/>
        <w:tabs>
          <w:tab w:leader="none" w:pos="50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[X]</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Number of Shares of Common Stock</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Outstanding</w:t>
            </w:r>
          </w:p>
        </w:tc>
        <w:tc>
          <w:tcPr>
            <w:tcW w:w="2280" w:type="dxa"/>
            <w:vAlign w:val="bottom"/>
          </w:tcPr>
          <w:p>
            <w:pPr>
              <w:spacing w:after="0"/>
              <w:rPr>
                <w:sz w:val="18"/>
                <w:szCs w:val="18"/>
                <w:color w:val="auto"/>
              </w:rPr>
            </w:pPr>
          </w:p>
        </w:tc>
      </w:tr>
      <w:tr>
        <w:trPr>
          <w:trHeight w:val="243"/>
        </w:trPr>
        <w:tc>
          <w:tcPr>
            <w:tcW w:w="2300" w:type="dxa"/>
            <w:vAlign w:val="bottom"/>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as of August 1, 2017</w:t>
            </w:r>
          </w:p>
        </w:tc>
        <w:tc>
          <w:tcPr>
            <w:tcW w:w="2280" w:type="dxa"/>
            <w:vAlign w:val="bottom"/>
          </w:tcPr>
          <w:p>
            <w:pPr>
              <w:spacing w:after="0"/>
              <w:rPr>
                <w:sz w:val="21"/>
                <w:szCs w:val="21"/>
                <w:color w:val="auto"/>
              </w:rPr>
            </w:pPr>
          </w:p>
        </w:tc>
      </w:tr>
      <w:tr>
        <w:trPr>
          <w:trHeight w:val="198"/>
        </w:trPr>
        <w:tc>
          <w:tcPr>
            <w:tcW w:w="2300" w:type="dxa"/>
            <w:vAlign w:val="bottom"/>
          </w:tcPr>
          <w:p>
            <w:pPr>
              <w:spacing w:after="0"/>
              <w:rPr>
                <w:sz w:val="17"/>
                <w:szCs w:val="17"/>
                <w:color w:val="auto"/>
              </w:rPr>
            </w:pPr>
          </w:p>
        </w:tc>
        <w:tc>
          <w:tcPr>
            <w:tcW w:w="32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($0.10 par value)</w:t>
            </w:r>
          </w:p>
        </w:tc>
        <w:tc>
          <w:tcPr>
            <w:tcW w:w="400" w:type="dxa"/>
            <w:vAlign w:val="bottom"/>
          </w:tcPr>
          <w:p>
            <w:pPr>
              <w:spacing w:after="0"/>
              <w:rPr>
                <w:sz w:val="17"/>
                <w:szCs w:val="17"/>
                <w:color w:val="auto"/>
              </w:rPr>
            </w:pPr>
          </w:p>
        </w:tc>
        <w:tc>
          <w:tcPr>
            <w:tcW w:w="3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2,174,912</w:t>
            </w:r>
          </w:p>
        </w:tc>
        <w:tc>
          <w:tcPr>
            <w:tcW w:w="2280" w:type="dxa"/>
            <w:vAlign w:val="bottom"/>
          </w:tcPr>
          <w:p>
            <w:pPr>
              <w:spacing w:after="0"/>
              <w:rPr>
                <w:sz w:val="17"/>
                <w:szCs w:val="17"/>
                <w:color w:val="auto"/>
              </w:rPr>
            </w:pPr>
          </w:p>
        </w:tc>
      </w:tr>
      <w:tr>
        <w:trPr>
          <w:trHeight w:val="234"/>
        </w:trPr>
        <w:tc>
          <w:tcPr>
            <w:tcW w:w="2300" w:type="dxa"/>
            <w:vAlign w:val="bottom"/>
          </w:tcPr>
          <w:p>
            <w:pPr>
              <w:spacing w:after="0"/>
              <w:rPr>
                <w:sz w:val="20"/>
                <w:szCs w:val="20"/>
                <w:color w:val="auto"/>
              </w:rPr>
            </w:pPr>
          </w:p>
        </w:tc>
        <w:tc>
          <w:tcPr>
            <w:tcW w:w="3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Class B Common Stock ($0.10 par value)</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9,868,902</w:t>
            </w:r>
          </w:p>
        </w:tc>
        <w:tc>
          <w:tcPr>
            <w:tcW w:w="2280" w:type="dxa"/>
            <w:vAlign w:val="bottom"/>
          </w:tcPr>
          <w:p>
            <w:pPr>
              <w:spacing w:after="0"/>
              <w:rPr>
                <w:sz w:val="20"/>
                <w:szCs w:val="20"/>
                <w:color w:val="auto"/>
              </w:rPr>
            </w:pPr>
          </w:p>
        </w:tc>
      </w:tr>
      <w:tr>
        <w:trPr>
          <w:trHeight w:val="183"/>
        </w:trPr>
        <w:tc>
          <w:tcPr>
            <w:tcW w:w="23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20" w:type="dxa"/>
            <w:vAlign w:val="bottom"/>
            <w:gridSpan w:val="13"/>
          </w:tcPr>
          <w:p>
            <w:pPr>
              <w:jc w:val="center"/>
              <w:ind w:right="2320"/>
              <w:spacing w:after="0"/>
              <w:rPr>
                <w:sz w:val="20"/>
                <w:szCs w:val="20"/>
                <w:color w:val="auto"/>
              </w:rPr>
            </w:pPr>
            <w:r>
              <w:rPr>
                <w:rFonts w:ascii="Times New Roman" w:cs="Times New Roman" w:eastAsia="Times New Roman" w:hAnsi="Times New Roman"/>
                <w:sz w:val="18"/>
                <w:szCs w:val="18"/>
                <w:color w:val="auto"/>
                <w:w w:val="99"/>
              </w:rPr>
              <w:t>BEL FUSE INC.</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80" w:type="dxa"/>
            <w:vAlign w:val="bottom"/>
            <w:gridSpan w:val="11"/>
          </w:tcPr>
          <w:p>
            <w:pPr>
              <w:jc w:val="center"/>
              <w:ind w:right="3040"/>
              <w:spacing w:after="0"/>
              <w:rPr>
                <w:sz w:val="20"/>
                <w:szCs w:val="20"/>
                <w:color w:val="auto"/>
              </w:rPr>
            </w:pPr>
            <w:r>
              <w:rPr>
                <w:rFonts w:ascii="Times New Roman" w:cs="Times New Roman" w:eastAsia="Times New Roman" w:hAnsi="Times New Roman"/>
                <w:sz w:val="18"/>
                <w:szCs w:val="18"/>
                <w:color w:val="auto"/>
                <w:w w:val="99"/>
              </w:rPr>
              <w:t>INDEX</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7020" w:type="dxa"/>
            <w:vAlign w:val="bottom"/>
            <w:gridSpan w:val="21"/>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Information</w:t>
              </w:r>
            </w:hyperlink>
          </w:p>
        </w:tc>
        <w:tc>
          <w:tcPr>
            <w:tcW w:w="23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89"/>
        </w:trPr>
        <w:tc>
          <w:tcPr>
            <w:tcW w:w="2060" w:type="dxa"/>
            <w:vAlign w:val="bottom"/>
            <w:gridSpan w:val="3"/>
            <w:vMerge w:val="continue"/>
          </w:tcPr>
          <w:p>
            <w:pPr>
              <w:spacing w:after="0"/>
              <w:rPr>
                <w:sz w:val="16"/>
                <w:szCs w:val="16"/>
                <w:color w:val="auto"/>
              </w:rPr>
            </w:pPr>
          </w:p>
        </w:tc>
        <w:tc>
          <w:tcPr>
            <w:tcW w:w="7020" w:type="dxa"/>
            <w:vAlign w:val="bottom"/>
            <w:gridSpan w:val="21"/>
            <w:vMerge w:val="continue"/>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Item 1.</w:t>
            </w:r>
          </w:p>
        </w:tc>
        <w:tc>
          <w:tcPr>
            <w:tcW w:w="702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23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as of June 30, 2017</w:t>
              </w:r>
            </w:hyperlink>
          </w:p>
        </w:tc>
        <w:tc>
          <w:tcPr>
            <w:tcW w:w="2640" w:type="dxa"/>
            <w:vAlign w:val="bottom"/>
            <w:gridSpan w:val="6"/>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and December 31, 2016 (unaudited)</w:t>
              </w:r>
            </w:hyperlink>
          </w:p>
        </w:tc>
        <w:tc>
          <w:tcPr>
            <w:tcW w:w="4420" w:type="dxa"/>
            <w:vAlign w:val="bottom"/>
            <w:gridSpan w:val="13"/>
          </w:tcPr>
          <w:p>
            <w:pPr>
              <w:spacing w:after="0"/>
              <w:rPr>
                <w:sz w:val="17"/>
                <w:szCs w:val="17"/>
                <w:color w:val="auto"/>
              </w:rPr>
            </w:pPr>
          </w:p>
        </w:tc>
        <w:tc>
          <w:tcPr>
            <w:tcW w:w="2340" w:type="dxa"/>
            <w:vAlign w:val="bottom"/>
          </w:tcPr>
          <w:p>
            <w:pPr>
              <w:jc w:val="center"/>
              <w:ind w:left="139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20" w:type="dxa"/>
            <w:vAlign w:val="bottom"/>
            <w:gridSpan w:val="21"/>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for the Three</w:t>
              </w:r>
            </w:hyperlink>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and Six Months Ended June 30, 2017 and 2016 (unaudited)</w:t>
              </w:r>
            </w:hyperlink>
          </w:p>
        </w:tc>
        <w:tc>
          <w:tcPr>
            <w:tcW w:w="2380" w:type="dxa"/>
            <w:vAlign w:val="bottom"/>
            <w:gridSpan w:val="4"/>
          </w:tcPr>
          <w:p>
            <w:pPr>
              <w:spacing w:after="0"/>
              <w:rPr>
                <w:sz w:val="17"/>
                <w:szCs w:val="17"/>
                <w:color w:val="auto"/>
              </w:rPr>
            </w:pPr>
          </w:p>
        </w:tc>
        <w:tc>
          <w:tcPr>
            <w:tcW w:w="2340" w:type="dxa"/>
            <w:vAlign w:val="bottom"/>
          </w:tcPr>
          <w:p>
            <w:pPr>
              <w:jc w:val="center"/>
              <w:ind w:left="139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20" w:type="dxa"/>
            <w:vAlign w:val="bottom"/>
            <w:gridSpan w:val="2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(Loss) for</w:t>
              </w:r>
            </w:hyperlink>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the Three and Six Months Ended June 30, 2017 and 2016 (unaudited)</w:t>
              </w:r>
            </w:hyperlink>
          </w:p>
        </w:tc>
        <w:tc>
          <w:tcPr>
            <w:tcW w:w="1680" w:type="dxa"/>
            <w:vAlign w:val="bottom"/>
          </w:tcPr>
          <w:p>
            <w:pPr>
              <w:spacing w:after="0"/>
              <w:rPr>
                <w:sz w:val="17"/>
                <w:szCs w:val="17"/>
                <w:color w:val="auto"/>
              </w:rPr>
            </w:pPr>
          </w:p>
        </w:tc>
        <w:tc>
          <w:tcPr>
            <w:tcW w:w="2340" w:type="dxa"/>
            <w:vAlign w:val="bottom"/>
          </w:tcPr>
          <w:p>
            <w:pPr>
              <w:jc w:val="center"/>
              <w:ind w:left="139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Six</w:t>
              </w:r>
            </w:hyperlink>
          </w:p>
        </w:tc>
        <w:tc>
          <w:tcPr>
            <w:tcW w:w="2020" w:type="dxa"/>
            <w:vAlign w:val="bottom"/>
            <w:gridSpan w:val="2"/>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Months Ended June 30, 2017 and 2016 (unaudited)</w:t>
              </w:r>
            </w:hyperlink>
          </w:p>
        </w:tc>
        <w:tc>
          <w:tcPr>
            <w:tcW w:w="820" w:type="dxa"/>
            <w:vAlign w:val="bottom"/>
            <w:tcBorders>
              <w:top w:val="single" w:sz="8" w:color="0000EE"/>
            </w:tcBorders>
            <w:gridSpan w:val="4"/>
          </w:tcPr>
          <w:p>
            <w:pPr>
              <w:spacing w:after="0"/>
              <w:rPr>
                <w:sz w:val="17"/>
                <w:szCs w:val="17"/>
                <w:color w:val="auto"/>
              </w:rPr>
            </w:pPr>
          </w:p>
        </w:tc>
        <w:tc>
          <w:tcPr>
            <w:tcW w:w="2500" w:type="dxa"/>
            <w:vAlign w:val="bottom"/>
            <w:gridSpan w:val="5"/>
          </w:tcPr>
          <w:p>
            <w:pPr>
              <w:spacing w:after="0"/>
              <w:rPr>
                <w:sz w:val="17"/>
                <w:szCs w:val="17"/>
                <w:color w:val="auto"/>
              </w:rPr>
            </w:pPr>
          </w:p>
        </w:tc>
        <w:tc>
          <w:tcPr>
            <w:tcW w:w="2340" w:type="dxa"/>
            <w:vAlign w:val="bottom"/>
          </w:tcPr>
          <w:p>
            <w:pPr>
              <w:jc w:val="center"/>
              <w:ind w:left="139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20" w:type="dxa"/>
            <w:vAlign w:val="bottom"/>
            <w:gridSpan w:val="21"/>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 (unaudited)</w:t>
              </w:r>
            </w:hyperlink>
          </w:p>
        </w:tc>
        <w:tc>
          <w:tcPr>
            <w:tcW w:w="23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6 - 14</w:t>
            </w:r>
          </w:p>
        </w:tc>
        <w:tc>
          <w:tcPr>
            <w:tcW w:w="0" w:type="dxa"/>
            <w:vAlign w:val="bottom"/>
          </w:tcPr>
          <w:p>
            <w:pPr>
              <w:spacing w:after="0"/>
              <w:rPr>
                <w:sz w:val="1"/>
                <w:szCs w:val="1"/>
                <w:color w:val="auto"/>
              </w:rPr>
            </w:pPr>
          </w:p>
        </w:tc>
      </w:tr>
      <w:tr>
        <w:trPr>
          <w:trHeight w:val="439"/>
        </w:trPr>
        <w:tc>
          <w:tcPr>
            <w:tcW w:w="2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Item 2.</w:t>
            </w:r>
          </w:p>
        </w:tc>
        <w:tc>
          <w:tcPr>
            <w:tcW w:w="306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Management's Discussion and Analysis of</w:t>
              </w:r>
            </w:hyperlink>
          </w:p>
        </w:tc>
        <w:tc>
          <w:tcPr>
            <w:tcW w:w="1800" w:type="dxa"/>
            <w:vAlign w:val="bottom"/>
            <w:tcBorders>
              <w:top w:val="single" w:sz="8" w:color="0000EE"/>
            </w:tcBorders>
            <w:gridSpan w:val="9"/>
          </w:tcPr>
          <w:p>
            <w:pPr>
              <w:spacing w:after="0"/>
              <w:rPr>
                <w:sz w:val="24"/>
                <w:szCs w:val="24"/>
                <w:color w:val="auto"/>
              </w:rPr>
            </w:pPr>
          </w:p>
        </w:tc>
        <w:tc>
          <w:tcPr>
            <w:tcW w:w="2160" w:type="dxa"/>
            <w:vAlign w:val="bottom"/>
            <w:gridSpan w:val="3"/>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20" w:type="dxa"/>
            <w:vAlign w:val="bottom"/>
            <w:gridSpan w:val="21"/>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Financial Condition and Results of Operations</w:t>
              </w:r>
            </w:hyperlink>
          </w:p>
        </w:tc>
        <w:tc>
          <w:tcPr>
            <w:tcW w:w="2340" w:type="dxa"/>
            <w:vAlign w:val="bottom"/>
          </w:tcPr>
          <w:p>
            <w:pPr>
              <w:jc w:val="center"/>
              <w:ind w:left="1390"/>
              <w:spacing w:after="0" w:line="196" w:lineRule="exact"/>
              <w:rPr>
                <w:sz w:val="20"/>
                <w:szCs w:val="20"/>
                <w:color w:val="auto"/>
              </w:rPr>
            </w:pPr>
            <w:r>
              <w:rPr>
                <w:rFonts w:ascii="Times New Roman" w:cs="Times New Roman" w:eastAsia="Times New Roman" w:hAnsi="Times New Roman"/>
                <w:sz w:val="18"/>
                <w:szCs w:val="18"/>
                <w:color w:val="auto"/>
                <w:w w:val="97"/>
              </w:rPr>
              <w:t>15 - 21</w:t>
            </w: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Item 3.</w:t>
            </w:r>
          </w:p>
        </w:tc>
        <w:tc>
          <w:tcPr>
            <w:tcW w:w="34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Quantitative and Qualitative Disclosures About</w:t>
              </w:r>
            </w:hyperlink>
          </w:p>
        </w:tc>
        <w:tc>
          <w:tcPr>
            <w:tcW w:w="3600" w:type="dxa"/>
            <w:vAlign w:val="bottom"/>
            <w:gridSpan w:val="10"/>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Market Risk</w:t>
              </w:r>
            </w:hyperlink>
          </w:p>
        </w:tc>
        <w:tc>
          <w:tcPr>
            <w:tcW w:w="6120" w:type="dxa"/>
            <w:vAlign w:val="bottom"/>
            <w:gridSpan w:val="19"/>
          </w:tcPr>
          <w:p>
            <w:pPr>
              <w:spacing w:after="0"/>
              <w:rPr>
                <w:sz w:val="17"/>
                <w:szCs w:val="17"/>
                <w:color w:val="auto"/>
              </w:rPr>
            </w:pPr>
          </w:p>
        </w:tc>
        <w:tc>
          <w:tcPr>
            <w:tcW w:w="2340" w:type="dxa"/>
            <w:vAlign w:val="bottom"/>
          </w:tcPr>
          <w:p>
            <w:pPr>
              <w:jc w:val="center"/>
              <w:ind w:left="1390"/>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12"/>
        </w:trPr>
        <w:tc>
          <w:tcPr>
            <w:tcW w:w="2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Controls and Procedures</w:t>
              </w:r>
            </w:hyperlink>
          </w:p>
        </w:tc>
        <w:tc>
          <w:tcPr>
            <w:tcW w:w="5240" w:type="dxa"/>
            <w:vAlign w:val="bottom"/>
            <w:gridSpan w:val="15"/>
          </w:tcPr>
          <w:p>
            <w:pPr>
              <w:spacing w:after="0"/>
              <w:rPr>
                <w:sz w:val="24"/>
                <w:szCs w:val="24"/>
                <w:color w:val="auto"/>
              </w:rPr>
            </w:pPr>
          </w:p>
        </w:tc>
        <w:tc>
          <w:tcPr>
            <w:tcW w:w="23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26"/>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w:t>
            </w:r>
          </w:p>
        </w:tc>
        <w:tc>
          <w:tcPr>
            <w:tcW w:w="7020" w:type="dxa"/>
            <w:vAlign w:val="bottom"/>
            <w:gridSpan w:val="21"/>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Other Information</w:t>
              </w:r>
            </w:hyperlink>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Legal Proceedings</w:t>
              </w:r>
            </w:hyperlink>
          </w:p>
        </w:tc>
        <w:tc>
          <w:tcPr>
            <w:tcW w:w="5680" w:type="dxa"/>
            <w:vAlign w:val="bottom"/>
            <w:gridSpan w:val="17"/>
          </w:tcPr>
          <w:p>
            <w:pPr>
              <w:spacing w:after="0"/>
              <w:rPr>
                <w:sz w:val="24"/>
                <w:szCs w:val="24"/>
                <w:color w:val="auto"/>
              </w:rPr>
            </w:pPr>
          </w:p>
        </w:tc>
        <w:tc>
          <w:tcPr>
            <w:tcW w:w="23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12"/>
        </w:trPr>
        <w:tc>
          <w:tcPr>
            <w:tcW w:w="2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Item 1A.</w:t>
            </w:r>
          </w:p>
        </w:tc>
        <w:tc>
          <w:tcPr>
            <w:tcW w:w="7020" w:type="dxa"/>
            <w:vAlign w:val="bottom"/>
            <w:gridSpan w:val="21"/>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Risk Factors</w:t>
              </w:r>
            </w:hyperlink>
          </w:p>
        </w:tc>
        <w:tc>
          <w:tcPr>
            <w:tcW w:w="23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Item 2.</w:t>
            </w:r>
          </w:p>
        </w:tc>
        <w:tc>
          <w:tcPr>
            <w:tcW w:w="7020" w:type="dxa"/>
            <w:vAlign w:val="bottom"/>
            <w:gridSpan w:val="21"/>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Unregistered Sales of Equity Securities and Use of Proceeds</w:t>
              </w:r>
            </w:hyperlink>
          </w:p>
        </w:tc>
        <w:tc>
          <w:tcPr>
            <w:tcW w:w="23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412"/>
        </w:trPr>
        <w:tc>
          <w:tcPr>
            <w:tcW w:w="2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Item 6.</w:t>
            </w:r>
          </w:p>
        </w:tc>
        <w:tc>
          <w:tcPr>
            <w:tcW w:w="43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Exhibits</w:t>
              </w:r>
            </w:hyperlink>
          </w:p>
        </w:tc>
        <w:tc>
          <w:tcPr>
            <w:tcW w:w="2680" w:type="dxa"/>
            <w:vAlign w:val="bottom"/>
            <w:gridSpan w:val="7"/>
          </w:tcPr>
          <w:p>
            <w:pPr>
              <w:spacing w:after="0"/>
              <w:rPr>
                <w:sz w:val="24"/>
                <w:szCs w:val="24"/>
                <w:color w:val="auto"/>
              </w:rPr>
            </w:pPr>
          </w:p>
        </w:tc>
        <w:tc>
          <w:tcPr>
            <w:tcW w:w="23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2060" w:type="dxa"/>
            <w:vAlign w:val="bottom"/>
            <w:gridSpan w:val="3"/>
          </w:tcPr>
          <w:p>
            <w:pPr>
              <w:ind w:left="78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3"/>
        </w:trPr>
        <w:tc>
          <w:tcPr>
            <w:tcW w:w="780" w:type="dxa"/>
            <w:vAlign w:val="bottom"/>
            <w:tcBorders>
              <w:bottom w:val="single" w:sz="8" w:color="auto"/>
            </w:tcBorders>
          </w:tcPr>
          <w:p>
            <w:pPr>
              <w:spacing w:after="0"/>
              <w:rPr>
                <w:sz w:val="17"/>
                <w:szCs w:val="17"/>
                <w:color w:val="auto"/>
              </w:rPr>
            </w:pPr>
          </w:p>
        </w:tc>
        <w:tc>
          <w:tcPr>
            <w:tcW w:w="760" w:type="dxa"/>
            <w:vAlign w:val="bottom"/>
            <w:tcBorders>
              <w:top w:val="single" w:sz="8" w:color="0000EE"/>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1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the "Company," "Bel," "we," "us," and "our" as used in this report refer to Bel Fuse Inc. and its consolidated subsidiaries unless otherwise specified.</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consolidated operating results are affected by a wide variety of factors that could materially and adversely affect revenues and profitability, including the risk factors described in Item 1A of our 2016 Annual Report on Form 10-K. As a result of these and other factors, the Company may experience material fluctuations in future operating results on a quarterly or annual basis, which could materially and adversely affect its business, consolidated financial condition, operating results, and common stock prices. Furthermore, this document and other documents filed by the Company with the Securities and Exchange Commission ("SEC") contain certain forward-looking statements under the Private Securities Litigation Reform Act of 1995 ("Forward-Looking Statements") with respect to the business of the Company. Forward-Looking Statements are necessarily subject to risks and uncertainties, many of which are outside our control, that could cause actual results to differ materially from these statements. Forward-Looking Statements can be identified by such words as "anticipates," "believes," "plan," "assumes," "could," "should," "estimates," "expects," "intends," "potential," "seek," "predict," "may," "will" and similar references to future periods. All statements other than statements of historical facts included in this report regarding our strategies, prospects, financial condition, operations, costs, plans and objectives are Forward-Looking Statements. These Forward-Looking Statements are subject to certain risks and uncertainties, including those detailed in Item 1A of our 2016 Annual Report on Form 10-K, which could cause actual results to differ materially from these Forward-Looking Statements. The Company undertakes no obligation to publicly release the results of any revisions to these Forward-Looking Statements which may be necessary to reflect events or circumstances after the date hereof or to reflect the occurrence of unanticipated events. Any Forward-Looking Statement made by the Company is based only on information currently available to us and speaks only as of the date on which it is made.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1160" w:type="dxa"/>
            <w:vAlign w:val="bottom"/>
          </w:tcPr>
          <w:p>
            <w:pPr>
              <w:spacing w:after="0"/>
              <w:rPr>
                <w:sz w:val="24"/>
                <w:szCs w:val="24"/>
                <w:color w:val="auto"/>
              </w:rPr>
            </w:pPr>
          </w:p>
        </w:tc>
        <w:tc>
          <w:tcPr>
            <w:tcW w:w="684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rPr>
              <w:t>BEL FUSE INC. AND SUBSIDIARIES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684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June 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00" w:type="dxa"/>
            <w:vAlign w:val="bottom"/>
            <w:gridSpan w:val="2"/>
          </w:tcPr>
          <w:p>
            <w:pPr>
              <w:ind w:left="114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$1,692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 2017 and $1,781 in 2016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261,383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429,939</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426,740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Minimum pension obligation and unfunded pension liability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260,316</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268,306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no par value, 1,000,000 shares authorized; none issued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par value $.10 per share, 10,000,000 shares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2,174,912 shares outstanding at each date (net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1,072,769 treasury shares)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par value $.10 per share, 30,000,000 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authorized; shares outstanding: 9,869,102 in 2017 and 9,851,652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2016 (net of 3,218,307 treasury 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(23,870)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(31,297)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4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169,623</w:t>
            </w: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158,434</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429,939</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426,740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79755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10280"/>
          </w:cols>
          <w:pgMar w:left="240" w:top="112" w:right="1379" w:bottom="1440" w:gutter="0" w:footer="0" w:header="0"/>
        </w:sectPr>
      </w:pPr>
    </w:p>
    <w:p>
      <w:pPr>
        <w:spacing w:after="0" w:line="19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12" w:right="1379" w:bottom="1440" w:gutter="0" w:footer="0" w:header="0"/>
          <w:type w:val="continuous"/>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171" w:lineRule="exact"/>
        <w:rPr>
          <w:sz w:val="20"/>
          <w:szCs w:val="20"/>
          <w:color w:val="auto"/>
        </w:rPr>
      </w:pPr>
    </w:p>
    <w:p>
      <w:pPr>
        <w:jc w:val="center"/>
        <w:ind w:left="1300" w:right="1920"/>
        <w:spacing w:after="0" w:line="265" w:lineRule="auto"/>
        <w:rPr>
          <w:sz w:val="20"/>
          <w:szCs w:val="20"/>
          <w:color w:val="auto"/>
        </w:rPr>
      </w:pPr>
      <w:r>
        <w:rPr>
          <w:rFonts w:ascii="Times New Roman" w:cs="Times New Roman" w:eastAsia="Times New Roman" w:hAnsi="Times New Roman"/>
          <w:sz w:val="18"/>
          <w:szCs w:val="18"/>
          <w:b w:val="1"/>
          <w:bCs w:val="1"/>
          <w:color w:val="auto"/>
        </w:rPr>
        <w:t>BEL FUSE INC. AND SUBSIDIARIES CONDENSED CONSOLIDATED STATEMENTS OF OPERATIONS (in thousands, except per share data) (unaudited)</w:t>
      </w:r>
    </w:p>
    <w:p>
      <w:pPr>
        <w:spacing w:after="0" w:line="39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131,617</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245,285</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102,575</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192,965</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29,042</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52,320</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21,858</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43,010</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 and other intangible assets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property, plant and equipment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(3,010)</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Borders>
              <w:right w:val="single" w:sz="8" w:color="CCEEFF"/>
            </w:tcBorders>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Earnings (loss) before provision for (benefit from) income</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(96,926)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 (loss) available to common stockholders</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8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6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(77,921)</w:t>
            </w:r>
          </w:p>
        </w:tc>
        <w:tc>
          <w:tcPr>
            <w:tcW w:w="0" w:type="dxa"/>
            <w:vAlign w:val="bottom"/>
          </w:tcPr>
          <w:p>
            <w:pPr>
              <w:spacing w:after="0"/>
              <w:rPr>
                <w:sz w:val="1"/>
                <w:szCs w:val="1"/>
                <w:color w:val="auto"/>
              </w:rPr>
            </w:pPr>
          </w:p>
        </w:tc>
      </w:tr>
      <w:tr>
        <w:trPr>
          <w:trHeight w:val="21"/>
        </w:trPr>
        <w:tc>
          <w:tcPr>
            <w:tcW w:w="48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per common share: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share - basic and diluted</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share - basic and diluted</w:t>
            </w: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share - basic and diluted</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share - basic and diluted</w:t>
            </w: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share</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share</w:t>
            </w: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268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12" w:right="137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14"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BEL FUSE INC. AND SUBSIDIARIES</w:t>
      </w:r>
    </w:p>
    <w:p>
      <w:pPr>
        <w:spacing w:after="0" w:line="31"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available to common stockholders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(77,921)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Currency translation adjustment, net of taxes of $153 in the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three months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ended June 30, 2017, $0 in the three months ended June 30,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2016, $184 in</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the six months ended June 30, 2017 and $0 in the six months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ended</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June 30, 2016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Unrealized gains (losses) on marketable securities arising during</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period,</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net of taxes of $7 in the three months ended June 30, 2017,</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$33 in the</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three months ended June 30, 2016, $(170) in the six months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ended June 30,</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2017 and $60 in the six months ended June 30, 2016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Change in unfunded SERP liability, net of taxes of $32 in the</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three months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ended June 30, 2017, $32 in the three months ended June 30,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2016, $65 in</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the six months ended June 30, 2017 and $104 in the six</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months ended</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June 30, 2016</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0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(80,366)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79755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11" w:right="1379" w:bottom="1440" w:gutter="0" w:footer="0" w:header="0"/>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rPr>
              <w:t>BEL FUSE INC. AND SUBSIDIARIES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3"/>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2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earnings (loss)</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earnings (loss) to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of goodwill and other intangible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unrealized losses (gains) on foreign currency revaluation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(13,843)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 payable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operating assets/liabilities, net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disposal/sale of property, plant and equipment</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paid to common stockholders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Borrowings under revolving credit line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Repayments of revolving credit line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Reduction in notes payable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(14,748)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58,663</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Supplementary information: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 payments, net of refunds received</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18"/>
                <w:szCs w:val="18"/>
                <w:color w:val="auto"/>
              </w:rPr>
            </w:pPr>
          </w:p>
        </w:tc>
        <w:tc>
          <w:tcPr>
            <w:tcW w:w="2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payments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-119380</wp:posOffset>
            </wp:positionV>
            <wp:extent cx="579755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10280"/>
          </w:cols>
          <w:pgMar w:left="240" w:top="111" w:right="137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11" w:right="1379" w:bottom="1440" w:gutter="0" w:footer="0" w:header="0"/>
          <w:type w:val="continuous"/>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BEL FUSE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 AND ACCOUNTING POLICIES</w:t>
      </w:r>
    </w:p>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sheets, statements of operations, comprehensive income (loss) and cash flows for the periods presented herein have been prepared by the Company and are unaudited. In the opinion of management, all adjustments (consisting solely of normal recurring adjustments) necessary to present fairly the consolidated financial position, results of operations and cash flows for all periods presented have been made. The results for the three and six months ended June 30, 2017 are not necessarily indicative of the results to be expected for the full year. These condensed consolidated financial statements should be read in conjunction with the consolidated financial statements and footnotes thereto included in the Bel Fuse Annual Report on Form 10-K for the year ended December 31, 2016.</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required under accounting principles generally accepted in the United States of America ("U.S. GAAP") have been condensed or omitted from the following condensed consolidated financial statements pursuant to the rules and regulations, including the interim reporting requirements, of the SEC. The preparation of condensed consolidated financial statements in conformity with U.S. GAAP requires management to make estimates and assumptions that affect the reported amounts and the disclosure of contingent amounts in our condensed consolidated financial statements and accompanying notes. Actual results could differ from these estimates.</w:t>
      </w:r>
    </w:p>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1 of the Company's Annual Report on Form 10-K for the year ended December 31, 2016. There were no significant changes to these accounting policies during the six months ended June 30, 2017.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included in the tables to these notes to condensed consolidated financial statements, except per share amounts, are in thousands.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to simplify the accounting for share-based payment transactions including the income tax consequences, classification of awards as either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and classification on the statements of cash flows. Under the new guidance, all excess tax benefits and tax deficiencies (including tax benefits of dividends on share-based payment awards) should be recognized as income tax expense or benefit on the statements of operations. Under current GAAP, excess tax benefits are recognized in additional paid-in capital while tax deficiencies are recognized either as an offset to accumulated excess tax benefits, if any, or on the statements of operations. The Company adopted this guidance effective January 1, 2017. Certain provisions required retrospective/modified retrospective transition while others were applied prospectively. In accordance with this guidance, the Company reclassified $1.7 million of cumulative excess tax benefits from additional paid-in capital to retained earnings within the equity section of the condensed consolidated balance sheet as of January 1, 2017. The Company has elected to continue its method of estimating forfeitures in determining its stock-based compensation expense throughout the year. The adoption of this guidance did not have a material impact on the Company's condensed consolidated financial statements.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2015, the FASB issued ASU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which requires entities to measure most inventory at the lower of cost and net realizable value, thereby simplifying the current guidance under which an entity must measure inventory at the lower of cost or market. The update is effective for fiscal years beginning after December 15, 2016, and interim periods therein. We adopted this guidance on January 1, 2017. The adoption of this guidance did not have a material impact on the Company's condensed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August 2014, the FASB issued ASU 2014-15, </w:t>
      </w:r>
      <w:r>
        <w:rPr>
          <w:rFonts w:ascii="Times New Roman" w:cs="Times New Roman" w:eastAsia="Times New Roman" w:hAnsi="Times New Roman"/>
          <w:sz w:val="18"/>
          <w:szCs w:val="18"/>
          <w:i w:val="1"/>
          <w:iCs w:val="1"/>
          <w:color w:val="auto"/>
        </w:rPr>
        <w:t>Presentation of Financial Statements – Going Concern (Subtopic - 205-40)</w:t>
      </w:r>
      <w:r>
        <w:rPr>
          <w:rFonts w:ascii="Times New Roman" w:cs="Times New Roman" w:eastAsia="Times New Roman" w:hAnsi="Times New Roman"/>
          <w:sz w:val="18"/>
          <w:szCs w:val="18"/>
          <w:color w:val="auto"/>
        </w:rPr>
        <w:t xml:space="preserve"> ("ASU 2014-15"). This ASU requires management to evaluate whether it is probable that known conditions or events, considered in the aggregate, would raise substantial doubt about the entity's ability to continue as a going concern within one year after the date that the financial statements are issued. If such conditions or events are identified, the standard requires management's mitigation plans to alleviate the doubt or a statement of the substantial doubt about the entity's ability to continue as a going concern to be disclosed in the financial statements. The amendments in ASU 2014-15 are effective for fiscal years, and interim periods within those years, beginning after December 15, 2016. We adopted this amendment on December 31, 2016. The adoption of ASU 2014-15 did not have a material impact on the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w:t>
      </w:r>
      <w:r>
        <w:rPr>
          <w:rFonts w:ascii="Times New Roman" w:cs="Times New Roman" w:eastAsia="Times New Roman" w:hAnsi="Times New Roman"/>
          <w:sz w:val="18"/>
          <w:szCs w:val="18"/>
          <w:i w:val="1"/>
          <w:iCs w:val="1"/>
          <w:color w:val="auto"/>
        </w:rPr>
        <w:t>Income Taxes (Topic 740): Intra-Entity Transfers of Assets Other Than Inventory</w:t>
      </w:r>
      <w:r>
        <w:rPr>
          <w:rFonts w:ascii="Times New Roman" w:cs="Times New Roman" w:eastAsia="Times New Roman" w:hAnsi="Times New Roman"/>
          <w:sz w:val="18"/>
          <w:szCs w:val="18"/>
          <w:color w:val="auto"/>
        </w:rPr>
        <w:t>. Current U.S. GAAP prohibits the recognition of current and deferred income taxes for intra-entity asset transfer until the asset has been sold to an outside party. The new guidance eliminates the exception and requires an entity to recognize the income tax consequences of an intra-entity transfer of an asset other than inventory when the transfer occurs. This accounting guidance is effective for annual reporting periods beginning after December 15, 2017, including interim reporting periods within those annual reporting periods, and should be applied on a modified retrospective basis through a cumulative-effect adjustment directly to retained earnings as of the beginning of the period of adoption. This guidance is not expected to have a material impact on our condensed consolidated financial statements.</w:t>
      </w:r>
    </w:p>
    <w:p>
      <w:pPr>
        <w:sectPr>
          <w:pgSz w:w="11900" w:h="16838" w:orient="portrait"/>
          <w:cols w:equalWidth="0" w:num="1">
            <w:col w:w="11420"/>
          </w:cols>
          <w:pgMar w:left="240" w:top="111"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to provide a new comprehensive model for lease accounting. Under this guidance, lessees and lessors should apply a "right-of-use" model in accounting for all leases (including subleases) and eliminate the concept of operating leases and off-balance sheet leases. Recognition, measurement and presentation of expenses will depend on classification as a finance or operating lease. Similar modifications have been made to lessor accounting in-line with revenue recognition guidance. This guidance is effective for annual periods and interim periods within those annual periods beginning after December 15, 2018. The amendments also require certain quantitative and qualitative disclosures about leasing arrangements. Early adoption is permitted. The updated guidance requires a modified retrospective adoption. We are currently in the process of evaluating this new standard update.</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 Recognition and Measurement of Financial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Liabilities</w:t>
      </w:r>
      <w:r>
        <w:rPr>
          <w:rFonts w:ascii="Times New Roman" w:cs="Times New Roman" w:eastAsia="Times New Roman" w:hAnsi="Times New Roman"/>
          <w:sz w:val="18"/>
          <w:szCs w:val="18"/>
          <w:color w:val="auto"/>
        </w:rPr>
        <w:t>. This guidance primarily affects the accounting for equity investments, financial liabilities under the fair value option,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and disclosure requirements for financial instruments. Under the new guidance, entities will be required to measure certain equity investments at fair value and recognize any changes in fair value in net earnings, unless the investments qualify for the new practicability exception. The new standard is effective for fiscal years, including interim periods within those fiscal years, beginning after December 15, 2017. We are currently evaluating the impact of adopting this new standard.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which amends the existing accounting standards for revenue recognition. ASU 2014-09 is based on principles that govern the recognition of revenue at an amount an entity expects to be entitled when products are transferred to customers. Subsequently, the FASB issued several other updates related to revenue recognition (collectively with ASU 2014-09, the "new revenue standards").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still in the process of evaluating the financial statement impacts of the new revenue standards. While we have not yet quantified the related impacts, based on the work performed to date, we anticipate there to be changes with respect to the timing of revenue recognition for certain custom products that have no alternative use for which the Company is entitled to payment as production progresses, as well as the timing of revenue recognition in arrangements for which the customer takes the Company's products from a facility holding consignment inventory, among other areas. The Company is also in the process of reviewing its current systems, internal controls and processes, and evaluating any necessary changes to support the implementation of the new revenue standards, which we expect to implement by the end of 2017.</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new revenue standards become effective for the Company in the first quarter of fiscal year 2018. We anticipate using the modified retrospective approach to adopting the new revenue standards where we recognize the cumulative effect of initially applying the new revenue standards as an adjustment to the opening balance of retained earnings.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preparation for adoption of the new guidance, we have reviewed representative samples of contracts and other forms of agreements with customers globally and are evaluating the provisions under the five-step model specified by the new revenue standards. In addition, we continue to monitor additional interpretive guidance related to the new revenue standards as it becomes available, as well as comparing our conclusions on specific interpretative issues to other peers in our industry, to the extent that such information is available.</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xml:space="preserve"> ("ASU 2017-04"). ASU 2017-04 simplifies how an entity is required to test goodwill for impairment by eliminating Step 2 from the goodwill impairment test. Early adoption is permitted for interim and annual goodwill impairment tests performed on testing dates after January 1, 2017. The Company is required to adopt ASU 2017-04 for its annual or any interim goodwill impairment tests for annual periods beginning after December 15, 2019, and the guidance is to be applied on a prospective basis.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 xml:space="preserve"> ("ASU 2017-01"), to clarify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ASU 2017-01 provides a framework that gives entities a basis for making reasonable judgments about whether a transaction involves an asset or a business. The Company is required to adopt ASU 2017-01 for periods beginning after December 15, 2017, including interim periods, and the guidance is to be applied on a prospective basis. Early application is permitted for transactions for which the acquisition date occurs before the issuance date or effective date of the amendments, only when the transaction has not been reported in financial statements that have been issued.</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2017, the FASB issued ASU 2017-07, </w:t>
      </w:r>
      <w:r>
        <w:rPr>
          <w:rFonts w:ascii="Times New Roman" w:cs="Times New Roman" w:eastAsia="Times New Roman" w:hAnsi="Times New Roman"/>
          <w:sz w:val="18"/>
          <w:szCs w:val="18"/>
          <w:i w:val="1"/>
          <w:iCs w:val="1"/>
          <w:color w:val="auto"/>
        </w:rPr>
        <w:t>Compensation – Retirement Benefits (Topic 715): Improving the Presentation of Net Periodic Pension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Net Periodic Postretirement Benefit Cost </w:t>
      </w:r>
      <w:r>
        <w:rPr>
          <w:rFonts w:ascii="Times New Roman" w:cs="Times New Roman" w:eastAsia="Times New Roman" w:hAnsi="Times New Roman"/>
          <w:sz w:val="18"/>
          <w:szCs w:val="18"/>
          <w:color w:val="auto"/>
        </w:rPr>
        <w:t>("ASU 2017-07"). This guidance requires that an employer disaggregate the service cost component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components of net benefit cost. ASU 2017-07 also provides explicit guidance on how to present the service cost component and the other components of net benefit cost in the income statement and allow only the service cost component of net benefit cost to be eligible for capitalization. This guidance is effective for periods beginning after December 15, 2017, including interim periods. Certain of the provisions within this guidance will be applied on a retrospective basis, while other aspects will be applied on a prospective basis, in accordance with ASU 2017-07.</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Compensation – Stock Compensation (Topic 718): Scope of Modification Accounting ("ASU 2017-09")</w:t>
      </w:r>
      <w:r>
        <w:rPr>
          <w:rFonts w:ascii="Times New Roman" w:cs="Times New Roman" w:eastAsia="Times New Roman" w:hAnsi="Times New Roman"/>
          <w:sz w:val="18"/>
          <w:szCs w:val="18"/>
          <w:color w:val="auto"/>
        </w:rPr>
        <w:t>. This update provides guidance about which changes to the terms or conditions of a share-based payment require an entity to apply modification accounting in Topic 718. This guidance is effective for annual periods, and interim periods within those annual periods, beginning after December 15, 2017. Early adoption is permitted. The amendments in this update will be applied prospectively to any awards modified on or after the adoption date.</w:t>
      </w:r>
    </w:p>
    <w:p>
      <w:pPr>
        <w:spacing w:after="0" w:line="200" w:lineRule="exact"/>
        <w:rPr>
          <w:sz w:val="20"/>
          <w:szCs w:val="20"/>
          <w:color w:val="auto"/>
        </w:rPr>
      </w:pPr>
    </w:p>
    <w:p>
      <w:pPr>
        <w:spacing w:after="0" w:line="252"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(LOSS) PER SHARE</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calculation of basic and diluted net earnings (loss) per common share under the two-class method for the three and six months ended June 30, 2017 and 2016:</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 (loss)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4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dividends declared: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Class A</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Class B</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Undistributed earnings (loss)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 (loss) allocation - basic and diluted: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Class A undistributed earnings (loss)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4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Class B undistributed earnings (loss)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undistributed earnings (loss)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4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 (loss) allocation - basic and diluted: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Class A net earnings (loss)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Class B net earnings (loss)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earnings (loss)</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Class A - basic and diluted</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Class B - basic and diluted</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 per share: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Class A - basic and diluted</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4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Class B - basic and diluted</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0" w:hanging="792"/>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representing the price that would be received to sell an asset or paid to transfer a liability in an orderly transaction between market participants based upon the best use of the asset or liability at the measurement date. Entities are required to use a fair value hierarchy which maximizes the use of observable inputs and minimizes the use of unobservable inputs when measuring fair value. There are three levels of inputs that may be used to measure fair value: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Observable inputs such as quoted market prices in active markets;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quoted prices in active markets that are either directly or indirectly observable; and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about which little or no market data exists, therefore requiring an entity to develop its own assumptions.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2017 and December 31, 2016, the Company held certain financial assets that are measured at fair value on a recurring basis. These consisted of securities that are among the Company's investments in a rabbi trust which are intended to fund the Company's Supplemental Executive Retirement Plan ("SERP") obligations. The securities that are held in the rabbi trust are categorized as available-for-sale securities and are included as other assets in the accompanying condensed consolidated balance sheets at June 30, 2017 and December 31, 2016. The gross unrealized gains associated with the investment securities held in the rabbi trust were $0.2 million and $0.7 million at June 30, 2017 and December 31, 2016, respectively. Such unrealized gains are included, net of tax, in accumulated other comprehensive loss.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2017 and December 31, 2016, our available-for-sale securities, which primarily consist of investments held in a rabbi trust of $1.7 million at each date are measured at fair value using quoted prices in active markets for identical assets (Level 1) inputs. The Company does not have any financial assets measured at fair value on a recurring basis categorized as Level 3, and there were no transfers in or out of Level 1, Level 2 or Level 3 during the six months ended June 30, 2017 or June 30, 2016. There were no changes to the Company's valuation techniques used to measure asset fair values on a recurring or nonrecurring basis during the six months ended June 30, 2017.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financial assets accounted for at fair value on a nonrecurring basis as of June 30, 2017 or December 31, 2016.</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other financial instruments, such as cash and cash equivalents, accounts receivable, restricted cash, accounts payable, accrued expenses and notes payable, which are not measured at fair value on a recurring basis but are recorded at amounts that approximate fair value due to their liquid or short-term nature. The fair value of the Company's long-term debt is estimated using a discounted cash flow method based on interest rates that are currently available for debt issuances with similar terms and maturities. At June 30, 2017 and December 31, 2016, the estimated fair value of total debt was $133.4 million and $144.3 million, respectively, compared to a carrying amount of $130.5 million and $141.2 million, respectively. The Company did not have any other financial liabilities within the scope of the fair value disclosure requirements as of June 30, 2017.</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Nonfinancial assets and liabilities, such as goodwill, indefinite-lived intangible assets and long-lived assets, are accounted for at fair value on a nonrecurring basis. These items are tested for impairment upon the occurrence of a triggering event or in the case of goodwill, on at least an annual basis. During the first quarter of 2016, management determined that sufficient indicators of potential impairment existed to require an interim goodwill impairment analysis for all of the Company's reporting units. These indicators included the recent business performance of those reporting units, combined with the long-term market conditions and business trends within the reporting units. As a result, the Company recorded provisional non-cash goodwill and other intangible assets impairment charges totaling $108.6 million during the first quarter of 2016. During the second quarter of 2016, the Company finalized its interim impairment test, which resulted in a $2.6 million reduction to the provisional impairment charge recorded during the first quarter of 2016. There were no triggering events that occurred during the first half of 2017 that would warrant interim impairment testing.</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June 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38,887</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102,992</w:t>
            </w:r>
          </w:p>
        </w:tc>
        <w:tc>
          <w:tcPr>
            <w:tcW w:w="3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700" w:type="dxa"/>
            <w:vAlign w:val="bottom"/>
            <w:vMerge w:val="restart"/>
          </w:tcPr>
          <w:p>
            <w:pPr>
              <w:jc w:val="right"/>
              <w:ind w:right="237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40" w:firstLine="8"/>
        <w:spacing w:after="0" w:line="563" w:lineRule="auto"/>
        <w:tabs>
          <w:tab w:leader="none" w:pos="36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PLANT AND EQUIPMENT Property, plant and equipment consist of the following:</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149,104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(104,677)</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(100,349)</w:t>
            </w:r>
          </w:p>
        </w:tc>
      </w:tr>
      <w:tr>
        <w:trPr>
          <w:trHeight w:val="257"/>
        </w:trPr>
        <w:tc>
          <w:tcPr>
            <w:tcW w:w="2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44,947</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48,755</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2017 and 2016 was $3.4 million and $3.7 million, respectively. Depreciation expense for the six months ended June 30, 2017 and 2016 was $7.0 million and $7.4 million,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ACCRUED EXPENSES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11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June 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commissions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Subcontracting labor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bonuses and related benefits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17,587</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Warranty accrual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8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29,167</w:t>
            </w:r>
          </w:p>
        </w:tc>
        <w:tc>
          <w:tcPr>
            <w:tcW w:w="36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31,549</w:t>
            </w:r>
          </w:p>
        </w:tc>
        <w:tc>
          <w:tcPr>
            <w:tcW w:w="8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tabular presentation of the activity within the warranty accrual account for the six months ended June 30, 2017 and 2016 is presented below:</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Charges and costs accrued</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related to pre-existing warranties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(including changes in estimates)</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(735)</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repair costs incurred</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2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00" w:hanging="692"/>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Credit and Security Agreement (as amended, the "CSA") consisting of (i) a term loan, with outstanding borrowings of $128.4 million and $143.8 million at June 30, 2017 and December 31, 2016, respectively and (ii) a $50 million revolving credit facility ("Revolver"), with $4.0 million and $0 outstanding borrowings at June 30, 2017 and December 31, 2016, respectively. At June 30, 2017 and December 31, 2016, the carrying value of the debt on the condensed consolidated balance sheet is reflected net of deferred financing costs of $1.9 million and $2.6 million,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interest rate in effect was 3.50% at June 30, 2017 and 3.06% at December 31, 2016 and consisted of LIBOR plus the Company's credit spread, as determined per the terms of the CSA. The Company incurred $1.6 million and $1.5 million of interest expense during the three months ended June 30, 2017 and 2016, respectively, and $3.0 million and $3.7 million of interest expense during the six months ended June 30, 2017 and 2016, respectively.</w:t>
      </w:r>
    </w:p>
    <w:p>
      <w:pPr>
        <w:sectPr>
          <w:pgSz w:w="11900" w:h="16838" w:orient="portrait"/>
          <w:cols w:equalWidth="0" w:num="1">
            <w:col w:w="11420"/>
          </w:cols>
          <w:pgMar w:left="240" w:top="111"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CSA contains customary representations and warranties, covenants and events of default and financial covenants that measure (i) the ratio of the Company's total funded indebtedness, on a consolidated basis, to the amount of the Company's consolidated EBITDA, as defined, ("Leverage Ratio") and (ii) the ratio of the amount of the Company's consolidated EBITDA to the Company's consolidated fixed charges. If an event of default occurs, the lenders under the CSA would be entitled to take various actions, including the acceleration of amounts due thereunder and all actions permitted to be taken by a secured creditor. At June 30, 2017, the Company was in compliance with its debt covenants, including its most restrictive covenant, the Leverage Ratio.</w:t>
      </w:r>
    </w:p>
    <w:p>
      <w:pPr>
        <w:spacing w:after="0" w:line="400"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jurisdiction and various states and foreign jurisdictions. The Company is no longer subject to U.S. federal examinations by tax authorities for years before 2013 and for state examinations before 2010. Regarding foreign subsidiaries, the Company is no longer subject to examination by tax authorities for years before 2006 in Asia and generally 2009 in Europe.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expiration of the statute of limitations for specific jurisdictions, it is reasonably possible that the related unrecognized benefits for tax positions taken regarding previously filed tax returns may change materially from those recorded as liabilities for uncertain tax positions in the Company's condensed consolidated financial statements at June 30, 2017. The Company's liabilities for uncertain tax positions totaled $28.4 million and $27.8 million at June 30, 2017 and December 31, 2016, respectively, of which $1.1 million and $0.4 million, respectively, is included in other current liabilities. These amounts, if recognized, would reduce the Company's effective tax rate. As of June 30, 2017, $0.4 million of the Company's liabilities for uncertain tax positions was reversed and approximately $1.1 million are expected to be reversed during the next twelve months by way of expiration of the related statute of limitations.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the Power-One Power Solutions business ("Power Solutions") from ABB Ltd. ("ABB") in 2014, the Company assumed a liability for additional uncertain tax positions related to various tax matters for the years 2007 through 2013. From the date of acquisition through June 30, 2017, the Company has recorded $4.9 million of interest and penalties pertaining to this issue, of which $2.6 million was reversed during 2016 in relation to the settlement of the exposure. The Company will continue to accrue approximately $0.7 million annually until the issues are resolved.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uncertain tax positions as a component of the current provision for income taxes. During the six months ended June 30, 2017 and 2016, the Company recognized $0.4 million and $0.6 million, respectively, in interest and penalties in the condensed consolidated statements of operations. During the three and six months ended June 30, 2016, the Company recognized a benefit of $1.3 million and $2.6 million, respectively, for the reversal of such interest and penalties. There were no reversals of interest or penalties in the three or six months ended June 30, 2017. The Company has approximately $2.6 million and $2.2 million, accrued for the payment of such interest and penalties at June 30, 2017 and December 31, 2016, respectively, which is included in both other current liabilities and liability for uncertain tax positions in the condensed consolidated balance sheets.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monitor proposed legislation affecting the taxation of transfers of U.S. intangible property and other potential tax law changes.</w:t>
      </w:r>
    </w:p>
    <w:p>
      <w:pPr>
        <w:spacing w:after="0" w:line="200" w:lineRule="exact"/>
        <w:rPr>
          <w:sz w:val="20"/>
          <w:szCs w:val="20"/>
          <w:color w:val="auto"/>
        </w:rPr>
      </w:pPr>
    </w:p>
    <w:p>
      <w:pPr>
        <w:spacing w:after="0" w:line="295"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FUND AND PROFIT SHARING PLAN</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the Bel Fuse Inc. Employees' Savings Plan, a defined contribution plan that is intended to meet the applicable requirements for tax-qualification under sections 401(a) and (k) of the Internal Revenue Code of 1986, as amended (the "Code"). The expense for the three months ended June 30, 2017 and 2016 amounted to $0.3 million in both periods. The expense for the six months ended June 30, 2017 and 2016 amounted to $0.6 million in both periods. As of June 30, 2017, the plan owned 42,642 and 145,524 shares of Bel Fuse Inc. Class A and Class B common stock, respectively. Effective January 1, 2017, the Company's matching contribution will be made in the form of Bel Fuse Inc. Class A common stock. During 2016, the employer match was made in cash.</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subsidiaries in Asia have a retirement fund covering substantially all of their Hong Kong based full-time employees. The expense for the three months ended June 30, 2017 and 2016 amounted to $0.1 million in both periods. The expense for the six months ended June 30, 2017 and 2016 amounted to $0.2 million and $0.1 million, respectively. As of June 30, 2017, the plan owned 3,323 and 17,342 shares of Bel Fuse Inc. Class A and Class B common stock,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SERP, which is designed to provide a limited group of key management and other key employees of the Company with supplemental retirement and death benefits. As discussed in Note 3 above, the Company has investments in a rabbi trust which are intended to fund the obligations of the SERP. The SERP expense for the periods and amounts presented below is allocated between cost of sales and selling, general and administrative expense in the condensed consolidated statements of operations based upon the classification of plan participants.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SERP expense are as follows: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Six Months Ended</w:t>
            </w:r>
          </w:p>
        </w:tc>
        <w:tc>
          <w:tcPr>
            <w:tcW w:w="8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175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amortization</w:t>
            </w: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660" w:type="dxa"/>
            <w:vAlign w:val="bottom"/>
            <w:gridSpan w:val="2"/>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437</w:t>
            </w:r>
          </w:p>
        </w:tc>
        <w:tc>
          <w:tcPr>
            <w:tcW w:w="4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40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8"/>
                <w:szCs w:val="18"/>
                <w:color w:val="auto"/>
              </w:rPr>
            </w:pPr>
          </w:p>
        </w:tc>
      </w:tr>
      <w:tr>
        <w:trPr>
          <w:trHeight w:val="21"/>
        </w:trPr>
        <w:tc>
          <w:tcPr>
            <w:tcW w:w="60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6660" w:type="dxa"/>
            <w:vAlign w:val="bottom"/>
            <w:gridSpan w:val="4"/>
          </w:tcPr>
          <w:p>
            <w:pPr>
              <w:jc w:val="right"/>
              <w:ind w:right="2"/>
              <w:spacing w:after="0"/>
              <w:rPr>
                <w:sz w:val="20"/>
                <w:szCs w:val="20"/>
                <w:color w:val="auto"/>
              </w:rPr>
            </w:pPr>
            <w:r>
              <w:rPr>
                <w:rFonts w:ascii="Times New Roman" w:cs="Times New Roman" w:eastAsia="Times New Roman" w:hAnsi="Times New Roman"/>
                <w:sz w:val="18"/>
                <w:szCs w:val="18"/>
                <w:color w:val="auto"/>
                <w:w w:val="99"/>
              </w:rPr>
              <w:t>The following amounts are recognized net of tax in accumulated other comprehensive loss: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1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June 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8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at June 30, 2017 and December 31, 2016 are summarized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June 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Foreign currency translation adjustment, net of taxes of ($800) at</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June 30, 2017 and ($984) at December 31, 2016</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(21,405)</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(28,976)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Unrealized holding gains on available-for-sale securities, net of taxes of</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$92 at June 30, 2017 and $263 at December 31, 2016</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Unfunded SERP liability, net of taxes of ($1,333) at June 30, 2017</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($1,398) at December 31, 2016</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(23,870)</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(31,297)</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1160" w:type="dxa"/>
            <w:vAlign w:val="bottom"/>
          </w:tcPr>
          <w:p>
            <w:pPr>
              <w:spacing w:after="0"/>
              <w:rPr>
                <w:sz w:val="24"/>
                <w:szCs w:val="24"/>
                <w:color w:val="auto"/>
              </w:rPr>
            </w:pPr>
          </w:p>
        </w:tc>
        <w:tc>
          <w:tcPr>
            <w:tcW w:w="6100" w:type="dxa"/>
            <w:vAlign w:val="bottom"/>
            <w:tcBorders>
              <w:top w:val="single" w:sz="8" w:color="CCEEFF"/>
            </w:tcBorders>
          </w:tcPr>
          <w:p>
            <w:pPr>
              <w:ind w:left="4480"/>
              <w:spacing w:after="0"/>
              <w:rPr>
                <w:sz w:val="20"/>
                <w:szCs w:val="20"/>
                <w:color w:val="auto"/>
              </w:rPr>
            </w:pPr>
            <w:r>
              <w:rPr>
                <w:rFonts w:ascii="Times New Roman" w:cs="Times New Roman" w:eastAsia="Times New Roman" w:hAnsi="Times New Roman"/>
                <w:sz w:val="14"/>
                <w:szCs w:val="14"/>
                <w:color w:val="auto"/>
              </w:rPr>
              <w:t>12</w:t>
            </w:r>
          </w:p>
        </w:tc>
        <w:tc>
          <w:tcPr>
            <w:tcW w:w="9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60" w:type="dxa"/>
            <w:vAlign w:val="bottom"/>
            <w:tcBorders>
              <w:bottom w:val="single" w:sz="8" w:color="auto"/>
            </w:tcBorders>
          </w:tcPr>
          <w:p>
            <w:pPr>
              <w:spacing w:after="0"/>
              <w:rPr>
                <w:sz w:val="3"/>
                <w:szCs w:val="3"/>
                <w:color w:val="auto"/>
              </w:rPr>
            </w:pPr>
          </w:p>
        </w:tc>
        <w:tc>
          <w:tcPr>
            <w:tcW w:w="6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during the six months ended June 30, 2017 are as follows. All amounts are net of tax.</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Foreign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Holding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Currency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Gains 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Available-for-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Unfunded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Adjustment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Sale Securities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SERP Liability</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(2,745)</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Borders>
              <w:top w:val="single" w:sz="8" w:color="CCEEFF"/>
            </w:tcBorders>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before</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Borders>
              <w:right w:val="single" w:sz="8" w:color="CCEEFF"/>
            </w:tcBorders>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Amount reclassified from accumulated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Borders>
              <w:right w:val="single" w:sz="8" w:color="CCEEFF"/>
            </w:tcBorders>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Net current period other comprehensive</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right="1640" w:firstLine="9"/>
        <w:spacing w:after="0" w:line="261" w:lineRule="auto"/>
        <w:tabs>
          <w:tab w:leader="none" w:pos="138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reclassification relates to the amortization of prior service costs and gains/losses associated with the Company's SERP plan.</w:t>
      </w:r>
    </w:p>
    <w:p>
      <w:pPr>
        <w:ind w:left="1140" w:right="13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expense is allocated between cost of sales and selling, general and administrative expense based upon the employment classification of the plan participants.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Proceedings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party to a number of legal actions and claims, none of which individually or in the aggregate, in the opinion of management, are expected to have a material adverse effect on the Company's consolidated results of operations or financial position.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Power Solutions, there is an ongoing claim by the Arezzo Revenue Agency in Italy concerning certain tax matters related to what was then Power-One Asia Pacific Electronics Shenzhen Co. Ltd. (now Bel Power Solutions Asia Pacific Electronics Shenzhen Co. Ltd, or "BPS China") for the years 2004 to 2006. In September 2012, the Tax Court of Arezzo ruled in favor of BPS China and cancelled the claim. In February 2013, the Arezzo Revenue Agency filed an appeal of the Tax Court's ruling. The hearing of the appeal was held on October 2, 2014. On October 13, 2014, BPS China was informed of the Regional Tax Commission of Florence ruling which was in favor of the Arezzo Revenue Agency and against BPS China. An appeal was filed on July 18, 2015 before the Regional Tax Commission of Florence and rejected. On December 5, 2016, the Arezzo Revenue Agency filed an appeal with the Supreme Court and BPS China filed a counter-appeal on January 4, 2017. The Supreme Court has yet to render its judgment. The estimated liability related to this matter is approximately $12.0 million and has been included as a liability for uncertain tax positions on the accompanying consolidated balance sheets. As Bel is fully indemnified in this matter per the terms of the stock purchase agreement with ABB, a corresponding other asset for indemnification is also included in other assets on the accompanying condensed consolidated balance sheets at June 30, 2017 and December 31, 2016.</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2015, the Company was provided notice of a potential patent infringement claim by Setec Netzwerke AG ("Setec"), a German company, for the alleged infringement of their patent EP 306 934 B1. Setec subsequently filed a lawsuit against the Company and three of its subsidiaries in Dusseldorf, Germany on January 29, 2016 for patent infringement. The Company filed its defense to Setec's complaint and a nullity lawsuit against Setec's patent on August 31, 2016. The Court hearing on infringement took place on March 23, 2017. Upon hearing argument from both parties, the Court issued a decision on April 6, 2017 staying the infringement case pending resolution of the nullity lawsuit. The nullity lawsuit is currently pending before the Patent Court in Munich, Germany. The Company does not have enough information at this time in order to make any further conclusions or assessments as to infringement or any potential damages.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other legal proceeding, the adverse outcome of which is likely to have a material adverse effect on the Company's consolidated financial condition or results of operations.</w:t>
      </w:r>
    </w:p>
    <w:p>
      <w:pPr>
        <w:spacing w:after="0" w:line="189" w:lineRule="exact"/>
        <w:rPr>
          <w:sz w:val="20"/>
          <w:szCs w:val="20"/>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in one industry with three reportable operating segments, which are geographic in nature. The segments consist of North America, Asia and Europe. The primary criteria by which financial performance is evaluated and resources are allocated are net sales and income from operations. The following is a summary of key financial data:</w:t>
      </w:r>
    </w:p>
    <w:p>
      <w:pPr>
        <w:sectPr>
          <w:pgSz w:w="11900" w:h="16838" w:orient="portrait"/>
          <w:cols w:equalWidth="0" w:num="1">
            <w:col w:w="11420"/>
          </w:cols>
          <w:pgMar w:left="240" w:top="112" w:right="239" w:bottom="802"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802" w:gutter="0" w:footer="0" w:header="0"/>
          <w:type w:val="continuous"/>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North America</w:t>
            </w:r>
          </w:p>
        </w:tc>
        <w:tc>
          <w:tcPr>
            <w:tcW w:w="14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125,335</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Asia</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20,641</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131,617</w:t>
            </w:r>
          </w:p>
        </w:tc>
        <w:tc>
          <w:tcPr>
            <w:tcW w:w="120" w:type="dxa"/>
            <w:vAlign w:val="bottom"/>
          </w:tcPr>
          <w:p>
            <w:pPr>
              <w:spacing w:after="0"/>
              <w:rPr>
                <w:sz w:val="18"/>
                <w:szCs w:val="18"/>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131,622</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245,285</w:t>
            </w:r>
          </w:p>
        </w:tc>
        <w:tc>
          <w:tcPr>
            <w:tcW w:w="100" w:type="dxa"/>
            <w:vAlign w:val="bottom"/>
          </w:tcPr>
          <w:p>
            <w:pPr>
              <w:spacing w:after="0"/>
              <w:rPr>
                <w:sz w:val="18"/>
                <w:szCs w:val="18"/>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North America</w:t>
            </w:r>
          </w:p>
        </w:tc>
        <w:tc>
          <w:tcPr>
            <w:tcW w:w="14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131,125</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Asia</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intercompany net sales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(30,188)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(56,471)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131,617</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245,285</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252,805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North America</w:t>
            </w:r>
          </w:p>
        </w:tc>
        <w:tc>
          <w:tcPr>
            <w:tcW w:w="1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8"/>
                <w:szCs w:val="18"/>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18"/>
                <w:szCs w:val="18"/>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Asia</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Segment net sales are attributed to individual segments based on the geographic source of the billing for such customer sales. Intercompany sales include finished products manufactured in foreign countries which are then transferred to the United States and Europe for sale; finished goods manufactured in the United States which are transferred to Europe and Asia for sale; and semi-finished components manufactured in the United States which are sold to Asia for further processing.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 represents net sales less operating costs and expenses and does not include any amounts related to intercompany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are included in the segment data presented above: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Impairment Charges</w:t>
      </w:r>
      <w:r>
        <w:rPr>
          <w:rFonts w:ascii="Times New Roman" w:cs="Times New Roman" w:eastAsia="Times New Roman" w:hAnsi="Times New Roman"/>
          <w:sz w:val="18"/>
          <w:szCs w:val="18"/>
          <w:color w:val="auto"/>
        </w:rPr>
        <w:t xml:space="preserve"> – The Company recorded a $106.0 million non-cash impairment charge related to its goodwill and trademarks during the first half of 2016 ($108.6 million recorded during the first quarter of 2016, offset by a $2.6 million reduction upon finalization of the impairment charge during the second quarter of 2016). Of this charge, $44.0 million was recorded in the Company's North America operating segment, $41.7 million was recorded in its Asia operating segment and $20.3 million was recorded in its Europe operating segment.</w:t>
      </w:r>
    </w:p>
    <w:p>
      <w:pPr>
        <w:spacing w:after="0" w:line="200" w:lineRule="exact"/>
        <w:rPr>
          <w:sz w:val="20"/>
          <w:szCs w:val="20"/>
          <w:color w:val="auto"/>
        </w:rPr>
      </w:pPr>
    </w:p>
    <w:p>
      <w:pPr>
        <w:spacing w:after="0" w:line="250" w:lineRule="exact"/>
        <w:rPr>
          <w:sz w:val="20"/>
          <w:szCs w:val="20"/>
          <w:color w:val="auto"/>
        </w:rPr>
      </w:pPr>
    </w:p>
    <w:p>
      <w:pPr>
        <w:ind w:left="720" w:hanging="712"/>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its acquisition of Power Solutions, the Company acquired a 49% interest in a joint venture in the People's Republic of China ("PRC"). The joint venture may purchase raw components and other goods from the Company and may sell finished goods to the Company as well as to other third parties. The Company did not purchase any inventory from the joint venture during the three or six months ended June 30, 2017 or 2016. At June 30, 2017, the Company owed the joint venture approximately $0.5 million, which is included in accounts payable on the accompanying condensed consolidated balance sheet. Subsequent to June 30, 2017, the Company divested its 49% interest in the joint venture in exchange for an extinguishment of the accounts payable balance of $0.5 million. As the interest in the joint venture had a carrying value of zero, a $0.5 million gain will be recorded during the third quarter of 2017 related to this divestiture.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in this Management's Discussion and Analysis of Financial Condition and Results of Operations ("MD&amp;A") should be read in conjunction with the Company's condensed consolidated financial statements and the related notes set forth in Item 1 of Part I of this quarterly report on Form 10-Q, our MD&amp;A set forth in Item 7 of Part II of our 2016 Annual Report on Form 10-K and our consolidated financial statements and related notes set forth in Item 8 of Part II of our 2016 Annual Report on Form 10-K. See Part II, Item 1A, "Risk Factors," below and "Cautionary Notice Regarding Forward-Looking Information," above, and the information referenced therein, for a description of risks that we face and important factors that we believe could cause actual results to differ materially from those in our forward-looking statements. All amounts and percentages are approximate due to rounding and all dollars are in millions, except per share amounts or where otherwise noted. When we cross-reference to a "Note," we are referring to our "Notes to Condensed Consolidated Financial Statements," unless the context indicates otherwise. All amounts noted within the tables are in thousands and amounts and percentages are approximate due to rounding.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manufacture and market a broad array of products that power, protect and connect electronic circuits. These products are primarily used in the networking, telecommunications, computing, military, aerospace, transportation and broadcasting industries. Bel's portfolio of products also finds application in the automotive, medical and consumer electronics markets.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through three geographic segments: North America, Asia and Europe. In the six months ended June 30, 2017, 51% of the Company's revenues were derived from North America, 33% from Asia and 16% from its Europe operating segment. By product group, 35% of sales for the six months ended June 30, 2017 related to the Company's connectivity solutions products, 33% in power solutions and protection products and 32% in magnetic products.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expenses are driven principally by the cost of labor where the factories that Bel uses are located, the cost of the materials that we use and our ability to effectively and efficiently manage overhead costs. As labor and material costs vary by product line and region, any significant shift in product mix can have an associated impact on our costs of sales. Costs are recorded as incurred for all products manufactured. Such amounts are determined based upon the estimated stage of production and include labor cost and fringes and related allocations of factory overhead. Our products are manufactured at various facilities in the U.S., Mexico, Dominican Republic, England, Czech Republic, Slovakia and the PRC.</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PRC, where we generally enter into processing arrangements with several independent third-party contractors and also have our own manufacturing facilities, the availability of labor is cyclical and is significantly affected by the migration of workers in relation to the annual Lunar New Year holiday as well as economic conditions in the PRC. In addition, we have little visibility into the ordering habits of our customers and we can be subjected to large and unpredictable variations in demand for our products. Accordingly, we must continually recruit and train new workers to replace those lost to attrition each year and be able to address peaks in demand that may occur from time to time. These recruiting and training efforts and related inefficiencies, and overtime required in order to meet demand, can add volatility to the costs incurred by us for labor in the PRC.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key factors affecting Bel's results for the three and six months ended June 30, 2017 and/or future results include the following:</w:t>
      </w:r>
    </w:p>
    <w:p>
      <w:pPr>
        <w:spacing w:after="0" w:line="252"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w:t>
      </w:r>
      <w:r>
        <w:rPr>
          <w:rFonts w:ascii="Times New Roman" w:cs="Times New Roman" w:eastAsia="Times New Roman" w:hAnsi="Times New Roman"/>
          <w:sz w:val="18"/>
          <w:szCs w:val="18"/>
          <w:color w:val="auto"/>
        </w:rPr>
        <w:t xml:space="preserve"> – Following seven consecutive quarters of year-over-year sales declines, sales in the second quarter of 2017 recovered to the same level as last year's second quarter. This was largely due to general market improvement and the resulting increase in demand for our products. Top line sales growth continues to be a company-wide priority.</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Mix</w:t>
      </w:r>
      <w:r>
        <w:rPr>
          <w:rFonts w:ascii="Times New Roman" w:cs="Times New Roman" w:eastAsia="Times New Roman" w:hAnsi="Times New Roman"/>
          <w:sz w:val="18"/>
          <w:szCs w:val="18"/>
          <w:color w:val="auto"/>
        </w:rPr>
        <w:t xml:space="preserve"> – Material and labor costs vary by product line and any significant shift in product mix between higher- and lower-margin product lines will have a corresponding impact on the Company's gross margin percentage. In general, our connectivity products have the highest contribution margins, our magnetic products are less profitable than the connectivity products and our power products are on the lower end of our profit margin range. Fluctuations in sales volume among our product groups will have a corresponding impact on Bel's profit margins.</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w:t>
      </w:r>
      <w:r>
        <w:rPr>
          <w:rFonts w:ascii="Times New Roman" w:cs="Times New Roman" w:eastAsia="Times New Roman" w:hAnsi="Times New Roman"/>
          <w:sz w:val="18"/>
          <w:szCs w:val="18"/>
          <w:color w:val="auto"/>
        </w:rPr>
        <w:t xml:space="preserve"> – We continue to closely monitor the performance of the Power Solutions business, and anticipate implementing certain actions designed to enable this business to improve its contribution to our consolidated results which may result in restructuring costs being incurred during the second half of 2017.</w:t>
      </w:r>
    </w:p>
    <w:p>
      <w:pPr>
        <w:sectPr>
          <w:pgSz w:w="11900" w:h="16838" w:orient="portrait"/>
          <w:cols w:equalWidth="0" w:num="1">
            <w:col w:w="11420"/>
          </w:cols>
          <w:pgMar w:left="240" w:top="112" w:right="2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175" w:lineRule="exact"/>
        <w:rPr>
          <w:sz w:val="20"/>
          <w:szCs w:val="20"/>
          <w:color w:val="auto"/>
        </w:rPr>
      </w:pPr>
    </w:p>
    <w:p>
      <w:pPr>
        <w:jc w:val="both"/>
        <w:ind w:left="660" w:hanging="328"/>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Foreign Currency</w:t>
      </w:r>
      <w:r>
        <w:rPr>
          <w:rFonts w:ascii="Times New Roman" w:cs="Times New Roman" w:eastAsia="Times New Roman" w:hAnsi="Times New Roman"/>
          <w:sz w:val="18"/>
          <w:szCs w:val="18"/>
          <w:color w:val="auto"/>
        </w:rPr>
        <w:t xml:space="preserve"> – Since we are a U.S. domiciled company, we translate our foreign currency-denominated financial results into U.S. dollars. Due to the changes in the value of foreign currencies relative to the U.S. dollar, translating our financial results and the revaluation of certain intercompany transactions to and from foreign currencies to U.S. dollars may result in a favorable or unfavorable impact to our condensed consolidated statements of operations and cash flows. The Company monitors changes in foreign currencies and implements pricing actions to help mitigate the impact that changes in foreign currencies may have on its operating results. See Selling, General and Administrative Expense below for further details.</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Enterprise Resource Planning ("ERP") System Implementation</w:t>
      </w:r>
      <w:r>
        <w:rPr>
          <w:rFonts w:ascii="Times New Roman" w:cs="Times New Roman" w:eastAsia="Times New Roman" w:hAnsi="Times New Roman"/>
          <w:sz w:val="18"/>
          <w:szCs w:val="18"/>
          <w:color w:val="auto"/>
        </w:rPr>
        <w:t xml:space="preserve"> – We are currently engaged in a multi-year process of conforming the majority of our operations onto one global ERP system. We currently estimate total costs over the next three years to be between $4 million to $5 million. During the three and six months ended June 30, 2017, the Company incurred consulting costs in connection with this implementation of $0.6 million and $1.0 million, respectively, which are included in SG&amp;A in the condensed consolidated statements of operations. We anticipate future expenses of approximately $0.5 million per quarter through the remainder of 2017. See "Liquidity and Capital Resources" below for further information.</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Tax Rate</w:t>
      </w:r>
      <w:r>
        <w:rPr>
          <w:rFonts w:ascii="Times New Roman" w:cs="Times New Roman" w:eastAsia="Times New Roman" w:hAnsi="Times New Roman"/>
          <w:sz w:val="18"/>
          <w:szCs w:val="18"/>
          <w:color w:val="auto"/>
        </w:rPr>
        <w:t xml:space="preserve"> – The Company's effective tax rate will fluctuate based on the geographic segment in which our pretax profits are earned. Of the geographic segments in which we operate, the U.S. has the highest tax rates; Europe's tax rates are generally lower than U.S. tax rates; and Asia has the lowest tax rates of the Company's three geographical segments.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saw partial recovery of our top line sales base in the second quarter of 2017, as signaled by the improvement in our book-to-bill ratio in the first quarter. There was an increase in demand for products in each of our product groups since year-end and backlog remained strong in the second quarter, an indication of an upturn in general market conditions. We have also been very active on the product development side, launching products that support initiatives such as OCP (Open Compute Program) and CORD (Central Office Rearchitected as a Datacenter) and other applications including marine broadcasting and industrial within our Power Solutions and Protection group. Our connectivity products are being used in new military programs, both in the U.S. and Europe. The aerospace segment continues to have a positive outlook for our connectivity products in the second half of 2017 with the ramp up in build rates of commercial aircraft. Within our Magnetics solutions group, demand has been strong for our established 1-gig and 10-gig ICMs as well as our recently introduced 2.5-gig and 5-gig variants. A primary focus of our management and sales teams continues to be top line sales growth, and the increase in sales experienced in the second quarter was an initial milestone toward meeting our corporate objectives of long-term sales growth.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by Operating Segment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to external customers by operating segment for the three and six months ended June 30, 2017 and 2016 were as follows:</w:t>
      </w:r>
    </w:p>
    <w:p>
      <w:pPr>
        <w:spacing w:after="0" w:line="252"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1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jc w:val="center"/>
              <w:ind w:right="720"/>
              <w:spacing w:after="0"/>
              <w:rPr>
                <w:sz w:val="20"/>
                <w:szCs w:val="20"/>
                <w:color w:val="auto"/>
              </w:rPr>
            </w:pPr>
            <w:r>
              <w:rPr>
                <w:rFonts w:ascii="Times New Roman" w:cs="Times New Roman" w:eastAsia="Times New Roman" w:hAnsi="Times New Roman"/>
                <w:sz w:val="18"/>
                <w:szCs w:val="18"/>
                <w:color w:val="auto"/>
                <w:w w:val="99"/>
              </w:rPr>
              <w:t>June 30,</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center"/>
              <w:ind w:right="600"/>
              <w:spacing w:after="0"/>
              <w:rPr>
                <w:sz w:val="20"/>
                <w:szCs w:val="20"/>
                <w:color w:val="auto"/>
              </w:rPr>
            </w:pPr>
            <w:r>
              <w:rPr>
                <w:rFonts w:ascii="Times New Roman" w:cs="Times New Roman" w:eastAsia="Times New Roman" w:hAnsi="Times New Roman"/>
                <w:sz w:val="18"/>
                <w:szCs w:val="18"/>
                <w:color w:val="auto"/>
                <w:w w:val="99"/>
              </w:rPr>
              <w:t>June 30,</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2017</w:t>
            </w:r>
          </w:p>
        </w:tc>
        <w:tc>
          <w:tcPr>
            <w:tcW w:w="4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2017</w:t>
            </w: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18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$ 125,335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$ 133,650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Asia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8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18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1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$ 245,285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$ 252,805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
        </w:trPr>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decline in North America sales noted above was primarily due to a reduction in Power Solutions sales in North America of $1.0 million during the three months ended June 30, 2017 and of $5.7 million during the first half of 2017 as compared to the same periods of 2016. North America segment sales were also impacted by a decline in sales of our modular plugs and cable assemblies within our Stewart Connector business where two major customers merged and in-sourced much of these products. This resulted in lower sales of $1.5 million during the three months ended June 30, 2017 and of $2.9 million during the first half of 2017 as compared to the same periods of 2016. The increase in sales in Asia noted in the table above was primarily driven by increased demand for our ICM products which are manufactured in that region. See Net Sales, Magnetic Solutions, below.</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and income from operations by operating segment for the three and six months ended June 30, 2017 and 2016 were as follows. Segment net sales are attributed to individual segments based on the geographic source of the billing for customer sales.</w:t>
      </w:r>
    </w:p>
    <w:p>
      <w:pPr>
        <w:spacing w:after="0" w:line="200" w:lineRule="exact"/>
        <w:rPr>
          <w:sz w:val="20"/>
          <w:szCs w:val="20"/>
          <w:color w:val="auto"/>
        </w:rPr>
      </w:pP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segment sales: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America</w:t>
            </w:r>
          </w:p>
        </w:tc>
        <w:tc>
          <w:tcPr>
            <w:tcW w:w="17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131,125</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Asia</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1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23,416</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23,432</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43,801</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sales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Intersegment sales</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(30,188)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(56,471)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131,617</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245,285</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252,805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North America</w:t>
            </w:r>
          </w:p>
        </w:tc>
        <w:tc>
          <w:tcPr>
            <w:tcW w:w="17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8"/>
                <w:szCs w:val="18"/>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18"/>
                <w:szCs w:val="18"/>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Asia</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non-cash impairment charge recorded during the first half of 2016 related to goodwill and other intangible assets impacted all of the Company's operating segments in the six-month period ended June 30, 2016, and the $2.6 million reduction in the impairment charge during the second quarter of 2016 reduced the impairment charge for the North America and Europe segments. See Note 12, Segments, for the allocation of this charge by operating segment. Excluding this impairment charge, income from operations by operating segment for the six months ended June 30, 2016 was $2.2 million for North America, $8.3 million for Asia and $2.0 million for Europe. Excluding the impairment charge, income from operations in North America decreased by $0.5 million in the first half of 2017 as compared to the same period of 2016 primarily due to a $3.4 million reduction of value-added tax (VAT) expenses as discussed in the Selling, General and Administrative Expense section below during the 2016 period, which did not occur in 2017. This was partially offset by lower incentive compensation recorded in North America in the first half of 2017 as compared to the same period of 2016. Excluding the impairment charge, Asia operating income was $1.9 million lower in the first half of 2017 largely due to a $1.8 million reduction of VAT expenses in Asia recorded during the first half of 2016, which did not occur in 2017. The decline in Europe operating income in the first half of 2017 as compared to the same period of 2016 resulted from lower sales in Europe in 2017 coupled with an unfavorable variance in foreign currency exchange (a loss of $1.5 million in the first half of 2017 as compared to a gain of $0.3 million in the first half of 2016).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sales by major product line for the three and six months ended June 30, 2017 and 2016 were as follows: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jc w:val="center"/>
              <w:ind w:right="680"/>
              <w:spacing w:after="0"/>
              <w:rPr>
                <w:sz w:val="20"/>
                <w:szCs w:val="20"/>
                <w:color w:val="auto"/>
              </w:rPr>
            </w:pPr>
            <w:r>
              <w:rPr>
                <w:rFonts w:ascii="Times New Roman" w:cs="Times New Roman" w:eastAsia="Times New Roman" w:hAnsi="Times New Roman"/>
                <w:sz w:val="18"/>
                <w:szCs w:val="18"/>
                <w:color w:val="auto"/>
                <w:w w:val="99"/>
              </w:rPr>
              <w:t>June 30,</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18"/>
                <w:szCs w:val="18"/>
                <w:color w:val="auto"/>
                <w:w w:val="99"/>
              </w:rPr>
              <w:t>June 30,</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2017</w:t>
            </w:r>
          </w:p>
        </w:tc>
        <w:tc>
          <w:tcPr>
            <w:tcW w:w="4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2016</w:t>
            </w:r>
          </w:p>
        </w:tc>
        <w:tc>
          <w:tcPr>
            <w:tcW w:w="4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2017</w:t>
            </w: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Magnetic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Connectivity solutions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198"/>
        </w:trPr>
        <w:tc>
          <w:tcPr>
            <w:tcW w:w="20" w:type="dxa"/>
            <w:vAlign w:val="bottom"/>
          </w:tcPr>
          <w:p>
            <w:pPr>
              <w:spacing w:after="0"/>
              <w:rPr>
                <w:sz w:val="17"/>
                <w:szCs w:val="17"/>
                <w:color w:val="auto"/>
              </w:rPr>
            </w:pPr>
          </w:p>
        </w:tc>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Power solutions and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protection</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89,626</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20" w:type="dxa"/>
            <w:vAlign w:val="bottom"/>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131,617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131,622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245,285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252,805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Magnetic Solutions: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Demand for our ICM/TRP products remained steady in the second quarter of 2017 for both our established 1-gig and 10-gig ICMs as well as our recently released 2.5-gig and 5-gig variants. A new product introduction at one of our large OEM customers in the second quarter of 2017 prompted a further increase in demand for our ICM products.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Solutions and Protection: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decline in power solutions and protection products during the second quarter of 2017 as compared to the same quarter of 2016 was primarily attributable to a $2.9 million reduction in Power Solutions sales. Sales within the Power Solutions business continued to trend downward throughout 2016 and into the first quarter of 2017, as new projects were moving through the 18-24 month design-to-market cycle and the NPS product line (sold in 2015) began to transition off of its 2-year manufacturing services agreement. While sales from the acquired Power Solutions business continued to decline on a year-over-year basis, they did show a 15.9% increase in sales compared to the first quarter of 2017. The year-over-year decline was partially offset by a $1.1 million increase in sales of our AC/DC converter products at our Bel Power Europe group in Italy (acquired in 2012) and higher circuit protection product sales of $0.2 million in the second quarter of 2017 as compared to the second quarter of 2016.</w:t>
      </w:r>
    </w:p>
    <w:p>
      <w:pPr>
        <w:sectPr>
          <w:pgSz w:w="11900" w:h="16838" w:orient="portrait"/>
          <w:cols w:equalWidth="0" w:num="1">
            <w:col w:w="11420"/>
          </w:cols>
          <w:pgMar w:left="240" w:top="112" w:right="239" w:bottom="397"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397" w:gutter="0" w:footer="0" w:header="0"/>
          <w:type w:val="continuous"/>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Connectivity Solutions: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reduction in sales of connectivity solutions products in the second quarter and first half of 2017 primarily relate to lower demand for plugs and structured cabling within our Stewart Connector business where two of our major customers merged and in-sourced much of these products. The remainder is largely tied to the deferral in construction spending, which started to rebound toward the end of the second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Sales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as a percentage of net sales for the three and six months ended June 30, 2017 and 2016 consisted of the following:</w:t>
      </w:r>
    </w:p>
    <w:p>
      <w:pPr>
        <w:spacing w:after="0" w:line="200" w:lineRule="exact"/>
        <w:rPr>
          <w:sz w:val="20"/>
          <w:szCs w:val="20"/>
          <w:color w:val="auto"/>
        </w:rPr>
      </w:pP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Three Months Ended</w:t>
            </w:r>
          </w:p>
        </w:tc>
        <w:tc>
          <w:tcPr>
            <w:tcW w:w="21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June 30,</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costs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Labor costs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w:t>
            </w: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 costs as a percentage of sales were lower during the three and six months ended June 30, 2017 as compared to the same period of 2016, primarily due to the decline in sales within our power solutions and protection group, as those products carry a higher material content than our other product lines.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costs as a percentage of sales were relatively flat during both the three and six months ended June 30, 2017 as compared to the same periods of 2016 as the increase in sales of our labor-intensive magnetic products was offset by cost savings realized from our recent restructuring efforts and lower incentive compensation recorded during the 2017 periods.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cost of sales is research and development ("R&amp;D") expense of $6.9 million and $6.3 million for the three months ended June 30, 2017 and 2016, respectively, and $13.5 million and $13.0 million for the six months ended June 30, 2017 and 2016, respectively.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other expenses noted in the table above include fixed cost items such as support labor and fringe, depreciation and amortization, and facility costs (rent, utilities, insurance). In total, these other expenses decreased during the three and six months ended June 30, 2017 by $2.1 million and $4.0 million, respectively, as compared to the same periods of 2016. The largest driver of the decrease in fixed costs was in support labor and fringe expense, which declined by $1.7 million in the second quarter of 2017 and by $2.6 million in the first half of 2017 as compared to the same periods of 2016, due to lower incentive compensation in the 2017 periods and cost savings from the restructuring efforts implemented in 2016.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 ("SG&amp;A")</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expense increased $3.9 million and $7.4 million during the three and six months ended June 30, 2017, respectively, as compared with the same periods of 2016. These increases consisted of the following:</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Increase (Decrease)</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0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Compared to Same Period</w:t>
            </w:r>
          </w:p>
        </w:tc>
      </w:tr>
      <w:tr>
        <w:trPr>
          <w:trHeight w:val="24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7"/>
              </w:rPr>
              <w:t>of 2016</w:t>
            </w:r>
          </w:p>
        </w:tc>
      </w:tr>
      <w:tr>
        <w:trPr>
          <w:trHeight w:val="198"/>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9"/>
              </w:rPr>
              <w:t>Three</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Months</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Six Months</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Ended</w:t>
            </w:r>
          </w:p>
        </w:tc>
        <w:tc>
          <w:tcPr>
            <w:tcW w:w="1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June 30,</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4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2017</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2017</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foreign currency exchange gains/losses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ERP system implementation consulting costs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fringe benefits</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(1,375)</w:t>
            </w:r>
          </w:p>
        </w:tc>
      </w:tr>
      <w:tr>
        <w:trPr>
          <w:trHeight w:val="216"/>
        </w:trPr>
        <w:tc>
          <w:tcPr>
            <w:tcW w:w="20" w:type="dxa"/>
            <w:vAlign w:val="bottom"/>
          </w:tcPr>
          <w:p>
            <w:pPr>
              <w:spacing w:after="0"/>
              <w:rPr>
                <w:sz w:val="18"/>
                <w:szCs w:val="18"/>
                <w:color w:val="auto"/>
              </w:rPr>
            </w:pPr>
          </w:p>
        </w:tc>
        <w:tc>
          <w:tcPr>
            <w:tcW w:w="7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20" w:type="dxa"/>
            <w:vAlign w:val="bottom"/>
          </w:tcPr>
          <w:p>
            <w:pPr>
              <w:spacing w:after="0"/>
              <w:rPr>
                <w:sz w:val="2"/>
                <w:szCs w:val="2"/>
                <w:color w:val="auto"/>
              </w:rPr>
            </w:pPr>
          </w:p>
        </w:tc>
        <w:tc>
          <w:tcPr>
            <w:tcW w:w="70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increase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variance in VAT expenses related to settlement of a tax liability which was originally recorded during the acquisition of the Power Solutions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acquired operating tax exposure was settled in full by the end of the second quarter of 2016, resulting in a reversal of these amounts in SG&amp;A.</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unfavorable variance in net foreign currency exchange was primarily due to the translation of intercompany balances between U.S. and foreign subsidiaries. For further information related to our ERP system implementation consulting costs, see the Liquidity and Capital Resources section below. The reduction in salaries and fringe benefits relates to lower compensation costs recorded during the 2017 periods and cost savings realized from recent restructuring efforts.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Goodwill and Other Intangible Assets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$106.0 million non-cash impairment charge related to its goodwill and trademarks during the first half of 2016 ($108.6 million recorded during the first quarter of 2016, reduced by $2.6 million upon finalization of the estimates and assumptions that supported the impairment charge during the second quarter of 2016). The impairment charge did not impact our cash expenditures, liquidity, financial performance, compliance with our debt covenants or affect the ongoing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(Benefit) for Income Taxes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will fluctuate based on the geographic segment in which the pretax profits are earned. Of the geographic segments in which the Company operates, the U.S. has the highest tax rates; Europe's tax rates are generally lower than U.S. tax rates; and Asia has the lowest tax rates of the Company's three geographical segments.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(benefit) for income taxes for the three months ended June 30, 2017 and 2016 was $2.3 million and ($14.1) million, respectively. The Company's earnings (loss) before provision (benefit) for income taxes for the three months ended June 30, 2017 were approximately $3.2 million lower than the same period in 2016, primarily attributable to a decrease in the Europe segment income. The Company's effective tax rate was 42.3% and (163.5%) for the three month periods ended June 30, 2017 and 2016, respectively. The change in the effective tax rate during the three months ended June 30, 2017 as compared to the same period of 2016, is primarily attributable to the settlement of liabilities for uncertain tax positions and, to a lesser extent, the finalization of the goodwill impairment during the 2016 period. Additionally, the increase in the effective tax rate for the three months ended June 30, 2017 as compared to the same period in 2016, is attributable to U.S. and foreign taxes accrued for gains recognized on a Bel Fuse legal entity restructuring transaction.</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(benefit) for income taxes for the six months ended June 30, 2017 and 2016 was $2.3 million and ($19.0) million, respectively. The Company's earnings (loss) before benefit for income taxes for the six months ended June 30, 2017 were approximately $103 million higher than the same period in 2016, primarily attributable to the $106.0 million impairment of the goodwill and intangible assets during the six months ended June 30, 2016. The Company's effective tax rate was 37.0% and (19.6%) for the six month periods ended June 30, 2017 and 2016, respectively. The change in the effective tax rate during the six months ended June 30, 2017 as compared to the same period of 2016, is primarily attributable to the tax effect related to the impairment of the goodwill and intangible assets, as well as the settlement of the liability for uncertain tax positions in 2016. Additionally, the increase in the effective tax rate for the six months ended June 30, 2017 as compared to the same period in 2016, is attributable to U.S. and foreign taxes accrued for gains recognized on a Bel Fuse legal entity restructuring transaction.</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sources of cash are the collection of trade receivables generated from the sales of our products and services to our customers and amounts available under our existing lines of credit, including our credit facility. Our primary uses of cash are payments for operating expenses, investments in working capital, capital expenditures, interest, taxes, dividends, debt obligations and other long-term liabilities. We believe that our current liquidity position and future cash flows from operations will enable us to fund our operations in the next twelve months.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and cash equivalents held by foreign subsidiaries of the Company amounted to $49.1 million at June 30, 2017 and $61.1 million at December 31, 2016 (representing 84% and 83%, respectively, of total cash and cash equivalents at each period-end). Management's intention is to permanently reinvest the earnings of its foreign subsidiaries and there are no current plans that would indicate a need to repatriate those earnings to fund the Company's U.S. operations. In the event foreign earnings were needed to fund the Company's U.S. operations and were repatriated by way of a taxable distribution, the Company would be required to accrue and pay U.S. taxes to repatriate these funds.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marketable securities and accounts receivable comprised approximately 34.4% of the Company's total assets at June 30, 2017 and 34.6% of total assets at December 31, 2016. The Company's current ratio (i.e., the ratio of current assets to current liabilities) was 2.7 to 1 at June 30, 2017 and 2.8 to 1 at December 31, 2016.</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19, 2014, the Company entered into a senior Credit and Security Agreement ("CSA") (see Note 7, Debt, for additional details). The CSA, as amended, contains customary representations and warranties, covenants and events of default and financial covenants that measure (i) the ratio of the Company's total funded indebtedness, on a consolidated basis, to the amount of the Company's consolidated EBITDA, as defined ("Leverage Ratio"), and (ii) the ratio of the amount of the Company's consolidated EBITDA to the Company's consolidated fixed charges. If an event of default occurs, the lenders under the CSA would be entitled to take various actions, including the acceleration of amounts due thereunder and all actions permitted to be taken by a secured creditor.</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2017, the Company was in compliance with its debt covenants, including its most restrictive covenant, the Leverage Ratio. The unused credit available under the credit facility at June 30, 2017 was $46.0 million, of which we had the ability to borrow $41.8 million without violating our Leverage Ratio covenant based on the Company's existing consolidated EBITDA.</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engaged in a multi-year process of conforming the majority of our operations onto one global ERP system. The ERP is designed to improve the efficiency of our supply chain and financial transaction processes, accurately maintain our books and records, and provide information important to the operation of the business to our management team. The implementation of the ERP is being conducted by business unit on a three phase approach over the next three years. We currently estimate total costs over the next three years to be between $4 million to $5 million. We recognized third-party consulting costs of $0.6 million and $1.1 million in the three and six months ended June 30, 2017, respectively. These costs are included in SG&amp;A on the condensed consolidated financial statements. Upon completion of the implementation of the new ERP, we anticipate lower maintenance and lower external information and technology support fees resulting in annual savings of approximately $2 million. The preceding sentence represents a Forward-Looking Statement. See "Cautionary Notice Regarding Forward-Looking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2017, the Company's cash and cash equivalents decreased by $14.7 million. This decrease was due to the following:</w:t>
      </w:r>
    </w:p>
    <w:p>
      <w:pPr>
        <w:spacing w:after="0" w:line="25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of $0.4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property, plant and equipment of $2.2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of $1.6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long-term debt of $15.4 million.</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2017, accounts receivable increased by $13.8 million primarily due to higher sales volume in the second quarter of 2017 as compared to the fourth quarter of 2016. Days sales outstanding (DSO) increased to 62 days at June 30, 2017 from 54 days at December 31, 2016, primary due the extension of credit terms with one of our large customers, as well as the increase in revenue (and resulting accounts receivable balance) in our Asia segment where DSO tends to be higher as compared to our other geographic segments. Inventory levels were up by $2.7 million at June 30, 2017 compared to December 31, 2016 as raw materials and work in progress balances increased from year-end levels to accommodate the recent increase in demand for our products.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Bel's financial condition and results of operations are based upon the Company's condensed consolidated financial statements, which have been prepared in accordance with U.S. GAAP. The preparation of these financial statements requires the Company to make estimates and judgments that affect the reported amounts of assets, liabilities, revenues and expenses, and related disclosure of contingent assets and liabilities. On an on-going basis, the Company evaluates its estimates, including those related to product returns, bad debts, inventories, goodwill, intangible assets, investments, warranties, SERP expense, income taxes and contingencies and litigation.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discussion of new financial accounting standards applicable to the Company is incorporated herein by reference to Note 1 to the Company's Financial Statements, "Basis of Presentation and Accounting Policies," included in Part I, Item 1 of this Quarterly Report on Form 10-Q.</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u w:val="single" w:color="auto"/>
          <w:color w:val="auto"/>
        </w:rPr>
        <w:t>Quantitative and Qualitative Disclosures About Market Risk</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 primarily from changes in foreign currency exchange rates and changes in interest rates associated with its long-term debt. There have not been any material changes with regard to market risk during the six months ended June 30, 2017. Refer to Item 7A, "Management's Discussion and Analysis of Financial Condition and Results of Operations," in the Company's Annual Report on Form 10-K for the year ended December 31, 2016 for further discussion of market risks.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u w:val="single" w:color="auto"/>
          <w:color w:val="auto"/>
        </w:rPr>
        <w:t>Controls and Procedures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As of the end of the period covered by this report, the Company carried out an evaluation, with the participation of the Company's management, including the Company's Chief Executive Officer and Vice President of Finance, of the effectiveness of the Company's disclosure controls and procedures pursuant to Securities Exchange Act Rule 13a-15. Based on that evaluation, the Company's Chief Executive Officer and Vice President of Finance concluded that the Company's disclosure controls and procedures were effective as of the end of the period covered by this report.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Changes in internal controls over financial reporting</w:t>
      </w:r>
      <w:r>
        <w:rPr>
          <w:rFonts w:ascii="Times New Roman" w:cs="Times New Roman" w:eastAsia="Times New Roman" w:hAnsi="Times New Roman"/>
          <w:sz w:val="18"/>
          <w:szCs w:val="18"/>
          <w:color w:val="auto"/>
        </w:rPr>
        <w:t>: There has not been any change in the Company's internal controls over financial reporting during the three months ended June 30, 2017 that has materially affected, or is reasonably likely to materially affect, the Company's internal control over financial reporting.</w:t>
      </w:r>
    </w:p>
    <w:p>
      <w:pPr>
        <w:spacing w:after="0" w:line="1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u w:val="single" w:color="auto"/>
          <w:color w:val="auto"/>
        </w:rPr>
        <w:t>Legal Proceedings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Note 11 of the Company's Financial Statements, under "Legal Proceedings", as set forth in Part I, Item 1 of this Quarterly Report on Form 10-Q. We are also involved in various other legal actions incidental to our business. We believe, after consulting with counsel, that the disposition of these other legal proceedings and matters will not have a material effect on our condensed consolidated financial condition or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u w:val="single" w:color="auto"/>
          <w:color w:val="auto"/>
        </w:rPr>
        <w:t>Risk Factors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 Item 1A, "Risk Factors," of our Annual Report on Form 10-K for the fiscal year ended December 31, 2016. Except as required by the federal securities law, we undertake no obligation to update or revise any risk factor, whether as a result of new information, future events or otherwise.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u w:val="single" w:color="auto"/>
          <w:color w:val="auto"/>
        </w:rPr>
        <w:t>Unregistered Sales of Equity Securities and Use of Proceeds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Company's purchase of shares of its Class A Common Stock during each calendar month in the quarter ended June 30, 2017:</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 that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Publicly</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Yet Be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Average</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Announced</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Price Paid</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Plans or</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Under the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Period</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per Share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 April 30, 2017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May 1 - May 31, 2017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 June 30, 2017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Bel Fuse Inc. Employees' Savings Plan (the "Employees' Savings Plan"), the Company makes matching contributions of pre-tax elective deferral contributions made by associates. Effective for matching contributions made for years after 2016, the Employees' Savings Plan provides for matching contributions to be invested in shares of the Company's Class A Common Stock. The trustees of the Employees' Savings Plan adopted a "10b5-1 Plan," in accordance with guidelines specified by Rule 10b5-1 under the Securities Exchange Act of 1934, as amended, to make open market purchases of shares of Class A Common Stock with such matching contributions. The purchases in the table above were made under the 10b5-1 Plan. The maximum dollar amount for cumulative purchases under the 10b5-1 Plan during the plan period (March 10, 2017 to August 15, 2017) will not exceed $650,000. At June 30, 2017, there were no further shares available for purchase under the 10b5-1 Plan, as the maximum dollar amount for cumulative purchases had been met.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80" w:type="dxa"/>
            <w:vAlign w:val="bottom"/>
            <w:tcBorders>
              <w:bottom w:val="single" w:sz="8" w:color="auto"/>
            </w:tcBorders>
          </w:tcPr>
          <w:p>
            <w:pPr>
              <w:spacing w:after="0"/>
              <w:rPr>
                <w:sz w:val="20"/>
                <w:szCs w:val="20"/>
                <w:color w:val="auto"/>
              </w:rPr>
            </w:pPr>
          </w:p>
        </w:tc>
        <w:tc>
          <w:tcPr>
            <w:tcW w:w="916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w:t>
            </w:r>
          </w:p>
        </w:tc>
        <w:tc>
          <w:tcPr>
            <w:tcW w:w="1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648"/>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31.1*</w:t>
            </w:r>
          </w:p>
        </w:tc>
        <w:tc>
          <w:tcPr>
            <w:tcW w:w="9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Certification of the President and Chief Executive Officer pursuant to Section 302 of the Sarbanes-Oxley Act of 2002</w:t>
            </w:r>
          </w:p>
        </w:tc>
      </w:tr>
      <w:tr>
        <w:trPr>
          <w:trHeight w:val="414"/>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31.2*</w:t>
            </w:r>
          </w:p>
        </w:tc>
        <w:tc>
          <w:tcPr>
            <w:tcW w:w="9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Certification of the Principal Financial Officer and Principal Accounting Officer pursuant to Section 302 of the Sarbanes-</w:t>
            </w:r>
          </w:p>
        </w:tc>
      </w:tr>
      <w:tr>
        <w:trPr>
          <w:trHeight w:val="234"/>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432"/>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6"/>
              </w:rPr>
              <w:t>32.1**</w:t>
            </w:r>
          </w:p>
        </w:tc>
        <w:tc>
          <w:tcPr>
            <w:tcW w:w="9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Certification of the President and Chief Executive Officer pursuant to Section 906 of the Sarbanes-Oxley Act of 2002.</w:t>
            </w:r>
          </w:p>
        </w:tc>
      </w:tr>
      <w:tr>
        <w:trPr>
          <w:trHeight w:val="414"/>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6"/>
              </w:rPr>
              <w:t>32.2**</w:t>
            </w:r>
          </w:p>
        </w:tc>
        <w:tc>
          <w:tcPr>
            <w:tcW w:w="9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Certification of the Principal Financial Officer and Principal Accounting Officer pursuant to Section 906 of the Sarbanes-</w:t>
            </w:r>
          </w:p>
        </w:tc>
      </w:tr>
      <w:tr>
        <w:trPr>
          <w:trHeight w:val="234"/>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432"/>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101.INS*</w:t>
            </w:r>
          </w:p>
        </w:tc>
        <w:tc>
          <w:tcPr>
            <w:tcW w:w="9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101.SCH*</w:t>
            </w:r>
          </w:p>
        </w:tc>
        <w:tc>
          <w:tcPr>
            <w:tcW w:w="9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101.CAL*</w:t>
            </w:r>
          </w:p>
        </w:tc>
        <w:tc>
          <w:tcPr>
            <w:tcW w:w="9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101.DEF*</w:t>
            </w:r>
          </w:p>
        </w:tc>
        <w:tc>
          <w:tcPr>
            <w:tcW w:w="9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101.LAB*</w:t>
            </w:r>
          </w:p>
        </w:tc>
        <w:tc>
          <w:tcPr>
            <w:tcW w:w="9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101.PRE*</w:t>
            </w:r>
          </w:p>
        </w:tc>
        <w:tc>
          <w:tcPr>
            <w:tcW w:w="9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675"/>
        </w:trPr>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Filed herewith.</w:t>
            </w:r>
          </w:p>
        </w:tc>
        <w:tc>
          <w:tcPr>
            <w:tcW w:w="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83"/>
        </w:trPr>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w w:val="90"/>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Submitted herewith.</w:t>
            </w:r>
          </w:p>
        </w:tc>
        <w:tc>
          <w:tcPr>
            <w:tcW w:w="80" w:type="dxa"/>
            <w:vAlign w:val="bottom"/>
          </w:tcPr>
          <w:p>
            <w:pPr>
              <w:spacing w:after="0"/>
              <w:rPr>
                <w:sz w:val="24"/>
                <w:szCs w:val="24"/>
                <w:color w:val="auto"/>
              </w:rPr>
            </w:pPr>
          </w:p>
        </w:tc>
        <w:tc>
          <w:tcPr>
            <w:tcW w:w="9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1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00" w:lineRule="exact"/>
        <w:rPr>
          <w:sz w:val="20"/>
          <w:szCs w:val="20"/>
          <w:color w:val="auto"/>
        </w:rPr>
      </w:pPr>
    </w:p>
    <w:p>
      <w:pPr>
        <w:spacing w:after="0" w:line="29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BEL FUSE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4, 2017</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By:/s/ Daniel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5715</wp:posOffset>
            </wp:positionV>
            <wp:extent cx="37560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8"/>
          <w:szCs w:val="18"/>
          <w:color w:val="auto"/>
        </w:rPr>
        <w:t>Daniel Bernstein</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By:/s/ Craig Brosious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17145</wp:posOffset>
            </wp:positionV>
            <wp:extent cx="37560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Craig Brosious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Vice President of Finance and Secretary</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Return to Index</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31.1* - Certification of the President and Chief Executive Officer pursuant to Section 302 of the Sarbanes-Oxley Act of 2002.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31.2* - Certification of the Principal Financial Officer and Principal Accounting Officer pursuant to Section 302 of the Sarbanes-Oxley Act of 2002.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32.1** - Certification of the President and Chief Executive Officer pursuant to Section 906 of the Sarbanes-Oxley Act of 2002.</w:t>
      </w:r>
    </w:p>
    <w:p>
      <w:pPr>
        <w:spacing w:after="0" w:line="252" w:lineRule="exact"/>
        <w:rPr>
          <w:sz w:val="20"/>
          <w:szCs w:val="20"/>
          <w:color w:val="auto"/>
        </w:rPr>
      </w:pPr>
    </w:p>
    <w:p>
      <w:pPr>
        <w:spacing w:after="0" w:line="532" w:lineRule="auto"/>
        <w:rPr>
          <w:sz w:val="20"/>
          <w:szCs w:val="20"/>
          <w:color w:val="auto"/>
        </w:rPr>
      </w:pPr>
      <w:r>
        <w:rPr>
          <w:rFonts w:ascii="Times New Roman" w:cs="Times New Roman" w:eastAsia="Times New Roman" w:hAnsi="Times New Roman"/>
          <w:sz w:val="18"/>
          <w:szCs w:val="18"/>
          <w:color w:val="auto"/>
        </w:rPr>
        <w:t>Exhibit 32.2** - Certification of the Principal Financial Officer and Principal Accounting Officer pursuant to Section 906 of the Sarbanes-Oxley Act of 2002. Exhibit 101.INS* – XBRL Instance Document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101.SCH* – XBRL Taxonomy Extension Schema Document</w:t>
      </w:r>
    </w:p>
    <w:p>
      <w:pPr>
        <w:spacing w:after="0" w:line="252" w:lineRule="exact"/>
        <w:rPr>
          <w:sz w:val="20"/>
          <w:szCs w:val="20"/>
          <w:color w:val="auto"/>
        </w:rPr>
      </w:pPr>
    </w:p>
    <w:p>
      <w:pPr>
        <w:ind w:right="5380"/>
        <w:spacing w:after="0" w:line="560" w:lineRule="auto"/>
        <w:rPr>
          <w:sz w:val="20"/>
          <w:szCs w:val="20"/>
          <w:color w:val="auto"/>
        </w:rPr>
      </w:pPr>
      <w:r>
        <w:rPr>
          <w:rFonts w:ascii="Times New Roman" w:cs="Times New Roman" w:eastAsia="Times New Roman" w:hAnsi="Times New Roman"/>
          <w:sz w:val="17"/>
          <w:szCs w:val="17"/>
          <w:color w:val="auto"/>
        </w:rPr>
        <w:t>Exhibit 101.CAL* – XBRL Taxonomy Extension Calculation Linkbase Document Exhibit 101.DEF* – XBRL Taxonomy Extension Definition Linkbase Document Exhibit 101.LAB* – XBRL Taxonomy Extension Label Linkbase Document Exhibit 101.PRE* – XBRL Taxonomy Extension Presentation Linkbase Document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Filed herewith.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Submitted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360"/>
          </w:cols>
          <w:pgMar w:left="240" w:top="111"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Bernstein, certify that:</w:t>
      </w:r>
    </w:p>
    <w:p>
      <w:pPr>
        <w:spacing w:after="0" w:line="252"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 Fuse Inc.;</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340" w:right="58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80" w:hanging="324"/>
        <w:spacing w:after="0" w:line="261"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1"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0"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Date: August 4, 2017</w:t>
      </w:r>
      <w:r>
        <w:rPr>
          <w:sz w:val="20"/>
          <w:szCs w:val="20"/>
          <w:color w:val="auto"/>
        </w:rPr>
        <w:tab/>
      </w:r>
      <w:r>
        <w:rPr>
          <w:rFonts w:ascii="Times New Roman" w:cs="Times New Roman" w:eastAsia="Times New Roman" w:hAnsi="Times New Roman"/>
          <w:sz w:val="18"/>
          <w:szCs w:val="18"/>
          <w:color w:val="auto"/>
        </w:rPr>
        <w:t>/s/ Daniel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17145</wp:posOffset>
            </wp:positionV>
            <wp:extent cx="37560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Daniel Bernstein</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Brosious, certify that:</w:t>
      </w:r>
    </w:p>
    <w:p>
      <w:pPr>
        <w:spacing w:after="0" w:line="252"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 Fuse Inc.;</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340" w:right="58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80" w:hanging="324"/>
        <w:spacing w:after="0" w:line="261"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1"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0"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Date: August 4, 2017</w:t>
      </w:r>
      <w:r>
        <w:rPr>
          <w:sz w:val="20"/>
          <w:szCs w:val="20"/>
          <w:color w:val="auto"/>
        </w:rPr>
        <w:tab/>
      </w:r>
      <w:r>
        <w:rPr>
          <w:rFonts w:ascii="Times New Roman" w:cs="Times New Roman" w:eastAsia="Times New Roman" w:hAnsi="Times New Roman"/>
          <w:sz w:val="17"/>
          <w:szCs w:val="17"/>
          <w:color w:val="auto"/>
        </w:rPr>
        <w:t>/s/ Craig Brosious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17145</wp:posOffset>
            </wp:positionV>
            <wp:extent cx="37560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Craig Brosious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Vice President of Finance and Secretary</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Bel Fuse Inc. (the "Company") on Form 10-Q for the quarter ended June 30, 2017 filed with the Securities and Exchange Commission (the "Report"), I, Daniel Bernstein, President and Chief Executive Officer of the Company, certify, pursuant to 18 U.S.C. Section 1350, as adopted pursuant to Section 906 of the Sarbanes-Oxley Act of 2002, that to my knowledge:</w:t>
      </w:r>
    </w:p>
    <w:p>
      <w:pPr>
        <w:spacing w:after="0" w:line="203"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firstLine="8"/>
        <w:spacing w:after="0" w:line="282" w:lineRule="auto"/>
        <w:tabs>
          <w:tab w:leader="none" w:pos="2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consolidated results of operations of the Company for the periods presented.</w:t>
      </w:r>
    </w:p>
    <w:p>
      <w:pPr>
        <w:spacing w:after="0" w:line="200" w:lineRule="exact"/>
        <w:rPr>
          <w:sz w:val="20"/>
          <w:szCs w:val="20"/>
          <w:color w:val="auto"/>
        </w:rPr>
      </w:pPr>
    </w:p>
    <w:p>
      <w:pPr>
        <w:spacing w:after="0" w:line="232"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Date: August 4, 2017</w:t>
      </w:r>
      <w:r>
        <w:rPr>
          <w:sz w:val="20"/>
          <w:szCs w:val="20"/>
          <w:color w:val="auto"/>
        </w:rPr>
        <w:tab/>
      </w:r>
      <w:r>
        <w:rPr>
          <w:rFonts w:ascii="Times New Roman" w:cs="Times New Roman" w:eastAsia="Times New Roman" w:hAnsi="Times New Roman"/>
          <w:sz w:val="18"/>
          <w:szCs w:val="18"/>
          <w:color w:val="auto"/>
        </w:rPr>
        <w:t>/s/ Daniel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17145</wp:posOffset>
            </wp:positionV>
            <wp:extent cx="37560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Daniel Bernstein</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Bel Fuse Inc. (the "Company") on Form 10-Q for the quarter ended June 30, 2017 filed with the Securities and Exchange Commission (the "Report"), I, Craig Brosious, Vice President of Finance (principal financial officer and principal accounting officer) and Secretary of the Company, certify, pursuant to 18 U.S.C. Section 1350, as adopted pursuant to Section 906 of the Sarbanes-Oxley Act of 2002, that to my knowledge:</w:t>
      </w:r>
    </w:p>
    <w:p>
      <w:pPr>
        <w:spacing w:after="0" w:line="203"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300" w:hanging="292"/>
        <w:spacing w:after="0" w:line="282" w:lineRule="auto"/>
        <w:tabs>
          <w:tab w:leader="none" w:pos="2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consolidated results of operations of the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Date: August 4, 2017</w:t>
      </w:r>
      <w:r>
        <w:rPr>
          <w:sz w:val="20"/>
          <w:szCs w:val="20"/>
          <w:color w:val="auto"/>
        </w:rPr>
        <w:tab/>
      </w:r>
      <w:r>
        <w:rPr>
          <w:rFonts w:ascii="Times New Roman" w:cs="Times New Roman" w:eastAsia="Times New Roman" w:hAnsi="Times New Roman"/>
          <w:sz w:val="17"/>
          <w:szCs w:val="17"/>
          <w:color w:val="auto"/>
        </w:rPr>
        <w:t>/s/ Craig Brosious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17145</wp:posOffset>
            </wp:positionV>
            <wp:extent cx="37560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5602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Craig Brosious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Vice President of Finance and Secretary</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7"/>
    </w:lvl>
  </w:abstractNum>
  <w:abstractNum w:abstractNumId="7">
    <w:nsid w:val="7FDCC233"/>
    <w:multiLevelType w:val="hybridMultilevel"/>
    <w:lvl w:ilvl="0">
      <w:lvlJc w:val="left"/>
      <w:lvlText w:val="%1."/>
      <w:numFmt w:val="decimal"/>
      <w:start w:val="8"/>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decimal"/>
      <w:start w:val="10"/>
    </w:lvl>
  </w:abstractNum>
  <w:abstractNum w:abstractNumId="10">
    <w:nsid w:val="6B68079A"/>
    <w:multiLevelType w:val="hybridMultilevel"/>
    <w:lvl w:ilvl="0">
      <w:lvlJc w:val="left"/>
      <w:lvlText w:val="%1"/>
      <w:numFmt w:val="decimal"/>
      <w:start w:val="1"/>
    </w:lvl>
    <w:lvl w:ilvl="1">
      <w:lvlJc w:val="left"/>
      <w:lvlText w:val="(%2)"/>
      <w:numFmt w:val="lowerLetter"/>
      <w:start w:val="1"/>
    </w:lvl>
  </w:abstractNum>
  <w:abstractNum w:abstractNumId="11">
    <w:nsid w:val="4E6AFB66"/>
    <w:multiLevelType w:val="hybridMultilevel"/>
    <w:lvl w:ilvl="0">
      <w:lvlJc w:val="left"/>
      <w:lvlText w:val="%1."/>
      <w:numFmt w:val="decimal"/>
      <w:start w:val="11"/>
    </w:lvl>
    <w:lvl w:ilvl="1">
      <w:lvlJc w:val="left"/>
      <w:lvlText w:val="%2"/>
      <w:numFmt w:val="lowerLetter"/>
      <w:start w:val="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2019-12-29T04:58:55Z</dcterms:created>
  <dcterms:modified xsi:type="dcterms:W3CDTF">2019-12-29T04:58:55Z</dcterms:modified>
</cp:coreProperties>
</file>