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Bel Fuse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$0.10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Highbridge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5"/>
        <w:gridCol w:w="8945"/>
        <w:gridCol w:w="155"/>
      </w:tblGrid>
      <w:tr>
        <w:trPr/>
        <w:tc>
          <w:tcPr>
            <w:tcW w:w="1105" w:type="dxa"/>
            <w:tcBorders/>
            <w:vAlign w:val="center"/>
          </w:tcPr>
          <w:p>
            <w:pPr>
              <w:pStyle w:val="TableContents"/>
              <w:bidi w:val="0"/>
              <w:spacing w:before="0" w:after="283"/>
              <w:jc w:val="left"/>
              <w:rPr/>
            </w:pPr>
            <w:r>
              <w:rPr/>
              <w:t>Item 1.</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issuer: </w:t>
            </w:r>
          </w:p>
          <w:p>
            <w:pPr>
              <w:pStyle w:val="TableContents"/>
              <w:bidi w:val="0"/>
              <w:spacing w:before="0" w:after="0"/>
              <w:jc w:val="left"/>
              <w:rPr/>
            </w:pPr>
            <w:r>
              <w:rPr/>
              <w:t>Bel Fuse Inc.</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Executive Drive, Suite 300, West Orange, NJ 07052</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2.</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Highbridge Capital Management, LLC ("Highbridge" or the "Reporting Person"), a Delaware limited liability company and the investment adviser to certain funds and accounts (the "Highbridge Funds"), with respect to the Class A common stock, par value $0.10 per share ("Class A Common Stock") of Bel Fuse Inc., a New Jersey corporation, that were directly held by the Highbridge Funds.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the Reporting Person is 390 Madison Avenue, 28th Floor,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jc w:val="left"/>
              <w:rPr/>
            </w:pPr>
            <w:r>
              <w:rPr/>
              <w:t xml:space="preserve">Citizenship: </w:t>
            </w:r>
          </w:p>
          <w:p>
            <w:pPr>
              <w:pStyle w:val="TableContents"/>
              <w:bidi w:val="0"/>
              <w:spacing w:before="0" w:after="0"/>
              <w:jc w:val="left"/>
              <w:rPr/>
            </w:pPr>
            <w:r>
              <w:rPr/>
              <w:t>Highbridge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$0.10 per share</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3.</w:t>
            </w:r>
          </w:p>
        </w:tc>
        <w:tc>
          <w:tcPr>
            <w:tcW w:w="894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(g)</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(h)</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(j)</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(k)</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9100"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4.</w:t>
            </w:r>
          </w:p>
        </w:tc>
        <w:tc>
          <w:tcPr>
            <w:tcW w:w="894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5.</w:t>
            </w:r>
          </w:p>
        </w:tc>
        <w:tc>
          <w:tcPr>
            <w:tcW w:w="894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6.</w:t>
            </w:r>
          </w:p>
        </w:tc>
        <w:tc>
          <w:tcPr>
            <w:tcW w:w="894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7.</w:t>
            </w:r>
          </w:p>
        </w:tc>
        <w:tc>
          <w:tcPr>
            <w:tcW w:w="894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8.</w:t>
            </w:r>
          </w:p>
        </w:tc>
        <w:tc>
          <w:tcPr>
            <w:tcW w:w="894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9.</w:t>
            </w:r>
          </w:p>
        </w:tc>
        <w:tc>
          <w:tcPr>
            <w:tcW w:w="894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Highbridge Capital Management,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Kirk Rule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By: Kirk Rule, Executive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952</Words>
  <Characters>4791</Characters>
  <CharactersWithSpaces>5738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