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elfb20251231d_10k.htm"/>
      <w:bookmarkStart w:id="1" w:name="ksbelfb20251231d_10k"/>
      <w:bookmarkEnd w:id="0"/>
      <w:bookmarkEnd w:id="1"/>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 </w:t>
      </w: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10-K</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0"/>
        <w:ind w:left="0" w:right="0" w:hanging="0"/>
        <w:jc w:val="center"/>
        <w:rPr/>
      </w:pPr>
      <w:r>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pPr>
            <w:r>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230" w:type="dxa"/>
            <w:tcBorders/>
            <w:vAlign w:val="center"/>
          </w:tcPr>
          <w:p>
            <w:pPr>
              <w:pStyle w:val="TableContents"/>
              <w:bidi w:val="0"/>
              <w:spacing w:before="0" w:after="0"/>
              <w:ind w:left="0" w:right="0" w:hanging="0"/>
              <w:jc w:val="left"/>
              <w:rPr/>
            </w:pPr>
            <w:r>
              <w:rPr/>
              <w:t> </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Fiscal Year Ended December 31, 2025</w:t>
            </w:r>
          </w:p>
        </w:tc>
      </w:tr>
      <w:tr>
        <w:trPr/>
        <w:tc>
          <w:tcPr>
            <w:tcW w:w="1009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tc>
      </w:tr>
      <w:tr>
        <w:trPr/>
        <w:tc>
          <w:tcPr>
            <w:tcW w:w="230" w:type="dxa"/>
            <w:tcBorders/>
            <w:vAlign w:val="center"/>
          </w:tcPr>
          <w:p>
            <w:pPr>
              <w:pStyle w:val="TableContents"/>
              <w:bidi w:val="0"/>
              <w:spacing w:before="0" w:after="0"/>
              <w:ind w:left="0" w:right="0" w:hanging="0"/>
              <w:jc w:val="left"/>
              <w:rPr/>
            </w:pPr>
            <w:r>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230" w:type="dxa"/>
            <w:tcBorders/>
            <w:vAlign w:val="center"/>
          </w:tcPr>
          <w:p>
            <w:pPr>
              <w:pStyle w:val="TableContents"/>
              <w:bidi w:val="0"/>
              <w:spacing w:before="0" w:after="0"/>
              <w:ind w:left="0" w:right="0" w:hanging="0"/>
              <w:jc w:val="left"/>
              <w:rPr/>
            </w:pPr>
            <w:r>
              <w:rPr/>
              <w:t> </w:t>
            </w:r>
          </w:p>
        </w:tc>
        <w:tc>
          <w:tcPr>
            <w:tcW w:w="98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transition period from ___________ to ____________</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No. 000-11676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BEL FUSE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ind w:left="160" w:right="0" w:hanging="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1925"/>
        <w:gridCol w:w="60"/>
        <w:gridCol w:w="2915"/>
      </w:tblGrid>
      <w:tr>
        <w:trPr/>
        <w:tc>
          <w:tcPr>
            <w:tcW w:w="19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Jersey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22-1463699</w:t>
            </w:r>
          </w:p>
        </w:tc>
      </w:tr>
      <w:tr>
        <w:trPr/>
        <w:tc>
          <w:tcPr>
            <w:tcW w:w="19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1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300 Executive Drive, Suite 300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West Orange, NJ  07052</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 and zip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(201) 432-0463</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center"/>
        <w:rPr/>
      </w:pPr>
      <w:r>
        <w:rPr/>
        <w:t> </w:t>
      </w:r>
    </w:p>
    <w:tbl>
      <w:tblPr>
        <w:tblW w:w="8565" w:type="dxa"/>
        <w:jc w:val="left"/>
        <w:tblInd w:w="0" w:type="dxa"/>
        <w:tblLayout w:type="fixed"/>
        <w:tblCellMar>
          <w:top w:w="0" w:type="dxa"/>
          <w:left w:w="0" w:type="dxa"/>
          <w:bottom w:w="28" w:type="dxa"/>
          <w:right w:w="0" w:type="dxa"/>
        </w:tblCellMar>
      </w:tblPr>
      <w:tblGrid>
        <w:gridCol w:w="3380"/>
        <w:gridCol w:w="60"/>
        <w:gridCol w:w="1325"/>
        <w:gridCol w:w="60"/>
        <w:gridCol w:w="3740"/>
      </w:tblGrid>
      <w:tr>
        <w:trPr/>
        <w:tc>
          <w:tcPr>
            <w:tcW w:w="3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2" w:space="0" w:color="000000"/>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7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Name of Each Exchange on which Registered</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($0.10 par value)</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BELFA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B Common Stock ($0.10 par value)</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BELFB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12(g) of the Act:  None</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9472"/>
        <w:gridCol w:w="388"/>
        <w:gridCol w:w="345"/>
      </w:tblGrid>
      <w:tr>
        <w:trPr/>
        <w:tc>
          <w:tcPr>
            <w:tcW w:w="94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w:t>
            </w:r>
          </w:p>
        </w:tc>
        <w:tc>
          <w:tcPr>
            <w:tcW w:w="3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w:t>
            </w:r>
          </w:p>
        </w:tc>
        <w:tc>
          <w:tcPr>
            <w:tcW w:w="3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 ☐</w:t>
            </w:r>
          </w:p>
        </w:tc>
      </w:tr>
      <w:tr>
        <w:trPr/>
        <w:tc>
          <w:tcPr>
            <w:tcW w:w="9472"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r>
      <w:tr>
        <w:trPr/>
        <w:tc>
          <w:tcPr>
            <w:tcW w:w="94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if the registrant is not required to file reports pursuant to Section 13 or 15(d) of the Act.</w:t>
            </w:r>
          </w:p>
        </w:tc>
        <w:tc>
          <w:tcPr>
            <w:tcW w:w="3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w:t>
            </w:r>
          </w:p>
        </w:tc>
        <w:tc>
          <w:tcPr>
            <w:tcW w:w="3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 ☒</w:t>
            </w:r>
          </w:p>
        </w:tc>
      </w:tr>
      <w:tr>
        <w:trPr/>
        <w:tc>
          <w:tcPr>
            <w:tcW w:w="9472"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r>
      <w:tr>
        <w:trPr/>
        <w:tc>
          <w:tcPr>
            <w:tcW w:w="94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3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w:t>
            </w:r>
          </w:p>
        </w:tc>
        <w:tc>
          <w:tcPr>
            <w:tcW w:w="3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 ☐</w:t>
            </w:r>
          </w:p>
        </w:tc>
      </w:tr>
      <w:tr>
        <w:trPr/>
        <w:tc>
          <w:tcPr>
            <w:tcW w:w="9472"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r>
      <w:tr>
        <w:trPr/>
        <w:tc>
          <w:tcPr>
            <w:tcW w:w="947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c>
          <w:tcPr>
            <w:tcW w:w="3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w:t>
            </w:r>
          </w:p>
        </w:tc>
        <w:tc>
          <w:tcPr>
            <w:tcW w:w="3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 ☐</w:t>
            </w:r>
          </w:p>
        </w:tc>
      </w:tr>
      <w:tr>
        <w:trPr/>
        <w:tc>
          <w:tcPr>
            <w:tcW w:w="9472"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07"/>
        <w:gridCol w:w="1827"/>
        <w:gridCol w:w="2243"/>
        <w:gridCol w:w="2833"/>
        <w:gridCol w:w="708"/>
        <w:gridCol w:w="387"/>
      </w:tblGrid>
      <w:tr>
        <w:trPr/>
        <w:tc>
          <w:tcPr>
            <w:tcW w:w="22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182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c>
          <w:tcPr>
            <w:tcW w:w="224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83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r>
        <w:trPr/>
        <w:tc>
          <w:tcPr>
            <w:tcW w:w="9110" w:type="dxa"/>
            <w:gridSpan w:val="4"/>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r>
      <w:tr>
        <w:trPr/>
        <w:tc>
          <w:tcPr>
            <w:tcW w:w="9110"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 </w:t>
            </w:r>
          </w:p>
        </w:tc>
        <w:tc>
          <w:tcPr>
            <w:tcW w:w="387"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right"/>
              <w:rPr/>
            </w:pPr>
            <w:r>
              <w:rPr/>
              <w:t> </w:t>
            </w:r>
          </w:p>
        </w:tc>
      </w:tr>
      <w:tr>
        <w:trPr/>
        <w:tc>
          <w:tcPr>
            <w:tcW w:w="9110" w:type="dxa"/>
            <w:gridSpan w:val="4"/>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 </w:t>
            </w:r>
          </w:p>
        </w:tc>
        <w:tc>
          <w:tcPr>
            <w:tcW w:w="387" w:type="dxa"/>
            <w:tcBorders/>
            <w:vAlign w:val="center"/>
          </w:tcPr>
          <w:p>
            <w:pPr>
              <w:pStyle w:val="TableContents"/>
              <w:bidi w:val="0"/>
              <w:spacing w:before="0" w:after="283"/>
              <w:jc w:val="left"/>
              <w:rPr/>
            </w:pPr>
            <w:r>
              <w:rPr/>
              <w:t> </w:t>
            </w:r>
          </w:p>
        </w:tc>
      </w:tr>
      <w:tr>
        <w:trPr/>
        <w:tc>
          <w:tcPr>
            <w:tcW w:w="9110" w:type="dxa"/>
            <w:gridSpan w:val="4"/>
            <w:tcBorders/>
            <w:vAlign w:val="center"/>
          </w:tcPr>
          <w:p>
            <w:pPr>
              <w:pStyle w:val="TableContents"/>
              <w:bidi w:val="0"/>
              <w:spacing w:before="0" w:after="283"/>
              <w:jc w:val="both"/>
              <w:rPr/>
            </w:pPr>
            <w:r>
              <w:rPr/>
              <w:t>If securities are registered pursuant to Section 12(b) of the Act, indicate by check mark whether the financial statements of the registrant included in the filing reflect the correction of an error to previously issued financial statements.</w:t>
            </w:r>
          </w:p>
        </w:tc>
        <w:tc>
          <w:tcPr>
            <w:tcW w:w="708"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left"/>
              <w:rPr/>
            </w:pPr>
            <w:r>
              <w:rPr/>
              <w:t> </w:t>
            </w:r>
          </w:p>
        </w:tc>
      </w:tr>
      <w:tr>
        <w:trPr/>
        <w:tc>
          <w:tcPr>
            <w:tcW w:w="9110" w:type="dxa"/>
            <w:gridSpan w:val="4"/>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387" w:type="dxa"/>
            <w:tcBorders/>
            <w:vAlign w:val="center"/>
          </w:tcPr>
          <w:p>
            <w:pPr>
              <w:pStyle w:val="TableContents"/>
              <w:bidi w:val="0"/>
              <w:spacing w:before="0" w:after="283"/>
              <w:jc w:val="left"/>
              <w:rPr/>
            </w:pPr>
            <w:r>
              <w:rPr/>
              <w:t> </w:t>
            </w:r>
          </w:p>
        </w:tc>
      </w:tr>
      <w:tr>
        <w:trPr/>
        <w:tc>
          <w:tcPr>
            <w:tcW w:w="9110" w:type="dxa"/>
            <w:gridSpan w:val="4"/>
            <w:tcBorders/>
            <w:vAlign w:val="center"/>
          </w:tcPr>
          <w:p>
            <w:pPr>
              <w:pStyle w:val="TableContents"/>
              <w:bidi w:val="0"/>
              <w:spacing w:before="0" w:after="283"/>
              <w:jc w:val="both"/>
              <w:rPr/>
            </w:pPr>
            <w:r>
              <w:rPr/>
              <w:t>Indicate by check mark whether any of those error corrections are restatements that required a recovery analysis of incentive-based compensation received by any of the registrant’s executive officers during the relevant recovery period pursuant to §240.10D-1(b).</w:t>
            </w:r>
          </w:p>
        </w:tc>
        <w:tc>
          <w:tcPr>
            <w:tcW w:w="708" w:type="dxa"/>
            <w:tcBorders/>
            <w:vAlign w:val="center"/>
          </w:tcPr>
          <w:p>
            <w:pPr>
              <w:pStyle w:val="TableContents"/>
              <w:bidi w:val="0"/>
              <w:spacing w:before="0" w:after="283"/>
              <w:jc w:val="right"/>
              <w:rPr/>
            </w:pPr>
            <w:r>
              <w:rPr/>
              <w:t>☐</w:t>
            </w:r>
          </w:p>
        </w:tc>
        <w:tc>
          <w:tcPr>
            <w:tcW w:w="387" w:type="dxa"/>
            <w:tcBorders/>
            <w:vAlign w:val="center"/>
          </w:tcPr>
          <w:p>
            <w:pPr>
              <w:pStyle w:val="TableContents"/>
              <w:bidi w:val="0"/>
              <w:spacing w:before="0" w:after="283"/>
              <w:jc w:val="left"/>
              <w:rPr/>
            </w:pPr>
            <w:r>
              <w:rPr/>
              <w:t> </w:t>
            </w:r>
          </w:p>
        </w:tc>
      </w:tr>
      <w:tr>
        <w:trPr/>
        <w:tc>
          <w:tcPr>
            <w:tcW w:w="9110" w:type="dxa"/>
            <w:gridSpan w:val="4"/>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 </w:t>
            </w:r>
          </w:p>
        </w:tc>
        <w:tc>
          <w:tcPr>
            <w:tcW w:w="387" w:type="dxa"/>
            <w:tcBorders/>
            <w:vAlign w:val="center"/>
          </w:tcPr>
          <w:p>
            <w:pPr>
              <w:pStyle w:val="TableContents"/>
              <w:bidi w:val="0"/>
              <w:spacing w:before="0" w:after="283"/>
              <w:jc w:val="left"/>
              <w:rPr/>
            </w:pPr>
            <w:r>
              <w:rPr/>
              <w:t> </w:t>
            </w:r>
          </w:p>
        </w:tc>
      </w:tr>
      <w:tr>
        <w:trPr/>
        <w:tc>
          <w:tcPr>
            <w:tcW w:w="9110" w:type="dxa"/>
            <w:gridSpan w:val="4"/>
            <w:tcBorders/>
            <w:vAlign w:val="center"/>
          </w:tcPr>
          <w:p>
            <w:pPr>
              <w:pStyle w:val="TableContents"/>
              <w:bidi w:val="0"/>
              <w:spacing w:before="0" w:after="283"/>
              <w:jc w:val="both"/>
              <w:rPr/>
            </w:pPr>
            <w:r>
              <w:rPr/>
              <w:t>Indicate by check mark whether the registrant is a shell company (as defined in Rule 12b-2 of the Act).</w:t>
            </w:r>
          </w:p>
        </w:tc>
        <w:tc>
          <w:tcPr>
            <w:tcW w:w="708" w:type="dxa"/>
            <w:tcBorders/>
            <w:vAlign w:val="center"/>
          </w:tcPr>
          <w:p>
            <w:pPr>
              <w:pStyle w:val="TableContents"/>
              <w:bidi w:val="0"/>
              <w:spacing w:before="0" w:after="283"/>
              <w:jc w:val="right"/>
              <w:rPr/>
            </w:pPr>
            <w:r>
              <w:rPr/>
              <w:t>Yes ☐</w:t>
            </w:r>
          </w:p>
        </w:tc>
        <w:tc>
          <w:tcPr>
            <w:tcW w:w="387" w:type="dxa"/>
            <w:tcBorders/>
            <w:vAlign w:val="center"/>
          </w:tcPr>
          <w:p>
            <w:pPr>
              <w:pStyle w:val="TableContents"/>
              <w:bidi w:val="0"/>
              <w:spacing w:before="0" w:after="283"/>
              <w:jc w:val="right"/>
              <w:rPr/>
            </w:pPr>
            <w:r>
              <w:rPr/>
              <w:t>No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aggregate market value of the voting and non-voting common equity of the registrant held by non-affiliates (for this purpose, persons and entities other than executive officers and directors) of the registrant, as of the last business day of the registrant's most recently completed second fiscal quarter (June 30, 2025) was approximately $1.2 billion based on the closing sale price as reported on the NASDAQ Global Select Market.</w:t>
      </w:r>
    </w:p>
    <w:p>
      <w:pPr>
        <w:pStyle w:val="TextBody"/>
        <w:bidi w:val="0"/>
        <w:spacing w:before="0" w:after="0"/>
        <w:ind w:left="0" w:right="0" w:hanging="0"/>
        <w:jc w:val="left"/>
        <w:rPr/>
      </w:pPr>
      <w:r>
        <w:rPr/>
        <w:t> </w:t>
      </w:r>
    </w:p>
    <w:tbl>
      <w:tblPr>
        <w:tblW w:w="7960" w:type="dxa"/>
        <w:jc w:val="left"/>
        <w:tblInd w:w="0" w:type="dxa"/>
        <w:tblLayout w:type="fixed"/>
        <w:tblCellMar>
          <w:top w:w="0" w:type="dxa"/>
          <w:left w:w="0" w:type="dxa"/>
          <w:bottom w:w="28" w:type="dxa"/>
          <w:right w:w="0" w:type="dxa"/>
        </w:tblCellMar>
      </w:tblPr>
      <w:tblGrid>
        <w:gridCol w:w="1955"/>
        <w:gridCol w:w="60"/>
        <w:gridCol w:w="5945"/>
      </w:tblGrid>
      <w:tr>
        <w:trPr/>
        <w:tc>
          <w:tcPr>
            <w:tcW w:w="19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9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Number of Shares of Common Stock Outstanding as of January </w:t>
            </w:r>
            <w:r>
              <w:rPr>
                <w:rFonts w:ascii="Times New Roman;Times;serif" w:hAnsi="Times New Roman;Times;serif"/>
                <w:i/>
                <w:color w:val="000000"/>
                <w:sz w:val="20"/>
              </w:rPr>
              <w:t>31, 2026</w:t>
            </w:r>
          </w:p>
        </w:tc>
      </w:tr>
      <w:tr>
        <w:trPr/>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945" w:type="dxa"/>
            <w:tcBorders/>
            <w:tcMar>
              <w:bottom w:w="0" w:type="dxa"/>
            </w:tcMar>
            <w:vAlign w:val="center"/>
          </w:tcPr>
          <w:p>
            <w:pPr>
              <w:pStyle w:val="TableContents"/>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2,115,263</w:t>
            </w:r>
          </w:p>
        </w:tc>
      </w:tr>
      <w:tr>
        <w:trPr/>
        <w:tc>
          <w:tcPr>
            <w:tcW w:w="195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B Common Stock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945" w:type="dxa"/>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10,541,050</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DOCUMENTS INCORPORATED BY REFERENCE:</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Portions of Bel Fuse Inc.'s Definitive Proxy Statement for the 2026 Annual Meeting of Shareholders are incorporated by reference into Part III of this Annual Report on Form 10-K, which Definitive Proxy Statement shall be filed with the Securities and Exchange Commission within 120 days after the end of the fiscal year to which this Annual Report on Form 10-K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890"/>
        <w:gridCol w:w="675"/>
        <w:gridCol w:w="8214"/>
        <w:gridCol w:w="426"/>
      </w:tblGrid>
      <w:tr>
        <w:trPr/>
        <w:tc>
          <w:tcPr>
            <w:tcW w:w="10205" w:type="dxa"/>
            <w:gridSpan w:val="4"/>
            <w:tcBorders/>
            <w:vAlign w:val="center"/>
          </w:tcPr>
          <w:p>
            <w:pPr>
              <w:pStyle w:val="TableContents"/>
              <w:bidi w:val="0"/>
              <w:spacing w:before="0" w:after="0"/>
              <w:ind w:left="0" w:right="0" w:hanging="0"/>
              <w:jc w:val="center"/>
              <w:rPr>
                <w:rFonts w:ascii="Times New Roman;Times;serif" w:hAnsi="Times New Roman;Times;serif"/>
                <w:sz w:val="20"/>
              </w:rPr>
            </w:pPr>
            <w:bookmarkStart w:id="2" w:name="toc"/>
            <w:bookmarkEnd w:id="2"/>
            <w:r>
              <w:rPr>
                <w:rFonts w:ascii="Times New Roman;Times;serif" w:hAnsi="Times New Roman;Times;serif"/>
                <w:sz w:val="20"/>
              </w:rPr>
              <w:t>BEL FUSE INC.</w:t>
            </w:r>
          </w:p>
        </w:tc>
      </w:tr>
      <w:tr>
        <w:trPr/>
        <w:tc>
          <w:tcPr>
            <w:tcW w:w="89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left"/>
              <w:rPr/>
            </w:pPr>
            <w:r>
              <w:rPr/>
              <w:t> </w:t>
            </w:r>
          </w:p>
        </w:tc>
        <w:tc>
          <w:tcPr>
            <w:tcW w:w="8214"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r>
      <w:tr>
        <w:trPr/>
        <w:tc>
          <w:tcPr>
            <w:tcW w:w="10205"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10-K INDEX</w:t>
            </w:r>
          </w:p>
        </w:tc>
      </w:tr>
      <w:tr>
        <w:trPr/>
        <w:tc>
          <w:tcPr>
            <w:tcW w:w="89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left"/>
              <w:rPr/>
            </w:pPr>
            <w:r>
              <w:rPr/>
              <w:t> </w:t>
            </w:r>
          </w:p>
        </w:tc>
        <w:tc>
          <w:tcPr>
            <w:tcW w:w="8214"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r>
      <w:tr>
        <w:trPr/>
        <w:tc>
          <w:tcPr>
            <w:tcW w:w="89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left"/>
              <w:rPr/>
            </w:pPr>
            <w:r>
              <w:rPr/>
              <w:t> </w:t>
            </w:r>
          </w:p>
        </w:tc>
        <w:tc>
          <w:tcPr>
            <w:tcW w:w="8214" w:type="dxa"/>
            <w:tcBorders/>
            <w:vAlign w:val="center"/>
          </w:tcPr>
          <w:p>
            <w:pPr>
              <w:pStyle w:val="TableContents"/>
              <w:bidi w:val="0"/>
              <w:spacing w:before="0" w:after="0"/>
              <w:ind w:left="0" w:right="0" w:hanging="0"/>
              <w:jc w:val="left"/>
              <w:rPr/>
            </w:pPr>
            <w:r>
              <w:rPr/>
              <w:t> </w:t>
            </w:r>
          </w:p>
        </w:tc>
        <w:tc>
          <w:tcPr>
            <w:tcW w:w="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90" w:type="dxa"/>
            <w:tcBorders/>
            <w:vAlign w:val="center"/>
          </w:tcPr>
          <w:p>
            <w:pPr>
              <w:pStyle w:val="TableContents"/>
              <w:bidi w:val="0"/>
              <w:spacing w:before="0" w:after="0"/>
              <w:ind w:left="0" w:right="0" w:hanging="0"/>
              <w:jc w:val="left"/>
              <w:rPr/>
            </w:pPr>
            <w:r>
              <w:rPr/>
              <w:t> </w:t>
            </w:r>
          </w:p>
        </w:tc>
        <w:tc>
          <w:tcPr>
            <w:tcW w:w="675" w:type="dxa"/>
            <w:tcBorders/>
            <w:vAlign w:val="center"/>
          </w:tcPr>
          <w:p>
            <w:pPr>
              <w:pStyle w:val="TableContents"/>
              <w:bidi w:val="0"/>
              <w:spacing w:before="0" w:after="0"/>
              <w:ind w:left="0" w:right="0" w:hanging="0"/>
              <w:jc w:val="left"/>
              <w:rPr/>
            </w:pPr>
            <w:r>
              <w:rPr/>
              <w:t> </w:t>
            </w:r>
          </w:p>
        </w:tc>
        <w:tc>
          <w:tcPr>
            <w:tcW w:w="8214" w:type="dxa"/>
            <w:tcBorders/>
            <w:vAlign w:val="center"/>
          </w:tcPr>
          <w:p>
            <w:pPr>
              <w:pStyle w:val="TableContents"/>
              <w:bidi w:val="0"/>
              <w:spacing w:before="0" w:after="0"/>
              <w:ind w:left="0" w:right="0" w:hanging="0"/>
              <w:jc w:val="left"/>
              <w:rPr/>
            </w:pPr>
            <w:r>
              <w:rPr/>
              <w:t> </w:t>
            </w:r>
          </w:p>
        </w:tc>
        <w:tc>
          <w:tcPr>
            <w:tcW w:w="426" w:type="dxa"/>
            <w:tcBorders/>
            <w:vAlign w:val="center"/>
          </w:tcPr>
          <w:p>
            <w:pPr>
              <w:pStyle w:val="TableContents"/>
              <w:bidi w:val="0"/>
              <w:spacing w:before="0" w:after="0"/>
              <w:ind w:left="0" w:right="0" w:hanging="0"/>
              <w:jc w:val="left"/>
              <w:rPr/>
            </w:pPr>
            <w:r>
              <w:rPr/>
              <w:t> </w:t>
            </w:r>
          </w:p>
        </w:tc>
      </w:tr>
      <w:tr>
        <w:trPr/>
        <w:tc>
          <w:tcPr>
            <w:tcW w:w="9779" w:type="dxa"/>
            <w:gridSpan w:val="3"/>
            <w:tcBorders/>
            <w:shd w:fill="CCEEFF" w:val="clear"/>
            <w:vAlign w:val="center"/>
          </w:tcPr>
          <w:p>
            <w:pPr>
              <w:pStyle w:val="TableContents"/>
              <w:bidi w:val="0"/>
              <w:spacing w:before="0" w:after="0"/>
              <w:ind w:left="0" w:right="0" w:hanging="0"/>
              <w:jc w:val="left"/>
              <w:rPr/>
            </w:pPr>
            <w:hyperlink w:anchor="Cautionary_Notice">
              <w:r>
                <w:rPr>
                  <w:rStyle w:val="InternetLink"/>
                  <w:rFonts w:ascii="Times New Roman;Times;serif" w:hAnsi="Times New Roman;Times;serif"/>
                  <w:sz w:val="20"/>
                </w:rPr>
                <w:t>Cautionary Notice Regarding Forward-Looking Information</w:t>
              </w:r>
            </w:hyperlink>
          </w:p>
        </w:tc>
        <w:tc>
          <w:tcPr>
            <w:tcW w:w="426" w:type="dxa"/>
            <w:tcBorders/>
            <w:shd w:fill="CCEEFF" w:val="clear"/>
            <w:vAlign w:val="center"/>
          </w:tcPr>
          <w:p>
            <w:pPr>
              <w:pStyle w:val="TableContents"/>
              <w:bidi w:val="0"/>
              <w:spacing w:before="0" w:after="0"/>
              <w:ind w:left="0" w:right="0" w:hanging="0"/>
              <w:jc w:val="right"/>
              <w:rPr/>
            </w:pPr>
            <w:hyperlink w:anchor="Cautionary_Notice">
              <w:r>
                <w:rPr>
                  <w:rStyle w:val="InternetLink"/>
                  <w:rFonts w:ascii="Times New Roman;Times;serif" w:hAnsi="Times New Roman;Times;serif"/>
                  <w:sz w:val="20"/>
                </w:rPr>
                <w:t>(i)</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0"/>
              <w:ind w:left="0" w:right="0" w:hanging="0"/>
              <w:jc w:val="left"/>
              <w:rPr/>
            </w:pPr>
            <w:r>
              <w:rPr/>
              <w:t> </w:t>
            </w:r>
          </w:p>
        </w:tc>
      </w:tr>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w:t>
            </w:r>
          </w:p>
        </w:tc>
        <w:tc>
          <w:tcPr>
            <w:tcW w:w="675" w:type="dxa"/>
            <w:tcBorders/>
            <w:shd w:fill="CCEEFF" w:val="clear"/>
            <w:vAlign w:val="center"/>
          </w:tcPr>
          <w:p>
            <w:pPr>
              <w:pStyle w:val="TableContents"/>
              <w:bidi w:val="0"/>
              <w:spacing w:before="0" w:after="0"/>
              <w:ind w:left="0" w:right="0" w:hanging="0"/>
              <w:jc w:val="left"/>
              <w:rPr/>
            </w:pPr>
            <w:r>
              <w:rPr/>
              <w:t> </w:t>
            </w:r>
          </w:p>
        </w:tc>
        <w:tc>
          <w:tcPr>
            <w:tcW w:w="8214" w:type="dxa"/>
            <w:tcBorders/>
            <w:shd w:fill="CCEEFF" w:val="clear"/>
            <w:vAlign w:val="center"/>
          </w:tcPr>
          <w:p>
            <w:pPr>
              <w:pStyle w:val="TableContents"/>
              <w:bidi w:val="0"/>
              <w:spacing w:before="0" w:after="0"/>
              <w:ind w:left="0" w:right="0" w:hanging="0"/>
              <w:jc w:val="left"/>
              <w:rPr/>
            </w:pPr>
            <w:r>
              <w:rPr/>
              <w:t> </w:t>
            </w:r>
          </w:p>
        </w:tc>
        <w:tc>
          <w:tcPr>
            <w:tcW w:w="426" w:type="dxa"/>
            <w:tcBorders/>
            <w:shd w:fill="CCEEFF" w:val="clear"/>
            <w:vAlign w:val="center"/>
          </w:tcPr>
          <w:p>
            <w:pPr>
              <w:pStyle w:val="TableContents"/>
              <w:bidi w:val="0"/>
              <w:spacing w:before="0" w:after="0"/>
              <w:ind w:left="0" w:right="0" w:hanging="0"/>
              <w:jc w:val="right"/>
              <w:rPr/>
            </w:pPr>
            <w:r>
              <w:rPr/>
              <w:t> </w:t>
            </w:r>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0"/>
              <w:ind w:left="0" w:right="0" w:hanging="0"/>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214" w:type="dxa"/>
            <w:tcBorders/>
            <w:shd w:fill="CCEEFF" w:val="clear"/>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Business</w:t>
              </w:r>
            </w:hyperlink>
          </w:p>
        </w:tc>
        <w:tc>
          <w:tcPr>
            <w:tcW w:w="426" w:type="dxa"/>
            <w:tcBorders/>
            <w:shd w:fill="CCEEFF" w:val="clear"/>
            <w:vAlign w:val="center"/>
          </w:tcPr>
          <w:p>
            <w:pPr>
              <w:pStyle w:val="TableContents"/>
              <w:bidi w:val="0"/>
              <w:spacing w:before="0" w:after="283"/>
              <w:jc w:val="right"/>
              <w:rPr/>
            </w:pPr>
            <w:hyperlink w:anchor="item1">
              <w:r>
                <w:rPr>
                  <w:rStyle w:val="InternetLink"/>
                  <w:rFonts w:ascii="Times New Roman;Times;serif" w:hAnsi="Times New Roman;Times;serif"/>
                  <w:sz w:val="20"/>
                </w:rPr>
                <w:t>1</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8214" w:type="dxa"/>
            <w:tcBorders/>
            <w:shd w:fill="CCEEFF" w:val="clear"/>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426" w:type="dxa"/>
            <w:tcBorders/>
            <w:shd w:fill="CCEEFF" w:val="clear"/>
            <w:vAlign w:val="center"/>
          </w:tcPr>
          <w:p>
            <w:pPr>
              <w:pStyle w:val="TableContents"/>
              <w:bidi w:val="0"/>
              <w:spacing w:before="0" w:after="283"/>
              <w:jc w:val="right"/>
              <w:rPr/>
            </w:pPr>
            <w:hyperlink w:anchor="item1a">
              <w:r>
                <w:rPr>
                  <w:rStyle w:val="InternetLink"/>
                  <w:rFonts w:ascii="Times New Roman;Times;serif" w:hAnsi="Times New Roman;Times;serif"/>
                  <w:sz w:val="20"/>
                </w:rPr>
                <w:t>7</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1B.</w:t>
            </w:r>
          </w:p>
        </w:tc>
        <w:tc>
          <w:tcPr>
            <w:tcW w:w="8214" w:type="dxa"/>
            <w:tcBorders/>
            <w:shd w:fill="CCEEFF" w:val="clear"/>
            <w:vAlign w:val="center"/>
          </w:tcPr>
          <w:p>
            <w:pPr>
              <w:pStyle w:val="TableContents"/>
              <w:bidi w:val="0"/>
              <w:spacing w:before="0" w:after="0"/>
              <w:ind w:left="0" w:right="0" w:hanging="0"/>
              <w:jc w:val="left"/>
              <w:rPr/>
            </w:pPr>
            <w:hyperlink w:anchor="item1b">
              <w:r>
                <w:rPr>
                  <w:rStyle w:val="InternetLink"/>
                  <w:rFonts w:ascii="Times New Roman;Times;serif" w:hAnsi="Times New Roman;Times;serif"/>
                  <w:sz w:val="20"/>
                </w:rPr>
                <w:t>Unresolved Staff Comments</w:t>
              </w:r>
            </w:hyperlink>
          </w:p>
        </w:tc>
        <w:tc>
          <w:tcPr>
            <w:tcW w:w="426" w:type="dxa"/>
            <w:tcBorders/>
            <w:shd w:fill="CCEEFF" w:val="clear"/>
            <w:vAlign w:val="center"/>
          </w:tcPr>
          <w:p>
            <w:pPr>
              <w:pStyle w:val="TableContents"/>
              <w:bidi w:val="0"/>
              <w:spacing w:before="0" w:after="283"/>
              <w:jc w:val="right"/>
              <w:rPr/>
            </w:pPr>
            <w:hyperlink w:anchor="item1b">
              <w:r>
                <w:rPr>
                  <w:rStyle w:val="InternetLink"/>
                  <w:rFonts w:ascii="Times New Roman;Times;serif" w:hAnsi="Times New Roman;Times;serif"/>
                  <w:sz w:val="20"/>
                </w:rPr>
                <w:t>19</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1C.</w:t>
            </w:r>
          </w:p>
        </w:tc>
        <w:tc>
          <w:tcPr>
            <w:tcW w:w="8214" w:type="dxa"/>
            <w:tcBorders/>
            <w:shd w:fill="CCEEFF" w:val="clear"/>
            <w:vAlign w:val="center"/>
          </w:tcPr>
          <w:p>
            <w:pPr>
              <w:pStyle w:val="TableContents"/>
              <w:bidi w:val="0"/>
              <w:spacing w:before="0" w:after="283"/>
              <w:jc w:val="left"/>
              <w:rPr/>
            </w:pPr>
            <w:hyperlink w:anchor="Item_1C">
              <w:r>
                <w:rPr>
                  <w:rStyle w:val="InternetLink"/>
                  <w:rFonts w:ascii="Times New Roman;Times;serif" w:hAnsi="Times New Roman;Times;serif"/>
                  <w:sz w:val="20"/>
                </w:rPr>
                <w:t>Cybersecurity</w:t>
              </w:r>
            </w:hyperlink>
          </w:p>
        </w:tc>
        <w:tc>
          <w:tcPr>
            <w:tcW w:w="426" w:type="dxa"/>
            <w:tcBorders/>
            <w:shd w:fill="CCEEFF" w:val="clear"/>
            <w:vAlign w:val="center"/>
          </w:tcPr>
          <w:p>
            <w:pPr>
              <w:pStyle w:val="TableContents"/>
              <w:bidi w:val="0"/>
              <w:spacing w:before="0" w:after="283"/>
              <w:jc w:val="right"/>
              <w:rPr/>
            </w:pPr>
            <w:hyperlink w:anchor="Item_1C">
              <w:r>
                <w:rPr>
                  <w:rStyle w:val="InternetLink"/>
                  <w:rFonts w:ascii="Times New Roman;Times;serif" w:hAnsi="Times New Roman;Times;serif"/>
                  <w:sz w:val="20"/>
                </w:rPr>
                <w:t>20</w:t>
              </w:r>
            </w:hyperlink>
          </w:p>
        </w:tc>
      </w:tr>
      <w:tr>
        <w:trPr/>
        <w:tc>
          <w:tcPr>
            <w:tcW w:w="89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8214"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8214" w:type="dxa"/>
            <w:tcBorders/>
            <w:shd w:fill="CCEEFF" w:val="clear"/>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Properties</w:t>
              </w:r>
            </w:hyperlink>
          </w:p>
        </w:tc>
        <w:tc>
          <w:tcPr>
            <w:tcW w:w="426" w:type="dxa"/>
            <w:tcBorders/>
            <w:shd w:fill="CCEEFF" w:val="clear"/>
            <w:vAlign w:val="center"/>
          </w:tcPr>
          <w:p>
            <w:pPr>
              <w:pStyle w:val="TableContents"/>
              <w:bidi w:val="0"/>
              <w:spacing w:before="0" w:after="283"/>
              <w:jc w:val="right"/>
              <w:rPr/>
            </w:pPr>
            <w:hyperlink w:anchor="item2">
              <w:r>
                <w:rPr>
                  <w:rStyle w:val="InternetLink"/>
                  <w:rFonts w:ascii="Times New Roman;Times;serif" w:hAnsi="Times New Roman;Times;serif"/>
                  <w:sz w:val="20"/>
                </w:rPr>
                <w:t>20</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8214" w:type="dxa"/>
            <w:tcBorders/>
            <w:shd w:fill="CCEEFF" w:val="clear"/>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Legal Proceedings</w:t>
              </w:r>
            </w:hyperlink>
          </w:p>
        </w:tc>
        <w:tc>
          <w:tcPr>
            <w:tcW w:w="426" w:type="dxa"/>
            <w:tcBorders/>
            <w:shd w:fill="CCEEFF" w:val="clear"/>
            <w:vAlign w:val="center"/>
          </w:tcPr>
          <w:p>
            <w:pPr>
              <w:pStyle w:val="TableContents"/>
              <w:bidi w:val="0"/>
              <w:spacing w:before="0" w:after="283"/>
              <w:jc w:val="right"/>
              <w:rPr/>
            </w:pPr>
            <w:hyperlink w:anchor="item3">
              <w:r>
                <w:rPr>
                  <w:rStyle w:val="InternetLink"/>
                  <w:rFonts w:ascii="Times New Roman;Times;serif" w:hAnsi="Times New Roman;Times;serif"/>
                  <w:sz w:val="20"/>
                </w:rPr>
                <w:t>20</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8214" w:type="dxa"/>
            <w:tcBorders/>
            <w:shd w:fill="CCEEFF" w:val="clear"/>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Mine Safety Disclosures</w:t>
              </w:r>
            </w:hyperlink>
          </w:p>
        </w:tc>
        <w:tc>
          <w:tcPr>
            <w:tcW w:w="426" w:type="dxa"/>
            <w:tcBorders/>
            <w:shd w:fill="CCEEFF" w:val="clear"/>
            <w:vAlign w:val="center"/>
          </w:tcPr>
          <w:p>
            <w:pPr>
              <w:pStyle w:val="TableContents"/>
              <w:bidi w:val="0"/>
              <w:spacing w:before="0" w:after="283"/>
              <w:jc w:val="right"/>
              <w:rPr/>
            </w:pPr>
            <w:hyperlink w:anchor="item4">
              <w:r>
                <w:rPr>
                  <w:rStyle w:val="InternetLink"/>
                  <w:rFonts w:ascii="Times New Roman;Times;serif" w:hAnsi="Times New Roman;Times;serif"/>
                  <w:sz w:val="20"/>
                </w:rPr>
                <w:t>20</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II</w:t>
            </w:r>
          </w:p>
        </w:tc>
        <w:tc>
          <w:tcPr>
            <w:tcW w:w="675" w:type="dxa"/>
            <w:tcBorders/>
            <w:shd w:fill="CCEEFF" w:val="clear"/>
            <w:vAlign w:val="center"/>
          </w:tcPr>
          <w:p>
            <w:pPr>
              <w:pStyle w:val="TableContents"/>
              <w:bidi w:val="0"/>
              <w:spacing w:before="0" w:after="0"/>
              <w:ind w:left="0" w:right="0" w:hanging="0"/>
              <w:jc w:val="left"/>
              <w:rPr/>
            </w:pPr>
            <w:r>
              <w:rPr/>
              <w:t> </w:t>
            </w:r>
          </w:p>
        </w:tc>
        <w:tc>
          <w:tcPr>
            <w:tcW w:w="8214" w:type="dxa"/>
            <w:tcBorders/>
            <w:shd w:fill="CCEEFF" w:val="clear"/>
            <w:vAlign w:val="center"/>
          </w:tcPr>
          <w:p>
            <w:pPr>
              <w:pStyle w:val="TableContents"/>
              <w:bidi w:val="0"/>
              <w:spacing w:before="0" w:after="0"/>
              <w:ind w:left="0" w:right="0" w:hanging="0"/>
              <w:jc w:val="left"/>
              <w:rPr/>
            </w:pPr>
            <w:r>
              <w:rPr/>
              <w:t> </w:t>
            </w:r>
          </w:p>
        </w:tc>
        <w:tc>
          <w:tcPr>
            <w:tcW w:w="426" w:type="dxa"/>
            <w:tcBorders/>
            <w:shd w:fill="CCEEFF" w:val="clear"/>
            <w:vAlign w:val="center"/>
          </w:tcPr>
          <w:p>
            <w:pPr>
              <w:pStyle w:val="TableContents"/>
              <w:bidi w:val="0"/>
              <w:spacing w:before="0" w:after="283"/>
              <w:jc w:val="right"/>
              <w:rPr/>
            </w:pPr>
            <w:r>
              <w:rPr/>
              <w:t> </w:t>
            </w:r>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8214" w:type="dxa"/>
            <w:tcBorders/>
            <w:shd w:fill="CCEEFF" w:val="clear"/>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Market for Registrant's Common Equity, Related Stockholder Matters and Issuer Purchases of Equity Securities</w:t>
              </w:r>
            </w:hyperlink>
          </w:p>
        </w:tc>
        <w:tc>
          <w:tcPr>
            <w:tcW w:w="426" w:type="dxa"/>
            <w:tcBorders/>
            <w:shd w:fill="CCEEFF" w:val="clear"/>
            <w:vAlign w:val="center"/>
          </w:tcPr>
          <w:p>
            <w:pPr>
              <w:pStyle w:val="TableContents"/>
              <w:bidi w:val="0"/>
              <w:spacing w:before="0" w:after="283"/>
              <w:jc w:val="right"/>
              <w:rPr/>
            </w:pPr>
            <w:hyperlink w:anchor="item5">
              <w:r>
                <w:rPr>
                  <w:rStyle w:val="InternetLink"/>
                  <w:rFonts w:ascii="Times New Roman;Times;serif" w:hAnsi="Times New Roman;Times;serif"/>
                  <w:sz w:val="20"/>
                </w:rPr>
                <w:t>21</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8214" w:type="dxa"/>
            <w:tcBorders/>
            <w:shd w:fill="CCEEFF" w:val="clear"/>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sz w:val="20"/>
                </w:rPr>
                <w:t>[Reserved]</w:t>
              </w:r>
            </w:hyperlink>
          </w:p>
        </w:tc>
        <w:tc>
          <w:tcPr>
            <w:tcW w:w="426" w:type="dxa"/>
            <w:tcBorders/>
            <w:shd w:fill="CCEEFF" w:val="clear"/>
            <w:vAlign w:val="center"/>
          </w:tcPr>
          <w:p>
            <w:pPr>
              <w:pStyle w:val="TableContents"/>
              <w:bidi w:val="0"/>
              <w:spacing w:before="0" w:after="283"/>
              <w:jc w:val="right"/>
              <w:rPr/>
            </w:pPr>
            <w:hyperlink w:anchor="item6">
              <w:r>
                <w:rPr>
                  <w:rStyle w:val="InternetLink"/>
                  <w:rFonts w:ascii="Times New Roman;Times;serif" w:hAnsi="Times New Roman;Times;serif"/>
                  <w:sz w:val="20"/>
                </w:rPr>
                <w:t>22</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7.</w:t>
            </w:r>
          </w:p>
        </w:tc>
        <w:tc>
          <w:tcPr>
            <w:tcW w:w="8214" w:type="dxa"/>
            <w:tcBorders/>
            <w:shd w:fill="CCEEFF" w:val="clear"/>
            <w:vAlign w:val="center"/>
          </w:tcPr>
          <w:p>
            <w:pPr>
              <w:pStyle w:val="TableContents"/>
              <w:bidi w:val="0"/>
              <w:spacing w:before="0" w:after="0"/>
              <w:ind w:left="0" w:right="0" w:hanging="0"/>
              <w:jc w:val="left"/>
              <w:rPr/>
            </w:pPr>
            <w:hyperlink w:anchor="item7">
              <w:r>
                <w:rPr>
                  <w:rStyle w:val="InternetLink"/>
                  <w:rFonts w:ascii="Times New Roman;Times;serif" w:hAnsi="Times New Roman;Times;serif"/>
                  <w:sz w:val="20"/>
                </w:rPr>
                <w:t>Management's Discussion and Analysis of Financial Condition and Results of Operations</w:t>
              </w:r>
            </w:hyperlink>
          </w:p>
        </w:tc>
        <w:tc>
          <w:tcPr>
            <w:tcW w:w="426" w:type="dxa"/>
            <w:tcBorders/>
            <w:shd w:fill="CCEEFF" w:val="clear"/>
            <w:vAlign w:val="center"/>
          </w:tcPr>
          <w:p>
            <w:pPr>
              <w:pStyle w:val="TableContents"/>
              <w:bidi w:val="0"/>
              <w:spacing w:before="0" w:after="283"/>
              <w:jc w:val="right"/>
              <w:rPr/>
            </w:pPr>
            <w:hyperlink w:anchor="item7">
              <w:r>
                <w:rPr>
                  <w:rStyle w:val="InternetLink"/>
                  <w:rFonts w:ascii="Times New Roman;Times;serif" w:hAnsi="Times New Roman;Times;serif"/>
                  <w:sz w:val="20"/>
                </w:rPr>
                <w:t>23</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7A.</w:t>
            </w:r>
          </w:p>
        </w:tc>
        <w:tc>
          <w:tcPr>
            <w:tcW w:w="8214" w:type="dxa"/>
            <w:tcBorders/>
            <w:shd w:fill="CCEEFF" w:val="clear"/>
            <w:vAlign w:val="center"/>
          </w:tcPr>
          <w:p>
            <w:pPr>
              <w:pStyle w:val="TableContents"/>
              <w:bidi w:val="0"/>
              <w:spacing w:before="0" w:after="0"/>
              <w:ind w:left="0" w:right="0" w:hanging="0"/>
              <w:jc w:val="left"/>
              <w:rPr/>
            </w:pPr>
            <w:hyperlink w:anchor="item7a">
              <w:r>
                <w:rPr>
                  <w:rStyle w:val="InternetLink"/>
                  <w:rFonts w:ascii="Times New Roman;Times;serif" w:hAnsi="Times New Roman;Times;serif"/>
                  <w:sz w:val="20"/>
                </w:rPr>
                <w:t>Quantitative and Qualitative Disclosures About Market Risk</w:t>
              </w:r>
            </w:hyperlink>
          </w:p>
        </w:tc>
        <w:tc>
          <w:tcPr>
            <w:tcW w:w="426" w:type="dxa"/>
            <w:tcBorders/>
            <w:shd w:fill="CCEEFF" w:val="clear"/>
            <w:vAlign w:val="center"/>
          </w:tcPr>
          <w:p>
            <w:pPr>
              <w:pStyle w:val="TableContents"/>
              <w:bidi w:val="0"/>
              <w:spacing w:before="0" w:after="283"/>
              <w:jc w:val="right"/>
              <w:rPr/>
            </w:pPr>
            <w:hyperlink w:anchor="item7a">
              <w:r>
                <w:rPr>
                  <w:rStyle w:val="InternetLink"/>
                  <w:rFonts w:ascii="Times New Roman;Times;serif" w:hAnsi="Times New Roman;Times;serif"/>
                  <w:sz w:val="20"/>
                </w:rPr>
                <w:t>35</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8.</w:t>
            </w:r>
          </w:p>
        </w:tc>
        <w:tc>
          <w:tcPr>
            <w:tcW w:w="8214" w:type="dxa"/>
            <w:tcBorders/>
            <w:shd w:fill="CCEEFF" w:val="clear"/>
            <w:vAlign w:val="center"/>
          </w:tcPr>
          <w:p>
            <w:pPr>
              <w:pStyle w:val="TableContents"/>
              <w:bidi w:val="0"/>
              <w:spacing w:before="0" w:after="0"/>
              <w:ind w:left="0" w:right="0" w:hanging="0"/>
              <w:jc w:val="left"/>
              <w:rPr/>
            </w:pPr>
            <w:hyperlink w:anchor="item8">
              <w:r>
                <w:rPr>
                  <w:rStyle w:val="InternetLink"/>
                  <w:rFonts w:ascii="Times New Roman;Times;serif" w:hAnsi="Times New Roman;Times;serif"/>
                  <w:sz w:val="20"/>
                </w:rPr>
                <w:t>Financial Statements and Supplementary Data</w:t>
              </w:r>
            </w:hyperlink>
          </w:p>
        </w:tc>
        <w:tc>
          <w:tcPr>
            <w:tcW w:w="426" w:type="dxa"/>
            <w:tcBorders/>
            <w:shd w:fill="CCEEFF" w:val="clear"/>
            <w:vAlign w:val="center"/>
          </w:tcPr>
          <w:p>
            <w:pPr>
              <w:pStyle w:val="TableContents"/>
              <w:bidi w:val="0"/>
              <w:spacing w:before="0" w:after="283"/>
              <w:jc w:val="right"/>
              <w:rPr/>
            </w:pPr>
            <w:hyperlink w:anchor="item8">
              <w:r>
                <w:rPr>
                  <w:rStyle w:val="InternetLink"/>
                  <w:rFonts w:ascii="Times New Roman;Times;serif" w:hAnsi="Times New Roman;Times;serif"/>
                  <w:sz w:val="20"/>
                </w:rPr>
                <w:t>36</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9.</w:t>
            </w:r>
          </w:p>
        </w:tc>
        <w:tc>
          <w:tcPr>
            <w:tcW w:w="8214" w:type="dxa"/>
            <w:tcBorders/>
            <w:shd w:fill="CCEEFF" w:val="clear"/>
            <w:vAlign w:val="center"/>
          </w:tcPr>
          <w:p>
            <w:pPr>
              <w:pStyle w:val="TableContents"/>
              <w:bidi w:val="0"/>
              <w:spacing w:before="0" w:after="0"/>
              <w:ind w:left="0" w:right="0" w:hanging="0"/>
              <w:jc w:val="left"/>
              <w:rPr/>
            </w:pPr>
            <w:hyperlink w:anchor="item9">
              <w:r>
                <w:rPr>
                  <w:rStyle w:val="InternetLink"/>
                  <w:rFonts w:ascii="Times New Roman;Times;serif" w:hAnsi="Times New Roman;Times;serif"/>
                  <w:sz w:val="20"/>
                </w:rPr>
                <w:t>Changes in and Disagreements With Accountants on Accounting and Financial Disclosure</w:t>
              </w:r>
            </w:hyperlink>
          </w:p>
        </w:tc>
        <w:tc>
          <w:tcPr>
            <w:tcW w:w="426" w:type="dxa"/>
            <w:tcBorders/>
            <w:shd w:fill="CCEEFF" w:val="clear"/>
            <w:vAlign w:val="center"/>
          </w:tcPr>
          <w:p>
            <w:pPr>
              <w:pStyle w:val="TableContents"/>
              <w:bidi w:val="0"/>
              <w:spacing w:before="0" w:after="283"/>
              <w:jc w:val="right"/>
              <w:rPr/>
            </w:pPr>
            <w:hyperlink w:anchor="item9">
              <w:r>
                <w:rPr>
                  <w:rStyle w:val="InternetLink"/>
                  <w:rFonts w:ascii="Times New Roman;Times;serif" w:hAnsi="Times New Roman;Times;serif"/>
                  <w:sz w:val="20"/>
                </w:rPr>
                <w:t>78</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9A.</w:t>
            </w:r>
          </w:p>
        </w:tc>
        <w:tc>
          <w:tcPr>
            <w:tcW w:w="8214" w:type="dxa"/>
            <w:tcBorders/>
            <w:shd w:fill="CCEEFF" w:val="clear"/>
            <w:vAlign w:val="center"/>
          </w:tcPr>
          <w:p>
            <w:pPr>
              <w:pStyle w:val="TableContents"/>
              <w:bidi w:val="0"/>
              <w:spacing w:before="0" w:after="0"/>
              <w:ind w:left="0" w:right="0" w:hanging="0"/>
              <w:jc w:val="left"/>
              <w:rPr/>
            </w:pPr>
            <w:hyperlink w:anchor="item9a">
              <w:r>
                <w:rPr>
                  <w:rStyle w:val="InternetLink"/>
                  <w:rFonts w:ascii="Times New Roman;Times;serif" w:hAnsi="Times New Roman;Times;serif"/>
                  <w:sz w:val="20"/>
                </w:rPr>
                <w:t>Controls and Procedures</w:t>
              </w:r>
            </w:hyperlink>
          </w:p>
        </w:tc>
        <w:tc>
          <w:tcPr>
            <w:tcW w:w="426" w:type="dxa"/>
            <w:tcBorders/>
            <w:shd w:fill="CCEEFF" w:val="clear"/>
            <w:vAlign w:val="center"/>
          </w:tcPr>
          <w:p>
            <w:pPr>
              <w:pStyle w:val="TableContents"/>
              <w:bidi w:val="0"/>
              <w:spacing w:before="0" w:after="283"/>
              <w:jc w:val="right"/>
              <w:rPr/>
            </w:pPr>
            <w:hyperlink w:anchor="item9a">
              <w:r>
                <w:rPr>
                  <w:rStyle w:val="InternetLink"/>
                  <w:rFonts w:ascii="Times New Roman;Times;serif" w:hAnsi="Times New Roman;Times;serif"/>
                  <w:sz w:val="20"/>
                </w:rPr>
                <w:t>78</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9B.</w:t>
            </w:r>
          </w:p>
        </w:tc>
        <w:tc>
          <w:tcPr>
            <w:tcW w:w="8214" w:type="dxa"/>
            <w:tcBorders/>
            <w:shd w:fill="CCEEFF" w:val="clear"/>
            <w:vAlign w:val="center"/>
          </w:tcPr>
          <w:p>
            <w:pPr>
              <w:pStyle w:val="TableContents"/>
              <w:bidi w:val="0"/>
              <w:spacing w:before="0" w:after="0"/>
              <w:ind w:left="0" w:right="0" w:hanging="0"/>
              <w:jc w:val="left"/>
              <w:rPr/>
            </w:pPr>
            <w:hyperlink w:anchor="item9b">
              <w:r>
                <w:rPr>
                  <w:rStyle w:val="InternetLink"/>
                  <w:rFonts w:ascii="Times New Roman;Times;serif" w:hAnsi="Times New Roman;Times;serif"/>
                  <w:sz w:val="20"/>
                </w:rPr>
                <w:t>Other Information</w:t>
              </w:r>
            </w:hyperlink>
          </w:p>
        </w:tc>
        <w:tc>
          <w:tcPr>
            <w:tcW w:w="426" w:type="dxa"/>
            <w:tcBorders/>
            <w:shd w:fill="CCEEFF" w:val="clear"/>
            <w:vAlign w:val="center"/>
          </w:tcPr>
          <w:p>
            <w:pPr>
              <w:pStyle w:val="TableContents"/>
              <w:bidi w:val="0"/>
              <w:spacing w:before="0" w:after="283"/>
              <w:jc w:val="right"/>
              <w:rPr/>
            </w:pPr>
            <w:hyperlink w:anchor="item9b">
              <w:r>
                <w:rPr>
                  <w:rStyle w:val="InternetLink"/>
                  <w:rFonts w:ascii="Times New Roman;Times;serif" w:hAnsi="Times New Roman;Times;serif"/>
                  <w:sz w:val="20"/>
                </w:rPr>
                <w:t>78</w:t>
              </w:r>
            </w:hyperlink>
          </w:p>
        </w:tc>
      </w:tr>
      <w:tr>
        <w:trPr/>
        <w:tc>
          <w:tcPr>
            <w:tcW w:w="89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8214"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9C.</w:t>
            </w:r>
          </w:p>
        </w:tc>
        <w:tc>
          <w:tcPr>
            <w:tcW w:w="8214" w:type="dxa"/>
            <w:tcBorders/>
            <w:shd w:fill="CCEEFF" w:val="clear"/>
            <w:vAlign w:val="center"/>
          </w:tcPr>
          <w:p>
            <w:pPr>
              <w:pStyle w:val="TableContents"/>
              <w:bidi w:val="0"/>
              <w:spacing w:before="0" w:after="283"/>
              <w:jc w:val="left"/>
              <w:rPr/>
            </w:pPr>
            <w:hyperlink w:anchor="Item_9C">
              <w:r>
                <w:rPr>
                  <w:rStyle w:val="InternetLink"/>
                  <w:rFonts w:ascii="Times New Roman;Times;serif" w:hAnsi="Times New Roman;Times;serif"/>
                  <w:sz w:val="20"/>
                </w:rPr>
                <w:t>Disclosure Regarding Foreign Jurisdictions that Prevent Inspections</w:t>
              </w:r>
            </w:hyperlink>
          </w:p>
        </w:tc>
        <w:tc>
          <w:tcPr>
            <w:tcW w:w="426" w:type="dxa"/>
            <w:tcBorders/>
            <w:shd w:fill="CCEEFF" w:val="clear"/>
            <w:vAlign w:val="center"/>
          </w:tcPr>
          <w:p>
            <w:pPr>
              <w:pStyle w:val="TableContents"/>
              <w:bidi w:val="0"/>
              <w:spacing w:before="0" w:after="283"/>
              <w:jc w:val="right"/>
              <w:rPr/>
            </w:pPr>
            <w:hyperlink w:anchor="Item_9C">
              <w:r>
                <w:rPr>
                  <w:rStyle w:val="InternetLink"/>
                  <w:rFonts w:ascii="Times New Roman;Times;serif" w:hAnsi="Times New Roman;Times;serif"/>
                  <w:sz w:val="20"/>
                </w:rPr>
                <w:t>78</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156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III</w:t>
            </w:r>
          </w:p>
        </w:tc>
        <w:tc>
          <w:tcPr>
            <w:tcW w:w="8214" w:type="dxa"/>
            <w:tcBorders/>
            <w:shd w:fill="CCEEFF" w:val="clear"/>
            <w:vAlign w:val="center"/>
          </w:tcPr>
          <w:p>
            <w:pPr>
              <w:pStyle w:val="TableContents"/>
              <w:bidi w:val="0"/>
              <w:spacing w:before="0" w:after="0"/>
              <w:ind w:left="0" w:right="0" w:hanging="0"/>
              <w:jc w:val="left"/>
              <w:rPr/>
            </w:pPr>
            <w:r>
              <w:rPr/>
              <w:t> </w:t>
            </w:r>
          </w:p>
        </w:tc>
        <w:tc>
          <w:tcPr>
            <w:tcW w:w="426" w:type="dxa"/>
            <w:tcBorders/>
            <w:shd w:fill="CCEEFF" w:val="clear"/>
            <w:vAlign w:val="center"/>
          </w:tcPr>
          <w:p>
            <w:pPr>
              <w:pStyle w:val="TableContents"/>
              <w:bidi w:val="0"/>
              <w:spacing w:before="0" w:after="283"/>
              <w:jc w:val="right"/>
              <w:rPr/>
            </w:pPr>
            <w:r>
              <w:rPr/>
              <w:t> </w:t>
            </w:r>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10.</w:t>
            </w:r>
          </w:p>
        </w:tc>
        <w:tc>
          <w:tcPr>
            <w:tcW w:w="8214" w:type="dxa"/>
            <w:tcBorders/>
            <w:shd w:fill="CCEEFF" w:val="clear"/>
            <w:vAlign w:val="center"/>
          </w:tcPr>
          <w:p>
            <w:pPr>
              <w:pStyle w:val="TableContents"/>
              <w:bidi w:val="0"/>
              <w:spacing w:before="0" w:after="0"/>
              <w:ind w:left="0" w:right="0" w:hanging="0"/>
              <w:jc w:val="left"/>
              <w:rPr/>
            </w:pPr>
            <w:hyperlink w:anchor="item10">
              <w:r>
                <w:rPr>
                  <w:rStyle w:val="InternetLink"/>
                  <w:rFonts w:ascii="Times New Roman;Times;serif" w:hAnsi="Times New Roman;Times;serif"/>
                  <w:sz w:val="20"/>
                </w:rPr>
                <w:t>Directors, Executive Officers and Corporate Governance</w:t>
              </w:r>
            </w:hyperlink>
          </w:p>
        </w:tc>
        <w:tc>
          <w:tcPr>
            <w:tcW w:w="426" w:type="dxa"/>
            <w:tcBorders/>
            <w:shd w:fill="CCEEFF" w:val="clear"/>
            <w:vAlign w:val="center"/>
          </w:tcPr>
          <w:p>
            <w:pPr>
              <w:pStyle w:val="TableContents"/>
              <w:bidi w:val="0"/>
              <w:spacing w:before="0" w:after="283"/>
              <w:jc w:val="right"/>
              <w:rPr/>
            </w:pPr>
            <w:hyperlink w:anchor="item10">
              <w:r>
                <w:rPr>
                  <w:rStyle w:val="InternetLink"/>
                  <w:rFonts w:ascii="Times New Roman;Times;serif" w:hAnsi="Times New Roman;Times;serif"/>
                  <w:sz w:val="20"/>
                </w:rPr>
                <w:t>79</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11.</w:t>
            </w:r>
          </w:p>
        </w:tc>
        <w:tc>
          <w:tcPr>
            <w:tcW w:w="8214" w:type="dxa"/>
            <w:tcBorders/>
            <w:shd w:fill="CCEEFF" w:val="clear"/>
            <w:vAlign w:val="center"/>
          </w:tcPr>
          <w:p>
            <w:pPr>
              <w:pStyle w:val="TableContents"/>
              <w:bidi w:val="0"/>
              <w:spacing w:before="0" w:after="0"/>
              <w:ind w:left="0" w:right="0" w:hanging="0"/>
              <w:jc w:val="left"/>
              <w:rPr/>
            </w:pPr>
            <w:hyperlink w:anchor="item11">
              <w:r>
                <w:rPr>
                  <w:rStyle w:val="InternetLink"/>
                  <w:rFonts w:ascii="Times New Roman;Times;serif" w:hAnsi="Times New Roman;Times;serif"/>
                  <w:sz w:val="20"/>
                </w:rPr>
                <w:t>Executive Compensation</w:t>
              </w:r>
            </w:hyperlink>
          </w:p>
        </w:tc>
        <w:tc>
          <w:tcPr>
            <w:tcW w:w="426" w:type="dxa"/>
            <w:tcBorders/>
            <w:shd w:fill="CCEEFF" w:val="clear"/>
            <w:vAlign w:val="center"/>
          </w:tcPr>
          <w:p>
            <w:pPr>
              <w:pStyle w:val="TableContents"/>
              <w:bidi w:val="0"/>
              <w:spacing w:before="0" w:after="283"/>
              <w:jc w:val="right"/>
              <w:rPr/>
            </w:pPr>
            <w:hyperlink w:anchor="item11">
              <w:r>
                <w:rPr>
                  <w:rStyle w:val="InternetLink"/>
                  <w:rFonts w:ascii="Times New Roman;Times;serif" w:hAnsi="Times New Roman;Times;serif"/>
                  <w:sz w:val="20"/>
                </w:rPr>
                <w:t>79</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12.</w:t>
            </w:r>
          </w:p>
        </w:tc>
        <w:tc>
          <w:tcPr>
            <w:tcW w:w="8214" w:type="dxa"/>
            <w:tcBorders/>
            <w:shd w:fill="CCEEFF" w:val="clear"/>
            <w:vAlign w:val="center"/>
          </w:tcPr>
          <w:p>
            <w:pPr>
              <w:pStyle w:val="TableContents"/>
              <w:bidi w:val="0"/>
              <w:spacing w:before="0" w:after="0"/>
              <w:ind w:left="0" w:right="0" w:hanging="0"/>
              <w:jc w:val="left"/>
              <w:rPr/>
            </w:pPr>
            <w:hyperlink w:anchor="item12">
              <w:r>
                <w:rPr>
                  <w:rStyle w:val="InternetLink"/>
                  <w:rFonts w:ascii="Times New Roman;Times;serif" w:hAnsi="Times New Roman;Times;serif"/>
                  <w:sz w:val="20"/>
                </w:rPr>
                <w:t>Security Ownership of Certain Beneficial Owners and Management and Related Stockholder Matters</w:t>
              </w:r>
            </w:hyperlink>
          </w:p>
        </w:tc>
        <w:tc>
          <w:tcPr>
            <w:tcW w:w="426" w:type="dxa"/>
            <w:tcBorders/>
            <w:shd w:fill="CCEEFF" w:val="clear"/>
            <w:vAlign w:val="center"/>
          </w:tcPr>
          <w:p>
            <w:pPr>
              <w:pStyle w:val="TableContents"/>
              <w:bidi w:val="0"/>
              <w:spacing w:before="0" w:after="283"/>
              <w:jc w:val="right"/>
              <w:rPr/>
            </w:pPr>
            <w:hyperlink w:anchor="item12">
              <w:r>
                <w:rPr>
                  <w:rStyle w:val="InternetLink"/>
                  <w:rFonts w:ascii="Times New Roman;Times;serif" w:hAnsi="Times New Roman;Times;serif"/>
                  <w:sz w:val="20"/>
                </w:rPr>
                <w:t>79</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13.</w:t>
            </w:r>
          </w:p>
        </w:tc>
        <w:tc>
          <w:tcPr>
            <w:tcW w:w="8214" w:type="dxa"/>
            <w:tcBorders/>
            <w:shd w:fill="CCEEFF" w:val="clear"/>
            <w:vAlign w:val="center"/>
          </w:tcPr>
          <w:p>
            <w:pPr>
              <w:pStyle w:val="TableContents"/>
              <w:bidi w:val="0"/>
              <w:spacing w:before="0" w:after="0"/>
              <w:ind w:left="0" w:right="0" w:hanging="0"/>
              <w:jc w:val="left"/>
              <w:rPr/>
            </w:pPr>
            <w:hyperlink w:anchor="item13">
              <w:r>
                <w:rPr>
                  <w:rStyle w:val="InternetLink"/>
                  <w:rFonts w:ascii="Times New Roman;Times;serif" w:hAnsi="Times New Roman;Times;serif"/>
                  <w:sz w:val="20"/>
                </w:rPr>
                <w:t>Certain Relationships and Related Transactions, and Director Independence</w:t>
              </w:r>
            </w:hyperlink>
          </w:p>
        </w:tc>
        <w:tc>
          <w:tcPr>
            <w:tcW w:w="426" w:type="dxa"/>
            <w:tcBorders/>
            <w:shd w:fill="CCEEFF" w:val="clear"/>
            <w:vAlign w:val="center"/>
          </w:tcPr>
          <w:p>
            <w:pPr>
              <w:pStyle w:val="TableContents"/>
              <w:bidi w:val="0"/>
              <w:spacing w:before="0" w:after="283"/>
              <w:jc w:val="right"/>
              <w:rPr/>
            </w:pPr>
            <w:hyperlink w:anchor="item13">
              <w:r>
                <w:rPr>
                  <w:rStyle w:val="InternetLink"/>
                  <w:rFonts w:ascii="Times New Roman;Times;serif" w:hAnsi="Times New Roman;Times;serif"/>
                  <w:sz w:val="20"/>
                </w:rPr>
                <w:t>79</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14.</w:t>
            </w:r>
          </w:p>
        </w:tc>
        <w:tc>
          <w:tcPr>
            <w:tcW w:w="8214" w:type="dxa"/>
            <w:tcBorders/>
            <w:shd w:fill="CCEEFF" w:val="clear"/>
            <w:vAlign w:val="center"/>
          </w:tcPr>
          <w:p>
            <w:pPr>
              <w:pStyle w:val="TableContents"/>
              <w:bidi w:val="0"/>
              <w:spacing w:before="0" w:after="0"/>
              <w:ind w:left="0" w:right="0" w:hanging="0"/>
              <w:jc w:val="left"/>
              <w:rPr/>
            </w:pPr>
            <w:hyperlink w:anchor="item14">
              <w:r>
                <w:rPr>
                  <w:rStyle w:val="InternetLink"/>
                  <w:rFonts w:ascii="Times New Roman;Times;serif" w:hAnsi="Times New Roman;Times;serif"/>
                  <w:sz w:val="20"/>
                </w:rPr>
                <w:t>Principal Accountant Fees and Services</w:t>
              </w:r>
            </w:hyperlink>
          </w:p>
        </w:tc>
        <w:tc>
          <w:tcPr>
            <w:tcW w:w="426" w:type="dxa"/>
            <w:tcBorders/>
            <w:shd w:fill="CCEEFF" w:val="clear"/>
            <w:vAlign w:val="center"/>
          </w:tcPr>
          <w:p>
            <w:pPr>
              <w:pStyle w:val="TableContents"/>
              <w:bidi w:val="0"/>
              <w:spacing w:before="0" w:after="283"/>
              <w:jc w:val="right"/>
              <w:rPr/>
            </w:pPr>
            <w:hyperlink w:anchor="item14">
              <w:r>
                <w:rPr>
                  <w:rStyle w:val="InternetLink"/>
                  <w:rFonts w:ascii="Times New Roman;Times;serif" w:hAnsi="Times New Roman;Times;serif"/>
                  <w:sz w:val="20"/>
                </w:rPr>
                <w:t>79</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156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IV</w:t>
            </w:r>
          </w:p>
        </w:tc>
        <w:tc>
          <w:tcPr>
            <w:tcW w:w="8214" w:type="dxa"/>
            <w:tcBorders/>
            <w:shd w:fill="CCEEFF" w:val="clear"/>
            <w:vAlign w:val="center"/>
          </w:tcPr>
          <w:p>
            <w:pPr>
              <w:pStyle w:val="TableContents"/>
              <w:bidi w:val="0"/>
              <w:spacing w:before="0" w:after="0"/>
              <w:ind w:left="0" w:right="0" w:hanging="0"/>
              <w:jc w:val="left"/>
              <w:rPr/>
            </w:pPr>
            <w:r>
              <w:rPr/>
              <w:t> </w:t>
            </w:r>
          </w:p>
        </w:tc>
        <w:tc>
          <w:tcPr>
            <w:tcW w:w="426" w:type="dxa"/>
            <w:tcBorders/>
            <w:shd w:fill="CCEEFF" w:val="clear"/>
            <w:vAlign w:val="center"/>
          </w:tcPr>
          <w:p>
            <w:pPr>
              <w:pStyle w:val="TableContents"/>
              <w:bidi w:val="0"/>
              <w:spacing w:before="0" w:after="283"/>
              <w:jc w:val="right"/>
              <w:rPr/>
            </w:pPr>
            <w:r>
              <w:rPr/>
              <w:t> </w:t>
            </w:r>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15.</w:t>
            </w:r>
          </w:p>
        </w:tc>
        <w:tc>
          <w:tcPr>
            <w:tcW w:w="8214" w:type="dxa"/>
            <w:tcBorders/>
            <w:shd w:fill="CCEEFF" w:val="clear"/>
            <w:vAlign w:val="center"/>
          </w:tcPr>
          <w:p>
            <w:pPr>
              <w:pStyle w:val="TableContents"/>
              <w:bidi w:val="0"/>
              <w:spacing w:before="0" w:after="0"/>
              <w:ind w:left="0" w:right="0" w:hanging="0"/>
              <w:jc w:val="left"/>
              <w:rPr/>
            </w:pPr>
            <w:hyperlink w:anchor="item15">
              <w:r>
                <w:rPr>
                  <w:rStyle w:val="InternetLink"/>
                  <w:rFonts w:ascii="Times New Roman;Times;serif" w:hAnsi="Times New Roman;Times;serif"/>
                  <w:sz w:val="20"/>
                </w:rPr>
                <w:t>Exhibits and Financial Statement Schedules</w:t>
              </w:r>
            </w:hyperlink>
          </w:p>
        </w:tc>
        <w:tc>
          <w:tcPr>
            <w:tcW w:w="426" w:type="dxa"/>
            <w:tcBorders/>
            <w:shd w:fill="CCEEFF" w:val="clear"/>
            <w:vAlign w:val="center"/>
          </w:tcPr>
          <w:p>
            <w:pPr>
              <w:pStyle w:val="TableContents"/>
              <w:bidi w:val="0"/>
              <w:spacing w:before="0" w:after="283"/>
              <w:jc w:val="right"/>
              <w:rPr/>
            </w:pPr>
            <w:hyperlink w:anchor="item15">
              <w:r>
                <w:rPr>
                  <w:rStyle w:val="InternetLink"/>
                  <w:rFonts w:ascii="Times New Roman;Times;serif" w:hAnsi="Times New Roman;Times;serif"/>
                  <w:sz w:val="20"/>
                </w:rPr>
                <w:t>80</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r>
              <w:rPr/>
              <w:t> </w:t>
            </w:r>
          </w:p>
        </w:tc>
        <w:tc>
          <w:tcPr>
            <w:tcW w:w="6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16.</w:t>
            </w:r>
          </w:p>
        </w:tc>
        <w:tc>
          <w:tcPr>
            <w:tcW w:w="8214" w:type="dxa"/>
            <w:tcBorders/>
            <w:shd w:fill="CCEEFF" w:val="clear"/>
            <w:vAlign w:val="center"/>
          </w:tcPr>
          <w:p>
            <w:pPr>
              <w:pStyle w:val="TableContents"/>
              <w:bidi w:val="0"/>
              <w:spacing w:before="0" w:after="0"/>
              <w:ind w:left="0" w:right="0" w:hanging="0"/>
              <w:jc w:val="left"/>
              <w:rPr/>
            </w:pPr>
            <w:hyperlink w:anchor="item16">
              <w:r>
                <w:rPr>
                  <w:rStyle w:val="InternetLink"/>
                  <w:rFonts w:ascii="Times New Roman;Times;serif" w:hAnsi="Times New Roman;Times;serif"/>
                  <w:sz w:val="20"/>
                </w:rPr>
                <w:t>Form 10-K Summary</w:t>
              </w:r>
            </w:hyperlink>
          </w:p>
        </w:tc>
        <w:tc>
          <w:tcPr>
            <w:tcW w:w="426" w:type="dxa"/>
            <w:tcBorders/>
            <w:shd w:fill="CCEEFF" w:val="clear"/>
            <w:vAlign w:val="center"/>
          </w:tcPr>
          <w:p>
            <w:pPr>
              <w:pStyle w:val="TableContents"/>
              <w:bidi w:val="0"/>
              <w:spacing w:before="0" w:after="283"/>
              <w:jc w:val="right"/>
              <w:rPr/>
            </w:pPr>
            <w:hyperlink w:anchor="item16">
              <w:r>
                <w:rPr>
                  <w:rStyle w:val="InternetLink"/>
                  <w:rFonts w:ascii="Times New Roman;Times;serif" w:hAnsi="Times New Roman;Times;serif"/>
                  <w:sz w:val="20"/>
                </w:rPr>
                <w:t>82</w:t>
              </w:r>
            </w:hyperlink>
          </w:p>
        </w:tc>
      </w:tr>
      <w:tr>
        <w:trPr/>
        <w:tc>
          <w:tcPr>
            <w:tcW w:w="890" w:type="dxa"/>
            <w:tcBorders/>
            <w:shd w:fill="FFFFFF" w:val="clear"/>
            <w:vAlign w:val="center"/>
          </w:tcPr>
          <w:p>
            <w:pPr>
              <w:pStyle w:val="TableContents"/>
              <w:bidi w:val="0"/>
              <w:spacing w:before="0" w:after="0"/>
              <w:ind w:left="0" w:right="0" w:hanging="0"/>
              <w:jc w:val="left"/>
              <w:rPr/>
            </w:pPr>
            <w:r>
              <w:rPr/>
              <w:t> </w:t>
            </w:r>
          </w:p>
        </w:tc>
        <w:tc>
          <w:tcPr>
            <w:tcW w:w="675" w:type="dxa"/>
            <w:tcBorders/>
            <w:shd w:fill="FFFFFF" w:val="clear"/>
            <w:vAlign w:val="center"/>
          </w:tcPr>
          <w:p>
            <w:pPr>
              <w:pStyle w:val="TableContents"/>
              <w:bidi w:val="0"/>
              <w:spacing w:before="0" w:after="0"/>
              <w:ind w:left="0" w:right="0" w:hanging="0"/>
              <w:jc w:val="left"/>
              <w:rPr/>
            </w:pPr>
            <w:r>
              <w:rPr/>
              <w:t> </w:t>
            </w:r>
          </w:p>
        </w:tc>
        <w:tc>
          <w:tcPr>
            <w:tcW w:w="8214" w:type="dxa"/>
            <w:tcBorders/>
            <w:shd w:fill="FFFFFF" w:val="clear"/>
            <w:vAlign w:val="center"/>
          </w:tcPr>
          <w:p>
            <w:pPr>
              <w:pStyle w:val="TableContents"/>
              <w:bidi w:val="0"/>
              <w:spacing w:before="0" w:after="0"/>
              <w:ind w:left="0" w:right="0" w:hanging="0"/>
              <w:jc w:val="left"/>
              <w:rPr/>
            </w:pPr>
            <w:r>
              <w:rPr/>
              <w:t> </w:t>
            </w:r>
          </w:p>
        </w:tc>
        <w:tc>
          <w:tcPr>
            <w:tcW w:w="426" w:type="dxa"/>
            <w:tcBorders/>
            <w:shd w:fill="FFFFFF" w:val="clear"/>
            <w:vAlign w:val="center"/>
          </w:tcPr>
          <w:p>
            <w:pPr>
              <w:pStyle w:val="TableContents"/>
              <w:bidi w:val="0"/>
              <w:spacing w:before="0" w:after="283"/>
              <w:jc w:val="right"/>
              <w:rPr/>
            </w:pPr>
            <w:r>
              <w:rPr/>
              <w:t> </w:t>
            </w:r>
          </w:p>
        </w:tc>
      </w:tr>
      <w:tr>
        <w:trPr/>
        <w:tc>
          <w:tcPr>
            <w:tcW w:w="890" w:type="dxa"/>
            <w:tcBorders/>
            <w:shd w:fill="CCEEFF" w:val="clear"/>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675" w:type="dxa"/>
            <w:tcBorders/>
            <w:shd w:fill="CCEEFF" w:val="clear"/>
            <w:vAlign w:val="center"/>
          </w:tcPr>
          <w:p>
            <w:pPr>
              <w:pStyle w:val="TableContents"/>
              <w:bidi w:val="0"/>
              <w:spacing w:before="0" w:after="0"/>
              <w:ind w:left="0" w:right="0" w:hanging="0"/>
              <w:jc w:val="left"/>
              <w:rPr/>
            </w:pPr>
            <w:r>
              <w:rPr/>
              <w:t> </w:t>
            </w:r>
          </w:p>
        </w:tc>
        <w:tc>
          <w:tcPr>
            <w:tcW w:w="8214" w:type="dxa"/>
            <w:tcBorders/>
            <w:shd w:fill="CCEEFF" w:val="clear"/>
            <w:vAlign w:val="center"/>
          </w:tcPr>
          <w:p>
            <w:pPr>
              <w:pStyle w:val="TableContents"/>
              <w:bidi w:val="0"/>
              <w:spacing w:before="0" w:after="0"/>
              <w:ind w:left="0" w:right="0" w:hanging="0"/>
              <w:jc w:val="left"/>
              <w:rPr/>
            </w:pPr>
            <w:r>
              <w:rPr/>
              <w:t> </w:t>
            </w:r>
          </w:p>
        </w:tc>
        <w:tc>
          <w:tcPr>
            <w:tcW w:w="426" w:type="dxa"/>
            <w:tcBorders/>
            <w:shd w:fill="CCEEFF" w:val="clear"/>
            <w:vAlign w:val="center"/>
          </w:tcPr>
          <w:p>
            <w:pPr>
              <w:pStyle w:val="TableContents"/>
              <w:bidi w:val="0"/>
              <w:spacing w:before="0" w:after="283"/>
              <w:jc w:val="right"/>
              <w:rPr/>
            </w:pPr>
            <w:hyperlink w:anchor="sigs">
              <w:r>
                <w:rPr>
                  <w:rStyle w:val="InternetLink"/>
                  <w:rFonts w:ascii="Times New Roman;Times;serif" w:hAnsi="Times New Roman;Times;serif"/>
                  <w:sz w:val="20"/>
                </w:rPr>
                <w:t>83</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Cautionary_Notice"/>
      <w:bookmarkEnd w:id="3"/>
      <w:r>
        <w:rPr>
          <w:rFonts w:ascii="Times New Roman;Times;serif" w:hAnsi="Times New Roman;Times;serif"/>
          <w:b/>
          <w:sz w:val="20"/>
        </w:rPr>
        <w:t>CAUTIONARY NOTICE REGARDING FORWARD-LOOKING INFORMATION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terms the "Company," "Bel," "we," "us," and "our" as used in this Annual Report on Form 10-K (this "Form 10-K" or this "Annual Report on Form 10-K") refer to Bel Fuse Inc. and its consolidated subsidiaries unless otherwise specified.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Company's consolidated operating results are affected by a wide variety of factors that could materially and adversely affect revenues and profitability, including the risk factors described in Item 1A of this Form 10-K, and the risk factors described in our other reports and documents filed from time to time with the Securities and Exchange Commission (the "SEC"). As a result of these and other factors, the Company may experience material fluctuations in future operating results on a quarterly or annual basis, which could materially and adversely affect its business, consolidated financial condition, operating results, and common stock prices. Furthermore, this document and other reports and documents filed by the Company with the SEC contain certain forward-looking statements under the Private Securities Litigation Reform Act of 1995 ("Forward-Looking Statements") with respect to the business of the Company. Forward-Looking Statements are necessarily subject to risks and uncertainties, many of which are outside our control, that could cause actual results to differ materially from these statements. Forward-Looking Statements can be identified by such words as "anticipates," "believes," "plan," "assumes," "forecasts," "project," "could," "should," "estimates," "expects," "intends," "potential," "seek," "predict," "may," "will" and similar references to future periods. All statements other than statements of historical facts included in this report regarding our strategies, prospects, financial condition, operations, costs, plans and objectives are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These Forward-Looking Statements are subject to certain risks and uncertainties, including those detailed in Item 1A of this Form 10-K, and the risk factors described in our other reports and documents filed from time to time with the SEC, which could cause actual results to differ materially from these Forward-Looking Statements. Any Forward-Looking Statements are qualified in the entirety by reference to such risk factors discussed throughout this Form 10-K and as described in our other reports and documents filed from time to time with the SEC. Some of the risks, uncertainties and assumptions that could cause actual results to differ materially from estimates or projections contained in the Forward-Looking Statements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market concerns facing our customers, and risks for the Company’s business in the event of the loss of certain substantial customers;</w:t>
            </w:r>
          </w:p>
        </w:tc>
      </w:tr>
    </w:tbl>
    <w:tbl>
      <w:tblPr>
        <w:tblW w:w="5110" w:type="dxa"/>
        <w:jc w:val="left"/>
        <w:tblInd w:w="0" w:type="dxa"/>
        <w:tblLayout w:type="fixed"/>
        <w:tblCellMar>
          <w:top w:w="0" w:type="dxa"/>
          <w:left w:w="0" w:type="dxa"/>
          <w:bottom w:w="0" w:type="dxa"/>
          <w:right w:w="0" w:type="dxa"/>
        </w:tblCellMar>
      </w:tblPr>
      <w:tblGrid>
        <w:gridCol w:w="60"/>
        <w:gridCol w:w="170"/>
        <w:gridCol w:w="4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4880" w:type="dxa"/>
            <w:tcBorders/>
            <w:vAlign w:val="center"/>
          </w:tcPr>
          <w:p>
            <w:pPr>
              <w:pStyle w:val="TableContents"/>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continuing viability of sectors that rely on our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effects of business and economic conditions, and challenges impacting the macroeconomic environment generally and/or our industry in particular;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both"/>
              <w:rPr>
                <w:shd w:fill="FFFFFF" w:val="clear"/>
              </w:rPr>
            </w:pPr>
            <w:r>
              <w:rPr>
                <w:shd w:fill="FFFFFF" w:val="clear"/>
              </w:rPr>
              <w:t>the effects of rising input costs, and cost changes generally, including the potential impact and effects of inflationary pressures;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both"/>
              <w:rPr/>
            </w:pPr>
            <w:r>
              <w:rPr>
                <w:shd w:fill="FFFFFF" w:val="clear"/>
              </w:rPr>
              <w:t>difficulties associated with integrating previously acquired companies</w:t>
            </w:r>
            <w:r>
              <w:rPr/>
              <w:t>, including any unanticipated difficulties relating to Bel’s November 2024 acquisition of its majority 80% owned subsidiary Enercon Technologies, Ltd. (“Enercon”), and including, without limitation, the risk that Bel is unable to integrate the Enercon business successfully or difficulties that result in the failure to realize anticipated strategic and revenue opportunities within the expected time period (if at all);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both"/>
              <w:rPr/>
            </w:pPr>
            <w:r>
              <w:rPr/>
              <w:t>the possibility that Bel’s intended acquisition of the remaining 20% stake in Enercon is not completed in accordance with the shareholders agreement as contemplated for any reason, and any resulting disruptions that may result to Bel’s business and our currently 80% owned Enercon subsidiary as a result thereof;</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both"/>
              <w:rPr/>
            </w:pPr>
            <w:r>
              <w:rPr/>
              <w:t>trends in demand which can affect our products and results, including that demand in Enercon’s end markets can be cyclical, impacting the demand for Enercon’s products, which could be materially adversely affected by reductions in defense spending;</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both"/>
              <w:rPr>
                <w:shd w:fill="FFFFFF" w:val="clear"/>
              </w:rPr>
            </w:pPr>
            <w:r>
              <w:rPr>
                <w:shd w:fill="FFFFFF" w:val="clear"/>
              </w:rPr>
              <w:t>capacity and supply constraints or difficulties, including supply chain constraints or other challenges;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the impact of public health crises </w:t>
            </w:r>
            <w:r>
              <w:rPr>
                <w:rFonts w:ascii="Times New Roman" w:hAnsi="Times New Roman"/>
                <w:caps w:val="false"/>
                <w:smallCaps w:val="false"/>
                <w:sz w:val="20"/>
              </w:rPr>
              <w:t>including potential future outbreaks,</w:t>
            </w:r>
            <w:r>
              <w:rPr>
                <w:rFonts w:ascii="Times New Roman" w:hAnsi="Times New Roman"/>
                <w:caps w:val="false"/>
                <w:smallCaps w:val="false"/>
                <w:sz w:val="20"/>
                <w:shd w:fill="FFFFFF" w:val="clear"/>
              </w:rPr>
              <w:t xml:space="preserve"> epidemics or pandemics;</w:t>
            </w:r>
          </w:p>
        </w:tc>
      </w:tr>
    </w:tbl>
    <w:tbl>
      <w:tblPr>
        <w:tblW w:w="8605" w:type="dxa"/>
        <w:jc w:val="left"/>
        <w:tblInd w:w="0" w:type="dxa"/>
        <w:tblLayout w:type="fixed"/>
        <w:tblCellMar>
          <w:top w:w="0" w:type="dxa"/>
          <w:left w:w="0" w:type="dxa"/>
          <w:bottom w:w="0" w:type="dxa"/>
          <w:right w:w="0" w:type="dxa"/>
        </w:tblCellMar>
      </w:tblPr>
      <w:tblGrid>
        <w:gridCol w:w="60"/>
        <w:gridCol w:w="170"/>
        <w:gridCol w:w="8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8375" w:type="dxa"/>
            <w:tcBorders/>
            <w:vAlign w:val="center"/>
          </w:tcPr>
          <w:p>
            <w:pPr>
              <w:pStyle w:val="TableContents"/>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difficulties associated with the availability of labor, and the risks of any labor unrest or labor shortages;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risks associated with our international operations, including our substantial manufacturing operations in the People's Republic of China (the "PRC</w:t>
            </w:r>
            <w:r>
              <w:rPr>
                <w:rFonts w:ascii="Times New Roman" w:hAnsi="Times New Roman"/>
                <w:caps w:val="false"/>
                <w:smallCaps w:val="false"/>
                <w:sz w:val="20"/>
              </w:rPr>
              <w:t>"), and following Bel’s acquisition of Enercon which closed in November 2024, risks associated with operations in Israel, which may be adversely affected by political or economic instability, military activity, major hostilities or acts of terrorism in the region</w:t>
            </w:r>
            <w:r>
              <w:rPr>
                <w:rFonts w:ascii="Times New Roman" w:hAnsi="Times New Roman"/>
                <w:caps w:val="false"/>
                <w:smallCaps w:val="false"/>
                <w:sz w:val="20"/>
                <w:shd w:fill="FFFFFF" w:val="clear"/>
              </w:rPr>
              <w: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risks associated with restructuring programs or other strategic initiatives, including any difficulties in implementation or realization of the expected benefits or cost savings;</w:t>
            </w:r>
          </w:p>
        </w:tc>
      </w:tr>
    </w:tbl>
    <w:tbl>
      <w:tblPr>
        <w:tblW w:w="5965" w:type="dxa"/>
        <w:jc w:val="left"/>
        <w:tblInd w:w="0" w:type="dxa"/>
        <w:tblLayout w:type="fixed"/>
        <w:tblCellMar>
          <w:top w:w="0" w:type="dxa"/>
          <w:left w:w="0" w:type="dxa"/>
          <w:bottom w:w="0" w:type="dxa"/>
          <w:right w:w="0" w:type="dxa"/>
        </w:tblCellMar>
      </w:tblPr>
      <w:tblGrid>
        <w:gridCol w:w="60"/>
        <w:gridCol w:w="170"/>
        <w:gridCol w:w="5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5735" w:type="dxa"/>
            <w:tcBorders/>
            <w:vAlign w:val="center"/>
          </w:tcPr>
          <w:p>
            <w:pPr>
              <w:pStyle w:val="TableContents"/>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product development, commercialization or technological difficulties;</w:t>
            </w:r>
          </w:p>
        </w:tc>
      </w:tr>
    </w:tbl>
    <w:tbl>
      <w:tblPr>
        <w:tblW w:w="3325" w:type="dxa"/>
        <w:jc w:val="left"/>
        <w:tblInd w:w="0" w:type="dxa"/>
        <w:tblLayout w:type="fixed"/>
        <w:tblCellMar>
          <w:top w:w="0" w:type="dxa"/>
          <w:left w:w="0" w:type="dxa"/>
          <w:bottom w:w="0" w:type="dxa"/>
          <w:right w:w="0" w:type="dxa"/>
        </w:tblCellMar>
      </w:tblPr>
      <w:tblGrid>
        <w:gridCol w:w="60"/>
        <w:gridCol w:w="170"/>
        <w:gridCol w:w="3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3095" w:type="dxa"/>
            <w:tcBorders/>
            <w:vAlign w:val="center"/>
          </w:tcPr>
          <w:p>
            <w:pPr>
              <w:pStyle w:val="TableContents"/>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regulatory and trade environment;</w:t>
            </w:r>
          </w:p>
        </w:tc>
      </w:tr>
    </w:tbl>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7010" w:type="dxa"/>
            <w:tcBorders/>
            <w:vAlign w:val="center"/>
          </w:tcPr>
          <w:p>
            <w:pPr>
              <w:pStyle w:val="TableContents"/>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risks associated with fluctuations in foreign currency exchange rates and interest rates;</w:t>
            </w:r>
          </w:p>
        </w:tc>
      </w:tr>
    </w:tbl>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3905" w:type="dxa"/>
            <w:tcBorders/>
            <w:vAlign w:val="center"/>
          </w:tcPr>
          <w:p>
            <w:pPr>
              <w:pStyle w:val="TableContents"/>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uncertainties associated with legal proceedings;</w:t>
            </w:r>
          </w:p>
        </w:tc>
      </w:tr>
    </w:tbl>
    <w:tbl>
      <w:tblPr>
        <w:tblW w:w="9145" w:type="dxa"/>
        <w:jc w:val="left"/>
        <w:tblInd w:w="0" w:type="dxa"/>
        <w:tblLayout w:type="fixed"/>
        <w:tblCellMar>
          <w:top w:w="0" w:type="dxa"/>
          <w:left w:w="0" w:type="dxa"/>
          <w:bottom w:w="0" w:type="dxa"/>
          <w:right w:w="0" w:type="dxa"/>
        </w:tblCellMar>
      </w:tblPr>
      <w:tblGrid>
        <w:gridCol w:w="60"/>
        <w:gridCol w:w="170"/>
        <w:gridCol w:w="8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market's acceptance of the Company's new products and competitive responses to those new products;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changes to U.S. and applicable foreign legal and regulatory requirements, including tax laws, trade and tariff policies, such as any new or increase in tariffs, imposed either by the U.S. government on foreign imports or by a foreign government on U.S. exports related to the countries in which Bel transacts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foregoing list sets forth some, but not all, of the factors that could affect our ability to achieve results described in any Forward-Looking Statements, which speak only as of the date of this Form 10-K or the date of the document incorporated by reference into this report. Except as required by law, we assume no obligation and expressly disclaim any duty to publicly release the results of any revisions to these Forward-Looking Statements or otherwise update any Forward-Looking Statement to reflect events or circumstances after the date of this Form 10-K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 contained in this Form 10-K. Any Forward-Looking Statement made by the Company is based only on information currently available to us and speaks only as of the date on which it is made. All Forward-Looking Statements are expressly qualified in their entirety by the cautionary statements contained in this section.</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(i)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20"/>
        </w:rPr>
      </w:pPr>
      <w:bookmarkStart w:id="4" w:name="parti"/>
      <w:bookmarkEnd w:id="4"/>
      <w:r>
        <w:rPr>
          <w:rFonts w:ascii="Times New Roman;Times;serif" w:hAnsi="Times New Roman;Times;serif"/>
          <w:b/>
          <w:sz w:val="20"/>
        </w:rPr>
        <w:t>PART I</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bookmarkStart w:id="5" w:name="item1"/>
      <w:bookmarkEnd w:id="5"/>
      <w:r>
        <w:rPr>
          <w:rFonts w:ascii="Times New Roman;Times;serif" w:hAnsi="Times New Roman;Times;serif"/>
          <w:b/>
          <w:sz w:val="20"/>
        </w:rPr>
        <w:t xml:space="preserve">Item 1.  </w:t>
      </w:r>
      <w:r>
        <w:rPr>
          <w:rFonts w:ascii="Times New Roman;Times;serif" w:hAnsi="Times New Roman;Times;serif"/>
          <w:b/>
          <w:i/>
          <w:sz w:val="20"/>
        </w:rPr>
        <w:t>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 Fuse Inc. designs, manufactures and markets a broad array of products that power, protect and connect electronic circuits. These products are primarily used in the defense, commercial aerospace, networking, telecommunications, computing, general industrial, high-speed data transmission, transportation and eMobility industries. Bel's portfolio of products also finds application in the automotive, medical, broadcasting and consumer electronics markets. Bel's product groups include Power Solutions and Protection (front-end, board-mount, industrial and transportation power products, module products and circuit protection), Connectivity Solutions (expanded beam fiber optic, copper-based, RF and RJ connectors and cable assemblies), and Magnetic Solutions (integrated connector modules, power transformers, power inductors and discrete components).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more than 75 years in operation, Bel has reliably demonstrated the ability to participate in a variety of product areas across a global platform. The Company has a strong track record of technical innovation working with the engineering teams of market leaders. Bel has proven itself a valuable supplier to world-class companies by developing new products with cost effective solutions.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was incorporated in 1949 and is organized under New Jersey law. Bel's principal executive offices are located at </w:t>
      </w:r>
      <w:r>
        <w:rPr>
          <w:rFonts w:ascii="Times New Roman;Times;serif" w:hAnsi="Times New Roman;Times;serif"/>
          <w:sz w:val="20"/>
          <w:shd w:fill="FFFFFF" w:val="clear"/>
        </w:rPr>
        <w:t>300 Executive Drive, Suite 300, West Orange, New Jersey 07052,</w:t>
      </w:r>
      <w:r>
        <w:rPr>
          <w:rFonts w:ascii="Times New Roman;Times;serif" w:hAnsi="Times New Roman;Times;serif"/>
          <w:sz w:val="20"/>
        </w:rPr>
        <w:t xml:space="preserve"> and Bel's telephone number is </w:t>
      </w:r>
      <w:r>
        <w:rPr>
          <w:rFonts w:ascii="Times New Roman;Times;serif" w:hAnsi="Times New Roman;Times;serif"/>
          <w:sz w:val="20"/>
          <w:shd w:fill="FFFFFF" w:val="clear"/>
        </w:rPr>
        <w:t xml:space="preserve">(201) 432-0463. </w:t>
      </w:r>
      <w:r>
        <w:rPr>
          <w:rFonts w:ascii="Times New Roman;Times;serif" w:hAnsi="Times New Roman;Times;serif"/>
          <w:sz w:val="20"/>
        </w:rPr>
        <w:t>The Company operates facilities in North America, Europe and the Middle East (referred to as the "EMEA" region throughout), and Asia and trades on the NASDAQ Global Select Market (ticker symbols BELFA and BELFB). For information regarding Bel's operating segments, s</w:t>
      </w:r>
      <w:r>
        <w:rPr>
          <w:rFonts w:ascii="Times New Roman;Times;serif" w:hAnsi="Times New Roman;Times;serif"/>
          <w:sz w:val="20"/>
          <w:shd w:fill="FFFFFF" w:val="clear"/>
        </w:rPr>
        <w:t xml:space="preserve">ee </w:t>
      </w:r>
      <w:r>
        <w:rPr>
          <w:rFonts w:ascii="Times New Roman;Times;serif" w:hAnsi="Times New Roman;Times;serif"/>
          <w:color w:val="000000"/>
          <w:sz w:val="20"/>
          <w:shd w:fill="FFFFFF" w:val="clear"/>
        </w:rPr>
        <w:t xml:space="preserve">Note 14, </w:t>
      </w:r>
      <w:r>
        <w:rPr>
          <w:rFonts w:ascii="Times New Roman;Times;serif" w:hAnsi="Times New Roman;Times;serif"/>
          <w:i/>
          <w:color w:val="000000"/>
          <w:sz w:val="20"/>
          <w:shd w:fill="FFFFFF" w:val="clear"/>
        </w:rPr>
        <w:t>"Segments"</w:t>
      </w:r>
      <w:r>
        <w:rPr>
          <w:rFonts w:ascii="Times New Roman;Times;serif" w:hAnsi="Times New Roman;Times;serif"/>
          <w:color w:val="000000"/>
          <w:sz w:val="20"/>
          <w:shd w:fill="FFFFFF" w:val="clear"/>
        </w:rPr>
        <w:t>,</w:t>
      </w:r>
      <w:r>
        <w:rPr>
          <w:rFonts w:ascii="Times New Roman;Times;serif" w:hAnsi="Times New Roman;Times;serif"/>
          <w:sz w:val="20"/>
        </w:rPr>
        <w:t xml:space="preserve"> of the notes to our consolidated financial statements. Hereinafter, all references to "Note" will refer to the notes to our consolidated financial statements included in Part II, Item 8. </w:t>
      </w:r>
      <w:r>
        <w:rPr>
          <w:rFonts w:ascii="Times New Roman;Times;serif" w:hAnsi="Times New Roman;Times;serif"/>
          <w:i/>
          <w:sz w:val="20"/>
        </w:rPr>
        <w:t>"Financial Statements and Supplementary Data"</w:t>
      </w:r>
      <w:r>
        <w:rPr>
          <w:rFonts w:ascii="Times New Roman;Times;serif" w:hAnsi="Times New Roman;Times;serif"/>
          <w:sz w:val="20"/>
        </w:rPr>
        <w:t xml:space="preserve"> of this Annual Report on Form 10-K.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Acquisitions have played a critical role in the growth of Bel and the expansion of both our product portfolio and our customer base and continue to be an important element in our growth strategy. We frequently evaluate possible acquisition candidates that would expand our product and technology offerings to our customers and/or optimize our overall cost structure.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November 14, 2024, the Company closed on the acquisition of its majority 80% stake in Enercon Technologies, Ltd. (“Enercon”) pursuant to the terms of the Share Purchase Agreement, dated as of September 19, 2024 (the “Purchase Agreement”), by and among the Company, Enercon, and FF3 Holdings, L.P., for itself and as Sellers’ Representative (“FF3”), and each of the other seller parties signatory thereto (collectively with FF3, the “Sellers”). Enercon is a leading supplier of highly customized power conversion and networking solutions to aerospace and defense markets globally, providing robust and reliable solutions across air, land and sea applications. Enercon is based in Netanya, Israel with additional facilities in New Hampshire, U.S. and Haryana, India. The Enercon business is part of Bel’s Power Solutions and Protection group. At the closing, Bel paid an aggregate of approximately $325.6 million in cash in respect of the cash purchase price (after giving effect to estimated adjustments taken at closing including for Enercon’s cash, indebtedness, net working capital and unpaid transaction costs, and subject to further adjustment post-closing). Bel funded the closing of the transaction through cash on hand of approximately $85.6 million and with approximately $240 million provided through incremental borrowings under the Company’s revolving credit facility. Pursuant to the transaction documents, Bel may acquire the remaining 20% stake in Enercon and has the current intention to so purchase such remaining interest by early 2027 in accordance with the terms and subject to the conditions of a shareholders’ agreement, which was also entered into on November 14, 2024. The preceding statement regarding Bel’s intention to purchase the remaining interest in Enercon represents a Forward-Looking Statement. See </w:t>
      </w:r>
      <w:r>
        <w:rPr>
          <w:rFonts w:ascii="Times New Roman" w:hAnsi="Times New Roman"/>
          <w:i/>
          <w:caps w:val="false"/>
          <w:smallCaps w:val="false"/>
          <w:sz w:val="20"/>
        </w:rPr>
        <w:t xml:space="preserve">"Cautionary Notice Regarding Forward-Looking Information." </w:t>
      </w:r>
      <w:r>
        <w:rPr>
          <w:rFonts w:ascii="Times New Roman" w:hAnsi="Times New Roman"/>
          <w:caps w:val="false"/>
          <w:smallCaps w:val="false"/>
          <w:sz w:val="20"/>
        </w:rPr>
        <w:t>See Note 3, “</w:t>
      </w:r>
      <w:r>
        <w:rPr>
          <w:rFonts w:ascii="Times New Roman" w:hAnsi="Times New Roman"/>
          <w:i/>
          <w:caps w:val="false"/>
          <w:smallCaps w:val="false"/>
          <w:sz w:val="20"/>
        </w:rPr>
        <w:t>Acquisition</w:t>
      </w:r>
      <w:r>
        <w:rPr>
          <w:rFonts w:ascii="Times New Roman" w:hAnsi="Times New Roman"/>
          <w:caps w:val="false"/>
          <w:smallCaps w:val="false"/>
          <w:sz w:val="20"/>
        </w:rPr>
        <w:t>” for further details about the Enercon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 2023, Bel closed on an €8.0 million (a</w:t>
      </w:r>
      <w:r>
        <w:rPr>
          <w:rFonts w:ascii="Times New Roman" w:hAnsi="Times New Roman"/>
          <w:caps w:val="false"/>
          <w:smallCaps w:val="false"/>
          <w:color w:val="000000"/>
          <w:sz w:val="20"/>
        </w:rPr>
        <w:t>pproximately $8.8 million as of the February 2023 closing) noncontrolling (one-third) investment in innolectric AG ("innolectric"), a Germany-based business in the field of on-board charging for eMobility applications. This passive investment was intended to create a strategic alliance that is focused on Electric Vehicles (“EV”) on-board power electronics, and in particular next generation fast-charging technology. The innolectric investment has been part of Bel's Power Solutions and Protection group. </w:t>
      </w:r>
      <w:r>
        <w:rPr>
          <w:rFonts w:ascii="Times New Roman" w:hAnsi="Times New Roman"/>
          <w:caps w:val="false"/>
          <w:smallCaps w:val="false"/>
          <w:sz w:val="20"/>
        </w:rPr>
        <w:t>See Note 2, “</w:t>
      </w:r>
      <w:r>
        <w:rPr>
          <w:rFonts w:ascii="Times New Roman" w:hAnsi="Times New Roman"/>
          <w:i/>
          <w:caps w:val="false"/>
          <w:smallCaps w:val="false"/>
          <w:sz w:val="20"/>
        </w:rPr>
        <w:t>Investment and Impairment in Innolectric</w:t>
      </w:r>
      <w:r>
        <w:rPr>
          <w:rFonts w:ascii="Times New Roman" w:hAnsi="Times New Roman"/>
          <w:caps w:val="false"/>
          <w:smallCaps w:val="false"/>
          <w:sz w:val="20"/>
        </w:rPr>
        <w:t>” for further information on the current status of the Company’s investment in innolectric.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31, 2021, the Company completed the acquisition of EOS Power ("EOS") through a stock purchase agreement for $7.8 million, net of cash acquired, including a working capital adjustment. EOS, located in Mumbai, India, enhanced Bel's position related to certain industrial and medical markets historically served by EOS, with a strong line of high-power density and low-profile products with high convection ratings. In addition to new products and customers acquired, this acquisition diversified Bel's manufacturing footprint in Asia. The EOS business is part of Bel's Power Solutions and Protection group.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8, 2021, the Company acquired rms Connectors, Inc. (“rms Connectors” or "rms"), from rms Company Inc., a division of Cretex Companies, Inc., for $9.0 million in cash, including a working capital adjustment. rms Connectors is a highly regarded connector manufacturer with over 30 years of experience producing harsh environment circular connectors used in a variety of military and aerospace applications. This acquisition complemented Bel's existing military and aerospace product portfolio and enabled us to expand key customer relationships within these end markets and leverage the combined manufacturing resources to improve our operational efficiency. Originally based in Coon Rapids, Minnesota, the rms Connectors business was relocated into Bel's existing facilities during 2021 and is part of Bel's Connectivity Solutions group.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primarily generates revenue through the sale of its products. Bel offers a broad array of product offerings, which are grouped as follows: Power Solutions &amp; Protection (53% of net sales in 2025), Connectivity Solutions (34% of net sales in 2025) and Magnetic Solutions (13% of net sales in 2025). While there are key customers and end markets within each of the three product grou</w:t>
      </w:r>
      <w:r>
        <w:rPr>
          <w:rFonts w:ascii="Times New Roman;Times;serif" w:hAnsi="Times New Roman;Times;serif"/>
          <w:sz w:val="20"/>
          <w:shd w:fill="FFFFFF" w:val="clear"/>
        </w:rPr>
        <w:t>ps,</w:t>
      </w:r>
      <w:r>
        <w:rPr>
          <w:rFonts w:ascii="Times New Roman;Times;serif" w:hAnsi="Times New Roman;Times;serif"/>
          <w:sz w:val="20"/>
        </w:rPr>
        <w:t xml:space="preserve"> there were no direct customers who accounted for more than 10% of our consolidated net sales in 2025. Our</w:t>
      </w:r>
      <w:r>
        <w:rPr>
          <w:rFonts w:ascii="Times New Roman;Times;serif" w:hAnsi="Times New Roman;Times;serif"/>
          <w:sz w:val="20"/>
          <w:shd w:fill="FFFFFF" w:val="clear"/>
        </w:rPr>
        <w:t xml:space="preserve"> dive</w:t>
      </w:r>
      <w:r>
        <w:rPr>
          <w:rFonts w:ascii="Times New Roman;Times;serif" w:hAnsi="Times New Roman;Times;serif"/>
          <w:sz w:val="20"/>
        </w:rPr>
        <w:t>rse product mix and customer base minimizes our dependence on any one customer or end market.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Power Solutions and Protection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Bel's power conversion products include internal and external AC/DC power supplies, DC/DC converters and DC/AC inverters. Bel circuit protection products include a board offering of surface mount and through-hole level fuses as well as Polymeric PTC (Positive Temperature Coefficient) devices. The Power and Protection products are primarily used in Aerospace, Defense, Servers, Storage, Networking, Transportation, Harsh Environment, Consumer, Medical and Industrial markets.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980"/>
        <w:gridCol w:w="1615"/>
        <w:gridCol w:w="3110"/>
        <w:gridCol w:w="2835"/>
        <w:gridCol w:w="1665"/>
      </w:tblGrid>
      <w:tr>
        <w:trPr/>
        <w:tc>
          <w:tcPr>
            <w:tcW w:w="980" w:type="dxa"/>
            <w:tcBorders>
              <w:bottom w:val="single" w:sz="2" w:space="0" w:color="000000"/>
            </w:tcBorders>
            <w:vAlign w:val="center"/>
          </w:tcPr>
          <w:p>
            <w:pPr>
              <w:pStyle w:val="TableContents"/>
              <w:bidi w:val="0"/>
              <w:spacing w:before="0" w:after="0"/>
              <w:ind w:left="0" w:right="0" w:hanging="0"/>
              <w:jc w:val="left"/>
              <w:rPr/>
            </w:pPr>
            <w:r>
              <w:rPr/>
              <w:t> </w:t>
            </w:r>
          </w:p>
        </w:tc>
        <w:tc>
          <w:tcPr>
            <w:tcW w:w="16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Product Line</w:t>
            </w:r>
          </w:p>
        </w:tc>
        <w:tc>
          <w:tcPr>
            <w:tcW w:w="31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Function</w:t>
            </w:r>
          </w:p>
        </w:tc>
        <w:tc>
          <w:tcPr>
            <w:tcW w:w="28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Applications</w:t>
            </w:r>
          </w:p>
        </w:tc>
        <w:tc>
          <w:tcPr>
            <w:tcW w:w="1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Brands Sold Under</w:t>
            </w:r>
          </w:p>
        </w:tc>
      </w:tr>
      <w:tr>
        <w:trPr/>
        <w:tc>
          <w:tcPr>
            <w:tcW w:w="980" w:type="dxa"/>
            <w:vMerge w:val="restart"/>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Power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Solutions</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Protection</w:t>
            </w:r>
          </w:p>
        </w:tc>
        <w:tc>
          <w:tcPr>
            <w:tcW w:w="16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Front-End Power Supplies</w:t>
            </w:r>
          </w:p>
        </w:tc>
        <w:tc>
          <w:tcPr>
            <w:tcW w:w="3110"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Provides the primary point of isolation between AC main line (input) and the low-voltage DC output that is used to power all electronics downstream.</w:t>
            </w:r>
          </w:p>
        </w:tc>
        <w:tc>
          <w:tcPr>
            <w:tcW w:w="28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Servers, telecommunication, network and data storage equipment.</w:t>
            </w:r>
          </w:p>
        </w:tc>
        <w:tc>
          <w:tcPr>
            <w:tcW w:w="166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Power Solutions &amp; Protection</w:t>
            </w:r>
          </w:p>
        </w:tc>
      </w:tr>
      <w:tr>
        <w:trPr/>
        <w:tc>
          <w:tcPr>
            <w:tcW w:w="98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16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Board-Mount Power Products</w:t>
            </w:r>
          </w:p>
        </w:tc>
        <w:tc>
          <w:tcPr>
            <w:tcW w:w="3110"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are designed to be mounted on a circuit board. These converters take input voltage and provide localized on-board power to low-voltage electronics.</w:t>
            </w:r>
          </w:p>
        </w:tc>
        <w:tc>
          <w:tcPr>
            <w:tcW w:w="28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Telecommunication, networking and a broad range of industrial applications.</w:t>
            </w:r>
          </w:p>
        </w:tc>
        <w:tc>
          <w:tcPr>
            <w:tcW w:w="166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Bel Power Solutions &amp; Protection, MelcherTM, CUI</w:t>
            </w:r>
          </w:p>
        </w:tc>
      </w:tr>
      <w:tr>
        <w:trPr/>
        <w:tc>
          <w:tcPr>
            <w:tcW w:w="98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16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Industrial and Transportation Power Products</w:t>
            </w:r>
          </w:p>
        </w:tc>
        <w:tc>
          <w:tcPr>
            <w:tcW w:w="3110"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to be used in industrial equipment or on-board and off-board transportation applications for powering various AC and DC electronics, battery charging and power management.</w:t>
            </w:r>
          </w:p>
        </w:tc>
        <w:tc>
          <w:tcPr>
            <w:tcW w:w="28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Rail, transportation, automation, test and measurement, medical and eMobility applications.</w:t>
            </w:r>
          </w:p>
        </w:tc>
        <w:tc>
          <w:tcPr>
            <w:tcW w:w="166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Bel Power Solutions &amp; Protection, MelcherTM, CUI, EOS</w:t>
            </w:r>
          </w:p>
        </w:tc>
      </w:tr>
      <w:tr>
        <w:trPr/>
        <w:tc>
          <w:tcPr>
            <w:tcW w:w="98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161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Military, Aerospace and Defense Products</w:t>
            </w:r>
          </w:p>
        </w:tc>
        <w:tc>
          <w:tcPr>
            <w:tcW w:w="3110"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Customized Power and Networking solutions designed to meet harsh environment standards.</w:t>
            </w:r>
          </w:p>
        </w:tc>
        <w:tc>
          <w:tcPr>
            <w:tcW w:w="283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Military, Aerospace and Defense applications including air, ground, sea, space and soldier.</w:t>
            </w:r>
          </w:p>
        </w:tc>
        <w:tc>
          <w:tcPr>
            <w:tcW w:w="166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Enercon, MilPower</w:t>
            </w:r>
          </w:p>
        </w:tc>
      </w:tr>
      <w:tr>
        <w:trPr/>
        <w:tc>
          <w:tcPr>
            <w:tcW w:w="98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161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External Power Products</w:t>
            </w:r>
          </w:p>
        </w:tc>
        <w:tc>
          <w:tcPr>
            <w:tcW w:w="3110"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Standard and customizable desktop and wall plug adapters that convert AC main input voltages to a variety of DC output voltages.</w:t>
            </w:r>
          </w:p>
        </w:tc>
        <w:tc>
          <w:tcPr>
            <w:tcW w:w="283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Consumer and industrial devices and equipment.</w:t>
            </w:r>
          </w:p>
        </w:tc>
        <w:tc>
          <w:tcPr>
            <w:tcW w:w="166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CUI, EOS</w:t>
            </w:r>
          </w:p>
        </w:tc>
      </w:tr>
      <w:tr>
        <w:trPr/>
        <w:tc>
          <w:tcPr>
            <w:tcW w:w="98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16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Circuit Protection</w:t>
            </w:r>
          </w:p>
        </w:tc>
        <w:tc>
          <w:tcPr>
            <w:tcW w:w="3110"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Protects devices by preventing current in an electrical circuit from exceeding acceptable levels.</w:t>
            </w:r>
          </w:p>
        </w:tc>
        <w:tc>
          <w:tcPr>
            <w:tcW w:w="28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Consumer electronics, power supplies, electric vehicles, EV chargers, battery charging and lighting.</w:t>
            </w:r>
          </w:p>
        </w:tc>
        <w:tc>
          <w:tcPr>
            <w:tcW w:w="166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Power Solutions &amp; Protection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Connectivity Solutions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 offers a comprehensive line of high speed and harsh environment copper and optical fiber connectors and integrated assemblies, which provide connectivity for a wide range of applications across multiple industries including commercial aerospace, military communications, defense, network infrastructure, structured building cabling and several industrial applications.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175"/>
        <w:gridCol w:w="2393"/>
        <w:gridCol w:w="2468"/>
        <w:gridCol w:w="2453"/>
        <w:gridCol w:w="1716"/>
      </w:tblGrid>
      <w:tr>
        <w:trPr/>
        <w:tc>
          <w:tcPr>
            <w:tcW w:w="1175" w:type="dxa"/>
            <w:tcBorders>
              <w:bottom w:val="single" w:sz="2" w:space="0" w:color="000000"/>
            </w:tcBorders>
            <w:vAlign w:val="center"/>
          </w:tcPr>
          <w:p>
            <w:pPr>
              <w:pStyle w:val="TableContents"/>
              <w:bidi w:val="0"/>
              <w:spacing w:before="0" w:after="0"/>
              <w:ind w:left="0" w:right="0" w:hanging="0"/>
              <w:jc w:val="left"/>
              <w:rPr/>
            </w:pPr>
            <w:r>
              <w:rPr/>
              <w:t> </w:t>
            </w:r>
          </w:p>
        </w:tc>
        <w:tc>
          <w:tcPr>
            <w:tcW w:w="239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Product Line</w:t>
            </w:r>
          </w:p>
        </w:tc>
        <w:tc>
          <w:tcPr>
            <w:tcW w:w="2468"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Function</w:t>
            </w:r>
          </w:p>
        </w:tc>
        <w:tc>
          <w:tcPr>
            <w:tcW w:w="245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Applications</w:t>
            </w:r>
          </w:p>
        </w:tc>
        <w:tc>
          <w:tcPr>
            <w:tcW w:w="17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Brands Sold Under</w:t>
            </w:r>
          </w:p>
        </w:tc>
      </w:tr>
      <w:tr>
        <w:trPr/>
        <w:tc>
          <w:tcPr>
            <w:tcW w:w="1175" w:type="dxa"/>
            <w:vMerge w:val="restart"/>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Connectivity</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Solutions</w:t>
            </w:r>
          </w:p>
        </w:tc>
        <w:tc>
          <w:tcPr>
            <w:tcW w:w="239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Expanded Beam Fiber Optic Connectors, Cable Assemblies and Active Optical Devices (transceivers and media converters)</w:t>
            </w:r>
          </w:p>
        </w:tc>
        <w:tc>
          <w:tcPr>
            <w:tcW w:w="2468"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Harsh-environment, high-reliability, flight-grade optical connectivity for high-speed communications.</w:t>
            </w:r>
          </w:p>
        </w:tc>
        <w:tc>
          <w:tcPr>
            <w:tcW w:w="245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Military/aerospace, space, oil and gas well monitoring and exploration, broadcast, communications, RADAR.</w:t>
            </w:r>
          </w:p>
        </w:tc>
        <w:tc>
          <w:tcPr>
            <w:tcW w:w="1716" w:type="dxa"/>
            <w:tcBorders>
              <w:bottom w:val="single" w:sz="2" w:space="0" w:color="000000"/>
              <w:right w:val="single" w:sz="2" w:space="0" w:color="000000"/>
            </w:tcBorders>
            <w:tcMar>
              <w:right w:w="28"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Stratos®, Fibreco®</w:t>
            </w:r>
          </w:p>
        </w:tc>
      </w:tr>
      <w:tr>
        <w:trPr/>
        <w:tc>
          <w:tcPr>
            <w:tcW w:w="1175"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39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Copper-based Connectors / Cable Assemblies-FQIS</w:t>
            </w:r>
          </w:p>
        </w:tc>
        <w:tc>
          <w:tcPr>
            <w:tcW w:w="2468"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Harsh-environment, high-reliability connectivity and fuel quantity monitoring (FQIS).</w:t>
            </w:r>
          </w:p>
        </w:tc>
        <w:tc>
          <w:tcPr>
            <w:tcW w:w="245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Avionics, smart munitions, communications, radar and various industrial equipment.</w:t>
            </w:r>
          </w:p>
        </w:tc>
        <w:tc>
          <w:tcPr>
            <w:tcW w:w="1716" w:type="dxa"/>
            <w:tcBorders>
              <w:bottom w:val="single" w:sz="2" w:space="0" w:color="000000"/>
              <w:right w:val="single" w:sz="2" w:space="0" w:color="000000"/>
            </w:tcBorders>
            <w:tcMar>
              <w:right w:w="28"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Cinch®</w:t>
            </w:r>
          </w:p>
        </w:tc>
      </w:tr>
      <w:tr>
        <w:trPr/>
        <w:tc>
          <w:tcPr>
            <w:tcW w:w="1175"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39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RF Connectors, Cable Assemblies, Microwave Devices and Low Loss Cable</w:t>
            </w:r>
          </w:p>
        </w:tc>
        <w:tc>
          <w:tcPr>
            <w:tcW w:w="2468"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Connectors and cable assemblies designed to provide connectivity within radio frequency (RF) applications.</w:t>
            </w:r>
          </w:p>
        </w:tc>
        <w:tc>
          <w:tcPr>
            <w:tcW w:w="2453"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Military/aerospace, space, test and measurement, internet-of-things (IoT), 5G high-frequency and wireless communications.</w:t>
            </w:r>
          </w:p>
        </w:tc>
        <w:tc>
          <w:tcPr>
            <w:tcW w:w="1716" w:type="dxa"/>
            <w:tcBorders>
              <w:bottom w:val="single" w:sz="2" w:space="0" w:color="000000"/>
              <w:right w:val="single" w:sz="2" w:space="0" w:color="000000"/>
            </w:tcBorders>
            <w:tcMar>
              <w:right w:w="28"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Johnson, Trompeter, Midwest MicrowaveTM, Semflex®</w:t>
            </w:r>
          </w:p>
        </w:tc>
      </w:tr>
      <w:tr>
        <w:trPr/>
        <w:tc>
          <w:tcPr>
            <w:tcW w:w="1175"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393" w:type="dxa"/>
            <w:tcBorders>
              <w:bottom w:val="single" w:sz="2" w:space="0" w:color="000000"/>
              <w:right w:val="single" w:sz="2"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Ethernet, I/O, Industrial and Power Connectivity</w:t>
            </w:r>
          </w:p>
        </w:tc>
        <w:tc>
          <w:tcPr>
            <w:tcW w:w="2468" w:type="dxa"/>
            <w:tcBorders>
              <w:bottom w:val="single" w:sz="2" w:space="0" w:color="000000"/>
              <w:right w:val="single" w:sz="2"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RJ45, RJ11, M12, IP67 and USB connectivity for data/voice/video transmission.</w:t>
            </w:r>
          </w:p>
        </w:tc>
        <w:tc>
          <w:tcPr>
            <w:tcW w:w="2453" w:type="dxa"/>
            <w:tcBorders>
              <w:bottom w:val="single" w:sz="2" w:space="0" w:color="000000"/>
              <w:right w:val="single" w:sz="2"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Applications including routers, hubs, switches, peripheral device connectivity and patch panels; and emerging IoT applications.</w:t>
            </w:r>
          </w:p>
        </w:tc>
        <w:tc>
          <w:tcPr>
            <w:tcW w:w="1716" w:type="dxa"/>
            <w:tcBorders>
              <w:bottom w:val="single" w:sz="2" w:space="0" w:color="000000"/>
              <w:right w:val="single" w:sz="2"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Stewart Connector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Magnetic Solutions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Bel's Magnetics offers industry-leading products. The Company's ICM products integrate RJ45 connectors with discrete magnetic components to provide better performance and a more robust device that allows customers to substantially reduce board space and optimize performance. Power Transformers include standard and custom designs for use in a wide array of applications, including industrial instrumentation, alarm and security systems, motion control, elevators, and medical products.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2142"/>
        <w:gridCol w:w="2731"/>
        <w:gridCol w:w="3072"/>
        <w:gridCol w:w="1370"/>
      </w:tblGrid>
      <w:tr>
        <w:trPr/>
        <w:tc>
          <w:tcPr>
            <w:tcW w:w="890" w:type="dxa"/>
            <w:tcBorders>
              <w:bottom w:val="single" w:sz="2" w:space="0" w:color="000000"/>
            </w:tcBorders>
            <w:vAlign w:val="center"/>
          </w:tcPr>
          <w:p>
            <w:pPr>
              <w:pStyle w:val="TableContents"/>
              <w:bidi w:val="0"/>
              <w:spacing w:before="0" w:after="0"/>
              <w:ind w:left="0" w:right="0" w:hanging="0"/>
              <w:jc w:val="left"/>
              <w:rPr/>
            </w:pPr>
            <w:r>
              <w:rPr/>
              <w:t> </w:t>
            </w:r>
          </w:p>
        </w:tc>
        <w:tc>
          <w:tcPr>
            <w:tcW w:w="214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Product Line</w:t>
            </w:r>
          </w:p>
        </w:tc>
        <w:tc>
          <w:tcPr>
            <w:tcW w:w="27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Function</w:t>
            </w:r>
          </w:p>
        </w:tc>
        <w:tc>
          <w:tcPr>
            <w:tcW w:w="307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Applications</w:t>
            </w:r>
          </w:p>
        </w:tc>
        <w:tc>
          <w:tcPr>
            <w:tcW w:w="13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Brands Sold Under</w:t>
            </w:r>
          </w:p>
        </w:tc>
      </w:tr>
      <w:tr>
        <w:trPr/>
        <w:tc>
          <w:tcPr>
            <w:tcW w:w="890" w:type="dxa"/>
            <w:vMerge w:val="restart"/>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Magnetic</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Solutions</w:t>
            </w:r>
          </w:p>
        </w:tc>
        <w:tc>
          <w:tcPr>
            <w:tcW w:w="214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Integrated Connector Modules (ICMs)</w:t>
            </w:r>
          </w:p>
        </w:tc>
        <w:tc>
          <w:tcPr>
            <w:tcW w:w="2731"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 filter, and isolate the electronic signal to ensure accurate data/voice/video transmission and provide RJ45 and USB connectivity.</w:t>
            </w:r>
          </w:p>
        </w:tc>
        <w:tc>
          <w:tcPr>
            <w:tcW w:w="307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Network switches, routers, hubs, and PCs used in multi-speed Gigabit Ethernet, Power over Ethernet (PoE), PoE Plus and home networking applications.</w:t>
            </w:r>
          </w:p>
        </w:tc>
        <w:tc>
          <w:tcPr>
            <w:tcW w:w="1370"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Bel, TRP Connector®, MagJack®</w:t>
            </w:r>
          </w:p>
        </w:tc>
      </w:tr>
      <w:tr>
        <w:trPr/>
        <w:tc>
          <w:tcPr>
            <w:tcW w:w="89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14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Power Transformers</w:t>
            </w:r>
          </w:p>
        </w:tc>
        <w:tc>
          <w:tcPr>
            <w:tcW w:w="2731"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Safety isolation and distribution.</w:t>
            </w:r>
          </w:p>
        </w:tc>
        <w:tc>
          <w:tcPr>
            <w:tcW w:w="307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Power supplies, alarm, fire detection, and security systems, HVAC, lighting and medical equipment. Class 2, three phase, chassis mount, and PC mount designs available.</w:t>
            </w:r>
          </w:p>
        </w:tc>
        <w:tc>
          <w:tcPr>
            <w:tcW w:w="1370"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Signal</w:t>
            </w:r>
          </w:p>
        </w:tc>
      </w:tr>
      <w:tr>
        <w:trPr/>
        <w:tc>
          <w:tcPr>
            <w:tcW w:w="89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14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SMD Power Inductors &amp; SMPS Transformers</w:t>
            </w:r>
          </w:p>
        </w:tc>
        <w:tc>
          <w:tcPr>
            <w:tcW w:w="2731"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passive component that stores energy in a magnetic field.  Widely used in analog electronic circuitry.</w:t>
            </w:r>
          </w:p>
        </w:tc>
        <w:tc>
          <w:tcPr>
            <w:tcW w:w="307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Switchmode power supplies, DC/DC converters, LED lighting, automotive and consumer electronics.</w:t>
            </w:r>
          </w:p>
        </w:tc>
        <w:tc>
          <w:tcPr>
            <w:tcW w:w="1370"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Signal</w:t>
            </w:r>
          </w:p>
        </w:tc>
      </w:tr>
      <w:tr>
        <w:trPr/>
        <w:tc>
          <w:tcPr>
            <w:tcW w:w="890" w:type="dxa"/>
            <w:vMerge w:val="continue"/>
            <w:tcBorders>
              <w:left w:val="single" w:sz="2" w:space="0" w:color="000000"/>
              <w:bottom w:val="single" w:sz="2" w:space="0" w:color="000000"/>
              <w:right w:val="single" w:sz="2" w:space="0" w:color="000000"/>
            </w:tcBorders>
            <w:tcMar>
              <w:left w:w="28" w:type="dxa"/>
              <w:right w:w="28" w:type="dxa"/>
            </w:tcMar>
            <w:vAlign w:val="center"/>
          </w:tcPr>
          <w:p>
            <w:pPr>
              <w:pStyle w:val="Normal"/>
              <w:bidi w:val="0"/>
              <w:jc w:val="left"/>
              <w:rPr/>
            </w:pPr>
            <w:r>
              <w:rPr/>
            </w:r>
          </w:p>
        </w:tc>
        <w:tc>
          <w:tcPr>
            <w:tcW w:w="214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Discrete Components-Ethernet</w:t>
            </w:r>
          </w:p>
        </w:tc>
        <w:tc>
          <w:tcPr>
            <w:tcW w:w="2731"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 filter, and isolate the electronic signals to ensure high speed Ethernet data transmission.</w:t>
            </w:r>
          </w:p>
        </w:tc>
        <w:tc>
          <w:tcPr>
            <w:tcW w:w="307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Network switches, routers, hubs, and PCs used in multi-speed Gigabit Ethernet and Power over Ethernet (PoE).</w:t>
            </w:r>
          </w:p>
        </w:tc>
        <w:tc>
          <w:tcPr>
            <w:tcW w:w="1370"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sz w:val="20"/>
          <w:u w:val="single"/>
        </w:rPr>
        <w:t>Sales and Marketing</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sell our products to customers throughout North America, Europe and Asia. Sales are made through one of three channels: strategic account managers or in some cases, regional sales managers, working directly with our customers; regional sales managers working with independent sales representative organizations; or authorized distributors. Bel's strategic account managers are assigned to handle major accounts requiring global coordination.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Independent sales representatives and authorized distributors are overseen by the Company's sales management personnel located throughout the world. As of December 31, 2025, we had a sales and support staff o</w:t>
      </w:r>
      <w:r>
        <w:rPr>
          <w:rFonts w:ascii="Times New Roman;Times;serif" w:hAnsi="Times New Roman;Times;serif"/>
          <w:sz w:val="20"/>
          <w:shd w:fill="FFFFFF" w:val="clear"/>
        </w:rPr>
        <w:t xml:space="preserve">f </w:t>
      </w:r>
      <w:r>
        <w:rPr>
          <w:rFonts w:ascii="Times New Roman;Times;serif" w:hAnsi="Times New Roman;Times;serif"/>
          <w:sz w:val="20"/>
        </w:rPr>
        <w:t>approximately 212 people that supported a network of sales representative organizations and non-exclusive distributors. We have written agreements with all our sales representative organizations and most of our major distributors. These written agreements, terminable on short notice by either party, are standard in the industry.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support functions have also been established and located in our international facilities to provide timely, efficient support for customers. This supplemental level of service, in addition to first-line sales support, enables us to be more responsive to customers' needs on a global level. Our marketing capabilities include product management which drives new product development, application engineering for technical support and marketing communications.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Market Factors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Competition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a variety of markets, all of which are highly competitive. There are numerous independent companies and divisions of major companies that manufacture products that are competitive with one or more of our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ability to compete is dependent upon several factors including product performance, quality, reliability, depth of product line, customer service, technological innovation, design, delivery time and price. Overall financial stability and global presence also give us a favorable position in relation to some of our competitors. Management intends to maintain a strong competitive posture in the markets we serve by continued expansion of our product lines and ongoing investment in research, development and manufacturing resources. The preceding sentence represents a Forward-Looking Statement. See </w:t>
      </w:r>
      <w:r>
        <w:rPr>
          <w:rFonts w:ascii="Times New Roman;Times;serif" w:hAnsi="Times New Roman;Times;serif"/>
          <w:i/>
          <w:sz w:val="20"/>
        </w:rPr>
        <w:t>"Cautionary Notice Regarding Forward-Looking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Trends in Market Demand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orders, or bookings, received during 2025 amounted to $732.9 million, a 75.8% increase from 2024. By product group, orders received for our Power Solutions and Protection products amounted to $379.9 million in 2025, a 172% increase from 2024, largely due to increased demand from our networking and aerospace and defense customers. Orders received for our Connectivity Solutions products were $253.8 million in 2025, 19.7% higher than in 2024, primarily as a result of increased demand from our commercial aerospace and defense customers. Bookings for our Magnetic Solutions products increased by 52.8% from 2024 to $99.3 million in 2025, largely due to increased demand from our networking customers.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Backlog of Orders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typically manufacture products against firm orders and projected usage by customers. Cancellation and return arrangements are either negotiated by us on a transactional basis or contractually determined. We estimate the value of the backlog of orders as</w:t>
      </w:r>
      <w:r>
        <w:rPr>
          <w:rFonts w:ascii="Times New Roman;Times;serif" w:hAnsi="Times New Roman;Times;serif"/>
          <w:sz w:val="20"/>
          <w:shd w:fill="FFFFFF" w:val="clear"/>
        </w:rPr>
        <w:t xml:space="preserve"> of January 31, 2026 to </w:t>
      </w:r>
      <w:r>
        <w:rPr>
          <w:rFonts w:ascii="Times New Roman;Times;serif" w:hAnsi="Times New Roman;Times;serif"/>
          <w:sz w:val="20"/>
        </w:rPr>
        <w:t>be approximately $452.2 million as compared with a backlo</w:t>
      </w:r>
      <w:r>
        <w:rPr>
          <w:rFonts w:ascii="Times New Roman;Times;serif" w:hAnsi="Times New Roman;Times;serif"/>
          <w:sz w:val="20"/>
          <w:shd w:fill="FFFFFF" w:val="clear"/>
        </w:rPr>
        <w:t>g o</w:t>
      </w:r>
      <w:r>
        <w:rPr>
          <w:rFonts w:ascii="Times New Roman;Times;serif" w:hAnsi="Times New Roman;Times;serif"/>
          <w:sz w:val="20"/>
        </w:rPr>
        <w:t xml:space="preserve">f $388.1 </w:t>
      </w:r>
      <w:r>
        <w:rPr>
          <w:rFonts w:ascii="Times New Roman;Times;serif" w:hAnsi="Times New Roman;Times;serif"/>
          <w:sz w:val="20"/>
          <w:shd w:fill="FFFFFF" w:val="clear"/>
        </w:rPr>
        <w:t>million as of January 31, 2025. Ma</w:t>
      </w:r>
      <w:r>
        <w:rPr>
          <w:rFonts w:ascii="Times New Roman;Times;serif" w:hAnsi="Times New Roman;Times;serif"/>
          <w:sz w:val="20"/>
        </w:rPr>
        <w:t>nagement estimates that approximately 80%-85% of the Company's backlog a</w:t>
      </w:r>
      <w:r>
        <w:rPr>
          <w:rFonts w:ascii="Times New Roman;Times;serif" w:hAnsi="Times New Roman;Times;serif"/>
          <w:sz w:val="20"/>
          <w:shd w:fill="FFFFFF" w:val="clear"/>
        </w:rPr>
        <w:t>s of January 31, 2026 will</w:t>
      </w:r>
      <w:r>
        <w:rPr>
          <w:rFonts w:ascii="Times New Roman;Times;serif" w:hAnsi="Times New Roman;Times;serif"/>
          <w:sz w:val="20"/>
        </w:rPr>
        <w:t xml:space="preserve"> be shipped by December 31, 2026. </w:t>
      </w:r>
      <w:r>
        <w:rPr>
          <w:rFonts w:ascii="Times New Roman;Times;serif" w:hAnsi="Times New Roman;Times;serif"/>
          <w:sz w:val="20"/>
          <w:shd w:fill="FFFFFF" w:val="clear"/>
        </w:rPr>
        <w:t>Factors that could cause the Company to fail to ship all such orders by year-end include unanticipated supply difficulties, changes in customer demand and new customer designs.</w:t>
      </w:r>
      <w:r>
        <w:rPr>
          <w:rFonts w:ascii="Times New Roman;Times;serif" w:hAnsi="Times New Roman;Times;serif"/>
          <w:sz w:val="20"/>
        </w:rPr>
        <w:t xml:space="preserve"> Due to these factors, backlog may not be a reliable indicator of the timing of future sales. The preceding statements regarding the Company’s backlog, including but not limited to estimates and anticipated timing of shipping, represent Forward-Looking Statements. See </w:t>
      </w:r>
      <w:r>
        <w:rPr>
          <w:rFonts w:ascii="Times New Roman;Times;serif" w:hAnsi="Times New Roman;Times;serif"/>
          <w:i/>
          <w:sz w:val="20"/>
        </w:rPr>
        <w:t>"Cautionary Notice Regarding Forward-Looking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Research and Development ("R&amp;D")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engineering groups are strategically located around the world to facilitate communication with and access to customers' engineering personnel. This collaborative approach enables partnerships with customers for technical development efforts. The global capabilities and collaborative approach allow Bel to develop leading edge technological products that support highly complex and evolving markets such as defense, commercial aerospace, eMobility, cloud computing, and others. On occasion, we execute non-disclosure agreements with customers to help develop proprietary, next generation products intended for rapid deployment. We also sponsor membership in technical organizations that allow our engineers to participate in developing standards for emerging technologies. It is management's opinion that this participation is critical in establishing credibility and a reputable level of expertise in the marketplace, as well as positioning the Company as an industry leader in new product development.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R&amp;D costs are expensed as incurred. Generally, R&amp;D is performed internally for the benefit of the Company. R&amp;D costs include salaries, building maintenance and utilities, rents, materials, administrative costs and miscellaneous other items.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Resources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Raw Materials and Sourcing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multiple suppliers for most of the raw materials that we purchase. Where possible, we have contractual agreements with suppliers to assure a continuing supply of critical components.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respect to those items which are purchased from single sources, we believe that comparable items would be available in the event that there was a termination of our existing business relationship with any such supplier. While such a termination could produce a disruption in production, we believe that the termination of business with any one of our suppliers would not have a material adverse effect on our long-term operations. Actual experience could differ materially from this belief as a result of a number of factors, including the time required to locate an alternative supplier, and the nature of the demand for our products.</w:t>
      </w:r>
      <w:r>
        <w:rPr>
          <w:rFonts w:ascii="Times New Roman;Times;serif" w:hAnsi="Times New Roman;Times;serif"/>
          <w:sz w:val="20"/>
          <w:shd w:fill="FFFFFF" w:val="clear"/>
        </w:rPr>
        <w:t> </w:t>
      </w:r>
      <w:r>
        <w:rPr>
          <w:rFonts w:ascii="Times New Roman;Times;serif" w:hAnsi="Times New Roman;Times;serif"/>
          <w:sz w:val="20"/>
        </w:rPr>
        <w:t>Sharp increases in metal commodity prices, particularly Gold (Au), Silver (Ag) and Copper (Cu) over the past few years continue to impact cost structures and supplier pricing. Even though we may have more than one supplier for certain materials, it is possible that these materials may not be available to us in sufficient quantities or at the times desired by us. In the event that economic conditions have a negative impact on the financial condition of our suppliers, this may impact the availability and cost of our raw materials.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Intellectual Property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acquired or been granted a number of patents in the U.S., Europe and Asia and have additional patent applications pending relating to our products. Our U.S. design patents have a life of 15 years and our U.S. utility patents have a life of 20 years from filing of patent applications. Our existing patents expire on various dates through July 2041. It is management's opinion that the successful continuation and operation of our business does not depend upon the ownership of patents or the granting of pending patent applications, but upon the innovative skills, technical competence and marketing and managerial abilities of our personnel.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utilize registered trademarks in the U.S., Europe and Asia to identify various products that we manufacture. The trademarks survive as long as they are in use and the registrations of these trademarks are renewed.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Government Contracts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A violation of specific laws and regulations could result in the imposition of fines and penalties or the termination of our contracts or debarment from bidding on contracts. These fines and penalties could be imposed for failing to follow procurement integrity and bidding rules, employing improper billing practices or otherwise failing to follow cost accounting standards, receiving or paying kickbacks, or filing false claims. We have been, and expect to continue to be, subjected to audits and investigations by government agencies. The failure to comply with the terms of our government contracts could harm our business reputation. It could also result in our progress payments being withheld.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some instances, these laws and regulations impose terms or rights that are more favorable to the government than those typically available to commercial parties in negotiated transactions. For example, the U.S. Government may terminate any of our government contracts and, in general, subcontracts, at its convenience as well as for default based on performance. Upon termination for convenience of a fixed-price type contract, we normally are entitled to receive the purchase price for delivered items, reimbursement for allowable costs for work-in-process, and an allowance for profit on work actually completed on the contract or adjustment for loss if completion of performance would have resulted in a loss. Upon termination for convenience of a Federal Government cost reimbursement contract, we normally are entitled to reimbursement of allowable costs plus a portion of the fee. Such allowable costs would normally include our cost to terminate agreements with our suppliers and subcontractors. The amount of the fee recovered, if any, is related to the portion of the work accomplished prior to termination and is determined by negotiation.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PRC, the availability of labor is cyclical and is significantly affected by the migration of workers in relation to the annual Lunar New Year holiday. Each year following the Lunar New Year holiday, we must assess the worker return rate and whether it is adequate to meet the needs of current demand from our customers. Accordingly, we must continually recruit and train new workers to replace those lost to attrition each year and to address peaks in demand that may occur from time to time. This temporary setback in production has historically resulted in our first quarter sales being the lowest sales quarter of the year. Further, recruiting and training efforts and related inefficiencies, as well as overtime required to meet demand, can add volatility to the costs incurred by the Company for labor in the PRC, primarily during the first quarter of the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Government Regulations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subject to various government regulations in the United State</w:t>
      </w:r>
      <w:r>
        <w:rPr>
          <w:rFonts w:ascii="Times New Roman;Times;serif" w:hAnsi="Times New Roman;Times;serif"/>
          <w:sz w:val="20"/>
          <w:shd w:fill="FFFFFF" w:val="clear"/>
        </w:rPr>
        <w:t>s as well as various jurisdictions where it operates. These</w:t>
      </w:r>
      <w:r>
        <w:rPr>
          <w:rFonts w:ascii="Times New Roman;Times;serif" w:hAnsi="Times New Roman;Times;serif"/>
          <w:sz w:val="20"/>
        </w:rPr>
        <w:t xml:space="preserve"> regulations cover several diverse areas including trade compliance, anti-bribery, anti-corruption, money laundering, and data and privacy protection. Regulatory or government authorities where the Company operates may have enforcement powers that can subject the company to legal penalties or other measures and can impose changes or conditions in the way it conducts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Human Capital Resources, Strategy and Management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Bel, our values guide everything we do. We are committed to the highest standards of ethical and legal conduct and have created an environment where open and honest communication is the expectation, not the exception. Failing to do so puts Bel’s name, reputation for integrity and business at risk. We hold all employees of Bel (our associates) to this standard and offer the same in return. Our code of ethics was created to ensure that our associates, officers, directors, partners, contractors, and suppliers follow our commitment to customer satisfaction in accordance with ethical and legal standards, guided by the basic, unchanging principle of integrity.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Human Capital Strategy is built around four areas: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Extraordinary Performance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associates are a critical driver of Bel’s global business results. On December 31, 2025, Bel employed approximatel</w:t>
      </w:r>
      <w:r>
        <w:rPr>
          <w:rFonts w:ascii="Times New Roman;Times;serif" w:hAnsi="Times New Roman;Times;serif"/>
          <w:sz w:val="20"/>
          <w:shd w:fill="FFFFFF" w:val="clear"/>
        </w:rPr>
        <w:t>y</w:t>
      </w:r>
      <w:r>
        <w:rPr>
          <w:rFonts w:ascii="Times New Roman;Times;serif" w:hAnsi="Times New Roman;Times;serif"/>
          <w:sz w:val="20"/>
        </w:rPr>
        <w:t xml:space="preserve"> 4,964 associat</w:t>
      </w:r>
      <w:r>
        <w:rPr>
          <w:rFonts w:ascii="Times New Roman;Times;serif" w:hAnsi="Times New Roman;Times;serif"/>
          <w:sz w:val="20"/>
          <w:shd w:fill="FFFFFF" w:val="clear"/>
        </w:rPr>
        <w:t xml:space="preserve">es, almost all of which are full-time, </w:t>
      </w:r>
      <w:r>
        <w:rPr>
          <w:rFonts w:ascii="Times New Roman;Times;serif" w:hAnsi="Times New Roman;Times;serif"/>
          <w:sz w:val="20"/>
        </w:rPr>
        <w:t>across 15 countries, with 32% located within North America. Outside of the United States, our largest employee populations were located within the PRC, Mexico, Slovakia, the Dominican Republic, Israel, India and the United Kingdom. We regularly monitor various key performance indicators around the key human capital priorities of attracting, retaining, and engaging our global talent. In addition, we enable the execution of our strategic priorities by providing all associates with access to training and development opportunities to improve critical skill sets.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Great Associates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 is committed to fostering an inclusive environment that respects and encourages individual differences, diversity of thought, and talent. We strive to create a workplace where associates feel that their contributions are welcomed and valued, allowing them to fully utilize their talents while achieving personal satisfaction in their respective roles within Bel.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Across the organization, we invest in our people to learn in a variety of ways - on the job, in the classroom, through self-directed learning, and through leadership programs. We have expanded our learning management system to make new content and training available to our associates. The Company has advanced its leadership development programs and continues to enhance internship and apprenticeship programs to develop new talent.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Health and Safety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 offers a variety of programs globally to protect the health and safety of our associates. While we maintain targets for year-over-year reduction of the total recordable incident rate and serious injuries, our goal is always zero.</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Culture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an increasingly competitive global marketplace, Bel succeeds when we attract and retain the best talent in the communities in which we operate, without regard to race, sex, religion, national origin, disability status, veteran status, or any other protected category. We support this commitment by participating in networking and community events and actively recruiting a broad group of qualified candidates.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global leader in delivering reliable solutions, Bel has signed a Statement of Support Program declaration to show support for National Guard and Reserve member associates coordinated by the Department of Defense's Employer Support of the Guard and Reserve (ESGR) program. The intent of the program is to increase employer support by encouraging employers to act as advocates for associate participation in the military.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global human resources team members are strategically placed, primarily in manufacturing facilities, to provide support to all our associates. The mission of human resources is to attract, retain and engage the best people. We create a positive work environment where associates can make a difference.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company that has been in business for over 75 years, Bel understands the importance of trust, integrity and accountability of all levels of the organization. Our policies, practices and priorities are continually reviewed to align with the best interests of our associates, shareholders and other stakeholders.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Environmental, Social and Governance (“ESG”)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 is committed to creating a better tomorrow by understanding how our actions impact the world around us. We aim to accomplish this by making tangible steps, big and small, to invest in our communities, to seek to minimize environmental impact and to promote alignment of interest among stakeholders. As an organization that thrives on learning and continuous improvement, Bel welcomes and embraces change. Over the last few years, we have worked to drive continuous improvements in these areas. Oversight of Bel’s compliance with government-mandated ESG disclosures and reporting requirements and other internal initiatives starts at the Board level, through its Nominating and ESG Committee. Bel also has an internal ESG Committee whose purpose is to support the Company’s ongoing commitment to ESG matters including environmental stewardship, health and safety, corporate social responsibility, corporate governance, sustainability, and other related issues of significance to the Company. Bel’s internal ESG Committee provides updates to either the Nominating and ESG Committee or to the full Board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Environmental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Bel, we understand the impact of climate change upon so many aspects of our lives and our future, and we are committed to reducing environmental impact for a more sustainable tomorrow. We consistently look for alternatives and approaches to consider in Bel’s business and strategies at multiple levels, from improving the efficiency ratings of our products and factories to better managing our consumption habits of electricity and water.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 has measured the impact of its operations on the environment and has utilized these measurements to establish reduction goals and related initiatives throughout the global organization. Today we have 15 manufacturing facilities of various sizes and five of them are ISO 14001 certified and represent 63% of our manufacturing footprint. These five sites have been measuring their consumption levels of natural gas, electricity and water and have targets in place for reducing consumption and waste and improving recycling efforts. For the rest of our manufacturing sites, we intend to follow an approach comparable to the template laid out with these five as we begin the process of better understanding our impact.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Social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Associates are the cornerstone of our business and key to our success. At Bel, we believe in the need for diversity and inclusion that reflects the communities in which we work and live. Associates are encouraged to bring with them their unique perspectives, opinions and experiences as they work for the betterment of Bel, its customers and the locations in which we operate. Bel recognizes its role in the global community and giving back is a priority. From coaching their local sports team to raising funds for local charities of choice, Bel supports and encourages our associates’ participation in these types of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2025 Charitable Contribution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Bel maintains a Company-wide Charitable Contribution Program to ensure consistency and drive our corporate values across the organization. The social program is also in alignment with our Core Value of Community Engagement and directly reflects the ambitions of our ESG initiative to support the global communities within which we operate. </w:t>
      </w:r>
      <w:r>
        <w:rPr>
          <w:rFonts w:ascii="Times New Roman" w:hAnsi="Times New Roman"/>
          <w:caps w:val="false"/>
          <w:smallCaps w:val="false"/>
          <w:sz w:val="20"/>
        </w:rPr>
        <w:t>In 2025, the program resulted in contributions of more than $131,000 to 54 local charities across 11 countries. There was a matching program for the organizations selected and associates who donated. In addition, associates volunteered 7,900 hours to support their local communities, an increase from the 6,007 volunteer hours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Governance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company that has been in business for more than 75 years, Bel understands the importance of trust, integrity and accountability at all levels of the organization. Recent additions to our Board and executive management team have brought greater diversity and new perspectives to Bel. We intend that our policies, practices an</w:t>
      </w:r>
      <w:r>
        <w:rPr>
          <w:rFonts w:ascii="Times New Roman" w:hAnsi="Times New Roman"/>
          <w:caps w:val="false"/>
          <w:smallCaps w:val="false"/>
          <w:sz w:val="20"/>
          <w:shd w:fill="FFFFFF" w:val="clear"/>
        </w:rPr>
        <w:t>d priorities will be periodically and continually reviewed as appropriate to better align with the best interests of our shareholders, associates and other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In addition to the Board-level ESG oversight, the Company adheres to Bel’s Corporate Governance Guidelines which are available at https://ir.belfuse.com/corporate-governance. These guidelines, which are designed to enhance the Company’s corporate governance, serve as a framework within which the Board will conduct its business, subject to applicable laws, regulations, listing requirements, and the Company’s organizational documents and Board committee charters.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foregoing discussion of ESG matters contains Forward-Looking Statements. See </w:t>
      </w:r>
      <w:r>
        <w:rPr>
          <w:rFonts w:ascii="Times New Roman" w:hAnsi="Times New Roman"/>
          <w:i/>
          <w:caps w:val="false"/>
          <w:smallCaps w:val="false"/>
          <w:sz w:val="20"/>
        </w:rPr>
        <w:t>"Cautionary Notice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maintain a website at </w:t>
      </w:r>
      <w:r>
        <w:rPr>
          <w:rFonts w:ascii="Times New Roman;Times;serif" w:hAnsi="Times New Roman;Times;serif"/>
          <w:sz w:val="20"/>
          <w:u w:val="single"/>
        </w:rPr>
        <w:t>www.belfuse.com</w:t>
      </w:r>
      <w:r>
        <w:rPr>
          <w:rFonts w:ascii="Times New Roman;Times;serif" w:hAnsi="Times New Roman;Times;serif"/>
          <w:sz w:val="20"/>
        </w:rPr>
        <w:t xml:space="preserve"> where we make available free of charge the proxy statements, press releases, registration statements and reports on Forms 3, 4, 5, 8-K, 10-K and 10-Q, and amendments to those reports filed or furnished pursuant to Section 13(a) or 15(d) of the Exchange Act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 The information contained on our website is not incorporated by reference into this Annual Report on Form 10-K or in any other report or document we file with the SEC.</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6" w:name="item1a"/>
      <w:bookmarkEnd w:id="6"/>
      <w:r>
        <w:rPr>
          <w:rFonts w:ascii="Times New Roman;Times;serif" w:hAnsi="Times New Roman;Times;serif"/>
          <w:b/>
          <w:sz w:val="20"/>
        </w:rPr>
        <w:t xml:space="preserve">Item 1A.  </w:t>
      </w:r>
      <w:r>
        <w:rPr>
          <w:rFonts w:ascii="Times New Roman;Times;serif" w:hAnsi="Times New Roman;Times;serif"/>
          <w:b/>
          <w:i/>
          <w:sz w:val="20"/>
        </w:rPr>
        <w:t>Risk Factors</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risks described below should be carefully considered before making an investment decision. These are the risk factors that we consider to be material, but they are not the only risk factors that should be considered in making an investment decision. This Form 10-K also contains Forward-Looking Statements that involve risks and uncertainties. See the </w:t>
      </w:r>
      <w:r>
        <w:rPr>
          <w:rFonts w:ascii="Times New Roman;Times;serif" w:hAnsi="Times New Roman;Times;serif"/>
          <w:i/>
          <w:sz w:val="20"/>
        </w:rPr>
        <w:t>"Cautionary Notice Regarding Forward-Looking Information,"</w:t>
      </w:r>
      <w:r>
        <w:rPr>
          <w:rFonts w:ascii="Times New Roman;Times;serif" w:hAnsi="Times New Roman;Times;serif"/>
          <w:sz w:val="20"/>
        </w:rPr>
        <w:t xml:space="preserve"> above. Our business, consolidated financial condition and consolidated results of operations could be materially adversely affected by any of the risk factors described below, under </w:t>
      </w:r>
      <w:r>
        <w:rPr>
          <w:rFonts w:ascii="Times New Roman;Times;serif" w:hAnsi="Times New Roman;Times;serif"/>
          <w:i/>
          <w:sz w:val="20"/>
        </w:rPr>
        <w:t>"Cautionary Notice Regarding Forward-Looking Information"</w:t>
      </w:r>
      <w:r>
        <w:rPr>
          <w:rFonts w:ascii="Times New Roman;Times;serif" w:hAnsi="Times New Roman;Times;serif"/>
          <w:sz w:val="20"/>
        </w:rPr>
        <w:t xml:space="preserve"> or with respect to specific Forward-Looking Statements presented herein. The trading price of our securities could decline due to any of these risks, and investors in our securities may lose all or part of their investment. Additional risks and uncertainties not presently known to us or that we currently believe to be immaterial may also materially adversely affect our business in the future. Except as required by the federal securities law, we undertake no obligation to update or revise any risk factor, whether as a result of new information, future events or otherwise.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STRATEGIC RISKS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conduct business in a highly competitive industry.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operates in a globally competitive industry, with relatively low barriers to entry. We compete principally on the basis of product performance, quality, reliability, depth of product line, customer service, technological innovation, design, delivery time and price. The industry in which we operate has become increasingly concentrated and globalized in recent years and our major competitors, many of which are larger than Bel, have significant financial resources and technological capabilities.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intellectual property rights may not be adequately protected under the current state of the law.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efforts to protect our intellectual property rights through patent, copyright, trademark and trade secret laws in the United States and in other countries may not prevent misappropriation, and our failure or inability to protect our proprietary rights could materially adversely affect our business, financial condition, operating results and future prospects. A third party could, without authorization, copy or otherwise appropriate our proprietary information. Our agreements with employees and others who participate in development activities could be breached, we may not have adequate remedies for any breach, and our trade secrets may otherwise become known or independently developed by competitors.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acquisitions may not produce the anticipated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significant portion of our growth has been attributable to acquisitions. We cannot assure that we will identify or successfully complete transactions with suitable acquisition candidates in the future. If an acquired business fails to operate as anticipated or cannot be successfully integrated with our other businesses, our results of operations, enterprise value, market value and prospects could all be materially and adversely affected. Integration of new acquisitions into our consolidated operations may result in lower average operating results for the group as a whole, and may divert management's focus from the ongoing operations of the Company during the integration period.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strategy also focuses on the reduction of selling, general and administrative expenses through the integration or elimination of redundant sales facilities and administrative functions at acquired companies. If we are unable to achieve our expectations with respect to our acquisitions, such inability could have a material and adverse effect on our results of operations. If the acquisitions fail to perform up to our expectations, or if there is a weakening of economic conditions, we could be required to record impairment charges on the goodwill and/or other assets associated with our acquisitions. In November 2025, we concluded that an impairment charge was required in connection with our noncontrolling minority investment in innolectric, a Germany-based e-Mobility technology company, and related party notes receivable, recording in Q4-25 a pre-tax impairment charge of $13.1 million representing the full impairment  and write-down of our investment in innolectric and the related notes receivable, with no value attributable to such items reflected on our consolidated balance sheet as of December 31, 2025. The impairment was determined based on indicators of impairment including the cessation of financial support from the majority owner, recent financial performance, changes in market conditions, and other relevant factors affecting innolectric’s business. The future course and full impact of innolectric’s insolvency proceeding remains uncertain, including the impact thereof upon our investment in innolectric and related notes receivable, which may include potential full loss of our investment and related notes receivable. However, we currently do not expect any future recovery through innolectric’s insolvency process. Our business, including in connection with any future acquisitions or investments, may experience similar challenges from time to time, and which could have a material adverse effect on our financial position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realize the anticipated strategic and revenue opportunities from our November 2024 acquisition of our 80%-owned Enercon subsidiary within the expected time period (if at all), and our business may be disrupted if our intended acquisition of the remaining 20% stake in Enercon is not completed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we completed our acquisition of an 80% interest in Enercon. Over time since the Enercon closing to date, although we believe the integration efforts have proceeded positively, and we have established a foundation for collaboration across both organizations, we may still encounter unanticipated difficulties if we are unable to fully integrate the Enercon business successfully. At this stage, we believe the primary risks in this area relate to the timing and magnitude of strategic and revenue opportunities arising from the acquisition, and whether such opportunities will be achieved on such timing and at such levels as expected, if at all. While we continue to pursue anticipated growth, synergies, and expansion, there is uncertainty as to when and to what extent these opportunities will materialize. Actual results may differ from expectations, and the benefits may be less significant or take longer to achieve than anticipated. Our ability to maximize value from the Enercon acquisition depends on continued successful integration, sustained customer and supplier relationships, and effective execution of our strategic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our business may be disrupted if our intended acquisition of the remaining 20% stake in Enercon is not completed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transaction documents governing the Enercon acquisition, we may acquire the remaining 20% stake in Enercon and we have the current intention to so purchase such remaining interest by early 2027 in accordance with the terms and subject to the conditions of the shareholders’ agreement, which was entered into at the November 14, 2024 closing on the initial 80% interest. The purchase of the remaining 20% interest in Enercon is subject to the put-call mechanism set forth in the shareholders’ agreement and the other terms and conditions thereof. There can be no assurances that we will complete the acquisition of the remaining 20% interest in Enercon by early 2027 as intended, or at all. Any failure to complete our intended acquisition of the remaining 20% interest may disrupt our plans, operations, and relationships with customers, suppliers, distributors, business partners and regulators, can cause potential difficulties in employee retention, and can have a material adverse effect on our business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dependent on our ability to develop new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future operating results are dependent, in part, on our ability to develop, produce and market new and more technologically advanced products. There are numerous risks inherent in this process, including the risks that we will be unable to anticipate the direction of technological change or that we will be unable to timely develop and bring to market new products and applications to meet customers' changing needs.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OPERATIONAL RISKS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experience labor unrest.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we periodically implement transfers of certain of our operations, we may experience strikes or other types of labor unrest as a result of lay-offs or termination of employees in higher labor cost countries. Our manufacturing facilities in the United Kingdom and Mexico are represented by labor unions and substantially all of our factory workers in the PRC are represented by government-sponsored unions.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experience labor shortages.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Government, economic, social and labor policies in the PRC may cause shortages of factory labor in areas where we have some of our products manufactured. Further, availability of labor in the PRC is cyclical and is significantly affected by the migration of workers in relation to the annual Lunar New Year holiday. If we are required to manufacture more of these products outside of the PRC as a result of such shortages, our margins will likely be materially adversely affected.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 shortage of availability or an increase in the cost of raw materials, components and other resources may adversely impact our ability to procure these items at cost effective prices and thus may negatively impact profit margins. Our access to parts or materials, and our ability to contract with suppliers, may be limited or prohibited from time to time by trade restrictions or other legal or regulatory enactments. Additionally, inflationary pressures could result in higher input costs and materially adversely affect our financial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results of operations may be materially adversely impacted by difficulties in obtaining raw materials, supplies, power, labor, natural resources and any other items needed for the production of our products, as well as by the effects of quality deviations in raw materials and the effects of significant fluctuations in the prices of existing inventories and purchase commitments for these materials. Many of these materials and components are produced by a limited number of suppliers and their availability to us may be constrained by supplier capacity. Any material disruption could materially adversely affect our financial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our access to parts or materials, and our ability to contract with suppliers utilized previously, may be limited or prohibited from time to time by trade restrictions or other legal or regulatory enactments. To the extent our suppliers in the PRC or other countries are negatively impacted by new or amended regulations, any such negative implications could adversely impact our supply chain, including in the form of increased costs, disruptions, shortages or unavailability of product or component parts, and/or other deleterious consequences, which could materially adversely affect our business and operating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inflationary pressures could result in higher input costs, including those related to our raw materials, labor, freight, utilities, healthcare and other expenses. Our future operating results will depend, in part, on our continued ability to manage these fluctuations through pricing actions, cost savings initiatives and sourcing decisions, and any negative impact of inflation could materially adversely affect our financial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w:t>
      </w:r>
      <w:r>
        <w:rPr>
          <w:rFonts w:ascii="Times New Roman;Times;serif" w:hAnsi="Times New Roman;Times;serif"/>
          <w:i/>
          <w:sz w:val="20"/>
        </w:rPr>
        <w:t>Overview -</w:t>
      </w:r>
      <w:r>
        <w:rPr>
          <w:rFonts w:ascii="Times New Roman;Times;serif" w:hAnsi="Times New Roman;Times;serif"/>
          <w:sz w:val="20"/>
        </w:rPr>
        <w:t> </w:t>
      </w:r>
      <w:r>
        <w:rPr>
          <w:rFonts w:ascii="Times New Roman;Times;serif" w:hAnsi="Times New Roman;Times;serif"/>
          <w:i/>
          <w:sz w:val="20"/>
        </w:rPr>
        <w:t>Key Factors Affecting our Business"</w:t>
      </w:r>
      <w:r>
        <w:rPr>
          <w:rFonts w:ascii="Times New Roman;Times;serif" w:hAnsi="Times New Roman;Times;serif"/>
          <w:sz w:val="20"/>
        </w:rPr>
        <w:t xml:space="preserve"> in Item 7 of this Annual Report on Form 10-K for a discussion of how pricing and availability of materials is currently impacting our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Demand in Enercon</w:t>
      </w:r>
      <w:r>
        <w:rPr>
          <w:rFonts w:ascii="Times New Roman" w:hAnsi="Times New Roman"/>
          <w:caps w:val="false"/>
          <w:smallCaps w:val="false"/>
          <w:sz w:val="20"/>
        </w:rPr>
        <w:t>’</w:t>
      </w:r>
      <w:r>
        <w:rPr>
          <w:rFonts w:ascii="Times New Roman" w:hAnsi="Times New Roman"/>
          <w:b/>
          <w:i/>
          <w:caps w:val="false"/>
          <w:smallCaps w:val="false"/>
          <w:sz w:val="20"/>
        </w:rPr>
        <w:t>s end markets can be cyclical, impacting the demand for its products, and Enercon</w:t>
      </w:r>
      <w:r>
        <w:rPr>
          <w:rFonts w:ascii="Times New Roman" w:hAnsi="Times New Roman"/>
          <w:caps w:val="false"/>
          <w:smallCaps w:val="false"/>
          <w:sz w:val="20"/>
        </w:rPr>
        <w:t>’</w:t>
      </w:r>
      <w:r>
        <w:rPr>
          <w:rFonts w:ascii="Times New Roman" w:hAnsi="Times New Roman"/>
          <w:b/>
          <w:i/>
          <w:caps w:val="false"/>
          <w:smallCaps w:val="false"/>
          <w:sz w:val="20"/>
        </w:rPr>
        <w:t>s business could be materially adversely affected by reductions in defense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majority 80%-owned subsidiary Enercon is a leading supplier of highly customized power conversion and networking solutions to aerospace and defense markets globally. For full fiscal year 2025, approximately 93% and 7% of Enercon’s revenue was attributable to the defense and aerospace end markets, respectively. Demand in Enercon’s end-use markets can be sensitive to general economic conditions, competitive influences, and fluctuations in inventory levels throughout the supply chain. Enercon’s sales are sensitive to the market conditions present in the industries in which the ultimate consumers of its products operate, which in some cases have been highly cyclical and subject to substantial downturns.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 high correlation to government spending on defense and budgeting, Enercon has experienced, and in the future, it may experience, significant fluctuations in sales and results of operations with respect to a substantial portion of our total product offering, and such fluctuations could be material and adverse to our overall financial condition, results of operations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certain of Enercon’s products are used in a variety of land, air and sea defense applications, Enercon derives a substantial portion of its revenue from the defense industry. For full fiscal year 2025, approximately 93% of Enercon’s revenue was derived from customers in the defense industry. Although many of the programs under which Enercon sells products to prime U.S. and Israeli government contractors extend several years, they are subject to annual funding through governmental appropriations. While spending authorizations for defense-related programs by the U.S. and Israeli governments have increased in recent years, these spending levels may not be sustainable and could significantly decline. Future levels of expenditures, authorizations, and appropriations for programs Enercon supports may decrease or shift to programs in areas where Enercon does not currently offer products or solutions. Changes in spending authorizations, appropriations, and budgetary priorities could also occur due to a shift in the number, and intensity, of potential and ongoing conflicts, shifts in spending priorities from national defense as a result of competing demands for government funds, or other factors. Enercon’s business prospects, financial condition or operating results (and as a consequence, those of Bel on a consolidated basis), could be materially harmed among other causes by the following: (1) budgetary constraints affecting U.S. and/or Israeli government spending generally, or specific departments or agencies in particular, and changes in available funding; (2) changes in government programs or requirements; and (3) a prolonged government shutdown and other potential delays in the appropriations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We have sub</w:t>
      </w:r>
      <w:r>
        <w:rPr>
          <w:rFonts w:ascii="Times New Roman;Times;serif" w:hAnsi="Times New Roman;Times;serif"/>
          <w:b/>
          <w:i/>
          <w:sz w:val="20"/>
        </w:rPr>
        <w:t>stantial manufacturing operations located in the PRC, which exposes us to significant risks that could materially and adversely affect our business, operations, consolidated financial condition and consolidated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majority of Bel's Magnetic Solutions manufacturing capacity and supplier base is located in the PRC, as is a portion of Bel's Power Solutions and Protection group. As of December 31, 2025, 42% of our associates, 56% of our owned or leased manufacturing facilities (by square footage) and 10% of our Company’s tangible assets were all located in the PRC. Our Company’s presence and operations in the PRC expose us to significant risks that could materially and adversely affect our Company and our business, operations,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example, our significant operational presence in the PRC exposes us to foreign currency exchange risk. Our PRC-based manufacturing associates’ salaries, and other labor and overhead costs, associated with our PRC operations are paid in the Chinese renminbi. As a result, the cost of our operations and our consolidated operating results may be adversely impacted by the effects of fluctuations in the applicable exchange rate for the renminbi as compared to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significant labor force based within the PRC subjects us to risks associated with staffing and managing this substantial complement of factory workers and other associates who are important to our Company’s operations and success. As noted above, factory workers in the PRC are represented by government-sponsored unions, and are participants in a cyclical labor market that may become subject to shortages including as a result of PRC government policies. See “</w:t>
      </w:r>
      <w:r>
        <w:rPr>
          <w:rFonts w:ascii="Times New Roman" w:hAnsi="Times New Roman"/>
          <w:i/>
          <w:caps w:val="false"/>
          <w:smallCaps w:val="false"/>
          <w:sz w:val="20"/>
        </w:rPr>
        <w:t>We may experience labor unrest”</w:t>
      </w:r>
      <w:r>
        <w:rPr>
          <w:rFonts w:ascii="Times New Roman" w:hAnsi="Times New Roman"/>
          <w:caps w:val="false"/>
          <w:smallCaps w:val="false"/>
          <w:sz w:val="20"/>
        </w:rPr>
        <w:t xml:space="preserve"> and “</w:t>
      </w:r>
      <w:r>
        <w:rPr>
          <w:rFonts w:ascii="Times New Roman" w:hAnsi="Times New Roman"/>
          <w:i/>
          <w:caps w:val="false"/>
          <w:smallCaps w:val="false"/>
          <w:sz w:val="20"/>
        </w:rPr>
        <w:t>We may experience labor shortages”</w:t>
      </w:r>
      <w:r>
        <w:rPr>
          <w:rFonts w:ascii="Times New Roman" w:hAnsi="Times New Roman"/>
          <w:caps w:val="false"/>
          <w:smallCaps w:val="false"/>
          <w:sz w:val="20"/>
        </w:rPr>
        <w:t xml:space="preserve"> above. Wage rates in the PRC have been increasing in recent years as PRC government-mandated increases in the minimum wage rate have caused an increase in our overall pay scale for our PRC workers.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PRC government has broad authority and discretion to regulate the economy, manufacturing, industry, and the technology sector, among other areas generally. As a result, our activities and operations in the PRC as well as those of our PRC-based suppliers are subject to extensive local government regulation. Additionally, the PRC government has implemented policies from time to time to regulate economic expansion. It exercises significant control over its economic growth through the allocation of resources, setting monetary policy and providing preferential treatment to particular industries or companies. Any additional new regulations or the amendment of previously implemented regulations could require us to change our business plans, increase our costs, or limit our ability to manufacture and sell products domestically and/or otherwise restrict or curtail our operations in the PRC. To the extent our suppliers in the PRC are negatively impacted by new or amended regulations, any such negative implications could adversely impact our supply chain, including in the form of increased costs, disruptions, shortages or unavailability of product or component parts, and/or other deleterious consequences, which could materially adversely affect our business and operating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significant manufacturing operations in the PRC</w:t>
      </w:r>
      <w:r>
        <w:rPr>
          <w:rFonts w:ascii="Times New Roman" w:hAnsi="Times New Roman"/>
          <w:caps w:val="false"/>
          <w:smallCaps w:val="false"/>
          <w:color w:val="000000"/>
          <w:sz w:val="20"/>
          <w:shd w:fill="FFFFFF" w:val="clear"/>
        </w:rPr>
        <w:t xml:space="preserve"> may </w:t>
      </w:r>
      <w:r>
        <w:rPr>
          <w:rFonts w:ascii="Times New Roman" w:hAnsi="Times New Roman"/>
          <w:caps w:val="false"/>
          <w:smallCaps w:val="false"/>
          <w:sz w:val="20"/>
        </w:rPr>
        <w:t>expose us to other r</w:t>
      </w:r>
      <w:r>
        <w:rPr>
          <w:rFonts w:ascii="Times New Roman" w:hAnsi="Times New Roman"/>
          <w:caps w:val="false"/>
          <w:smallCaps w:val="false"/>
          <w:sz w:val="20"/>
          <w:shd w:fill="FFFFFF" w:val="clear"/>
        </w:rPr>
        <w:t>isks. Risks inherent in our PRC operations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sz w:val="20"/>
              </w:rPr>
              <w:t>c</w:t>
            </w:r>
            <w:r>
              <w:rPr>
                <w:rFonts w:ascii="Times New Roman;Times;serif" w:hAnsi="Times New Roman;Times;serif"/>
                <w:caps w:val="false"/>
                <w:smallCaps w:val="false"/>
                <w:sz w:val="20"/>
              </w:rPr>
              <w:t>hanges in import, export, transportation regulations and tariffs, and risks associated with boycotts and embargoes;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sz w:val="20"/>
              </w:rPr>
              <w:t>c</w:t>
            </w:r>
            <w:r>
              <w:rPr>
                <w:rFonts w:ascii="Times New Roman;Times;serif" w:hAnsi="Times New Roman;Times;serif"/>
                <w:caps w:val="false"/>
                <w:smallCaps w:val="false"/>
                <w:sz w:val="20"/>
              </w:rPr>
              <w:t>hanges in, or impositions of, legislative or regulatory requirements or restrictions, including tax and trade laws in the U.S. and in the PRC, and government action to restrict our ability to sell to customers where sales of products may require export licenses;</w:t>
            </w:r>
          </w:p>
        </w:tc>
      </w:tr>
    </w:tbl>
    <w:tbl>
      <w:tblPr>
        <w:tblW w:w="4510" w:type="dxa"/>
        <w:jc w:val="left"/>
        <w:tblInd w:w="0" w:type="dxa"/>
        <w:tblLayout w:type="fixed"/>
        <w:tblCellMar>
          <w:top w:w="0" w:type="dxa"/>
          <w:left w:w="0" w:type="dxa"/>
          <w:bottom w:w="0" w:type="dxa"/>
          <w:right w:w="0" w:type="dxa"/>
        </w:tblCellMar>
      </w:tblPr>
      <w:tblGrid>
        <w:gridCol w:w="60"/>
        <w:gridCol w:w="170"/>
        <w:gridCol w:w="4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t</w:t>
            </w:r>
            <w:r>
              <w:rPr>
                <w:rFonts w:ascii="Times New Roman" w:hAnsi="Times New Roman"/>
                <w:caps w:val="false"/>
                <w:smallCaps w:val="false"/>
                <w:sz w:val="20"/>
              </w:rPr>
              <w:t>ransportation delays and other supply chain issues;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sz w:val="20"/>
              </w:rPr>
              <w:t>c</w:t>
            </w:r>
            <w:r>
              <w:rPr>
                <w:rFonts w:ascii="Times New Roman" w:hAnsi="Times New Roman"/>
                <w:caps w:val="false"/>
                <w:smallCaps w:val="false"/>
                <w:sz w:val="20"/>
              </w:rPr>
              <w:t>hanges in tax regulations in the U.S. and/or the PRC, including restrictions and/or taxes applicable to the transfer or repatriation of funds;</w:t>
            </w:r>
          </w:p>
        </w:tc>
      </w:tr>
    </w:tbl>
    <w:tbl>
      <w:tblPr>
        <w:tblW w:w="7885" w:type="dxa"/>
        <w:jc w:val="left"/>
        <w:tblInd w:w="0" w:type="dxa"/>
        <w:tblLayout w:type="fixed"/>
        <w:tblCellMar>
          <w:top w:w="0" w:type="dxa"/>
          <w:left w:w="0" w:type="dxa"/>
          <w:bottom w:w="0" w:type="dxa"/>
          <w:right w:w="0" w:type="dxa"/>
        </w:tblCellMar>
      </w:tblPr>
      <w:tblGrid>
        <w:gridCol w:w="75"/>
        <w:gridCol w:w="170"/>
        <w:gridCol w:w="7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sz w:val="20"/>
              </w:rPr>
              <w:t>i</w:t>
            </w:r>
            <w:r>
              <w:rPr>
                <w:rFonts w:ascii="Times New Roman;Times;serif" w:hAnsi="Times New Roman;Times;serif"/>
                <w:caps w:val="false"/>
                <w:smallCaps w:val="false"/>
                <w:sz w:val="20"/>
              </w:rPr>
              <w:t>nternational political relationships, including the relationship between the U.S. and the PRC;</w:t>
            </w:r>
          </w:p>
        </w:tc>
      </w:tr>
    </w:tbl>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sz w:val="20"/>
              </w:rPr>
              <w:t>e</w:t>
            </w:r>
            <w:r>
              <w:rPr>
                <w:rFonts w:ascii="Times New Roman;Times;serif" w:hAnsi="Times New Roman;Times;serif"/>
                <w:caps w:val="false"/>
                <w:smallCaps w:val="false"/>
                <w:sz w:val="20"/>
              </w:rPr>
              <w:t>pidemics and illnesses within the PRC that affect the areas in which we operate and manufacture our products;</w:t>
            </w:r>
          </w:p>
        </w:tc>
      </w:tr>
    </w:tbl>
    <w:tbl>
      <w:tblPr>
        <w:tblW w:w="3700" w:type="dxa"/>
        <w:jc w:val="left"/>
        <w:tblInd w:w="0" w:type="dxa"/>
        <w:tblLayout w:type="fixed"/>
        <w:tblCellMar>
          <w:top w:w="0" w:type="dxa"/>
          <w:left w:w="0" w:type="dxa"/>
          <w:bottom w:w="0" w:type="dxa"/>
          <w:right w:w="0" w:type="dxa"/>
        </w:tblCellMar>
      </w:tblPr>
      <w:tblGrid>
        <w:gridCol w:w="75"/>
        <w:gridCol w:w="170"/>
        <w:gridCol w:w="34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sz w:val="20"/>
              </w:rPr>
              <w:t>e</w:t>
            </w:r>
            <w:r>
              <w:rPr>
                <w:rFonts w:ascii="Times New Roman;Times;serif" w:hAnsi="Times New Roman;Times;serif"/>
                <w:caps w:val="false"/>
                <w:smallCaps w:val="false"/>
                <w:sz w:val="20"/>
              </w:rPr>
              <w:t>conomic, social and political instability;</w:t>
            </w:r>
          </w:p>
        </w:tc>
      </w:tr>
    </w:tbl>
    <w:tbl>
      <w:tblPr>
        <w:tblW w:w="8005" w:type="dxa"/>
        <w:jc w:val="left"/>
        <w:tblInd w:w="0" w:type="dxa"/>
        <w:tblLayout w:type="fixed"/>
        <w:tblCellMar>
          <w:top w:w="0" w:type="dxa"/>
          <w:left w:w="0" w:type="dxa"/>
          <w:bottom w:w="0" w:type="dxa"/>
          <w:right w:w="0" w:type="dxa"/>
        </w:tblCellMar>
      </w:tblPr>
      <w:tblGrid>
        <w:gridCol w:w="75"/>
        <w:gridCol w:w="170"/>
        <w:gridCol w:w="7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sz w:val="20"/>
              </w:rPr>
              <w:t>l</w:t>
            </w:r>
            <w:r>
              <w:rPr>
                <w:rFonts w:ascii="Times New Roman;Times;serif" w:hAnsi="Times New Roman;Times;serif"/>
                <w:caps w:val="false"/>
                <w:smallCaps w:val="false"/>
                <w:sz w:val="20"/>
              </w:rPr>
              <w:t>onger accounts receivable collection cycles and difficulties in collecting accounts receivable;</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sz w:val="20"/>
              </w:rPr>
              <w:t>l</w:t>
            </w:r>
            <w:r>
              <w:rPr>
                <w:rFonts w:ascii="Times New Roman;Times;serif" w:hAnsi="Times New Roman;Times;serif"/>
                <w:caps w:val="false"/>
                <w:smallCaps w:val="false"/>
                <w:sz w:val="20"/>
              </w:rPr>
              <w:t>ess effective protection of intellectual property and contractual arrangements, and risks associated with enforcing contracts and legal rights and remedies generally;</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sz w:val="20"/>
              </w:rPr>
              <w:t>u</w:t>
            </w:r>
            <w:r>
              <w:rPr>
                <w:rFonts w:ascii="Times New Roman;Times;serif" w:hAnsi="Times New Roman;Times;serif"/>
                <w:caps w:val="false"/>
                <w:smallCaps w:val="false"/>
                <w:sz w:val="20"/>
              </w:rPr>
              <w:t>ncertainties associated with the PRC legal system, which is based on civil law, can involve protected proceedings involving substantial judicial discretion, and is based in part on PRC government policies and internal rules, some of which are not published on a timely basis, or at all, and may have retroactive effect;</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sz w:val="20"/>
              </w:rPr>
              <w:t>r</w:t>
            </w:r>
            <w:r>
              <w:rPr>
                <w:rFonts w:ascii="Times New Roman;Times;serif" w:hAnsi="Times New Roman;Times;serif"/>
                <w:caps w:val="false"/>
                <w:smallCaps w:val="false"/>
                <w:sz w:val="20"/>
              </w:rPr>
              <w:t>isks arising out of any changes in governmental and economic policy and the potential for adverse developments arising out of any political or economic instability related to Hong Kong or Taiwan;</w:t>
            </w:r>
          </w:p>
        </w:tc>
      </w:tr>
    </w:tbl>
    <w:tbl>
      <w:tblPr>
        <w:tblW w:w="8695" w:type="dxa"/>
        <w:jc w:val="left"/>
        <w:tblInd w:w="0" w:type="dxa"/>
        <w:tblLayout w:type="fixed"/>
        <w:tblCellMar>
          <w:top w:w="0" w:type="dxa"/>
          <w:left w:w="0" w:type="dxa"/>
          <w:bottom w:w="0" w:type="dxa"/>
          <w:right w:w="0" w:type="dxa"/>
        </w:tblCellMar>
      </w:tblPr>
      <w:tblGrid>
        <w:gridCol w:w="60"/>
        <w:gridCol w:w="170"/>
        <w:gridCol w:w="8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sz w:val="20"/>
              </w:rPr>
              <w:t>t</w:t>
            </w:r>
            <w:r>
              <w:rPr>
                <w:rFonts w:ascii="Times New Roman" w:hAnsi="Times New Roman"/>
                <w:caps w:val="false"/>
                <w:smallCaps w:val="false"/>
                <w:sz w:val="20"/>
              </w:rPr>
              <w:t>he potential for political unrest, expropriation, nationalization, revolution, war or acts of terrorism;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sz w:val="20"/>
              </w:rPr>
              <w:t>r</w:t>
            </w:r>
            <w:r>
              <w:rPr>
                <w:rFonts w:ascii="Times New Roman;Times;serif" w:hAnsi="Times New Roman;Times;serif"/>
                <w:caps w:val="false"/>
                <w:smallCaps w:val="false"/>
                <w:sz w:val="20"/>
              </w:rPr>
              <w:t>isks associated with the concentration of a substantial portion of our manufacturing capacity and supplier base in the PRC, including potential trade restrictions placed on PRC suppliers by the U.S. government.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risks associated with our PRC operations described above, the global nature of our operations generally subjects us to additional risks. We con</w:t>
      </w:r>
      <w:r>
        <w:rPr>
          <w:rFonts w:ascii="Times New Roman" w:hAnsi="Times New Roman"/>
          <w:caps w:val="false"/>
          <w:smallCaps w:val="false"/>
          <w:sz w:val="20"/>
          <w:shd w:fill="FFFFFF" w:val="clear"/>
        </w:rPr>
        <w:t>duct operation</w:t>
      </w:r>
      <w:r>
        <w:rPr>
          <w:rFonts w:ascii="Times New Roman" w:hAnsi="Times New Roman"/>
          <w:caps w:val="false"/>
          <w:smallCaps w:val="false"/>
          <w:sz w:val="20"/>
        </w:rPr>
        <w:t xml:space="preserve">s in 15 countries, and outside of the United States (and the PRC), our largest manufacturing operations and associate populations are located within Mexico, Slovakia, the Dominican Republic, Israel, India and the United Kingdom. Please see the Risk Factors appearing below under the captions, </w:t>
      </w:r>
      <w:r>
        <w:rPr>
          <w:rFonts w:ascii="Times New Roman" w:hAnsi="Times New Roman"/>
          <w:i/>
          <w:caps w:val="false"/>
          <w:smallCaps w:val="false"/>
          <w:sz w:val="20"/>
        </w:rPr>
        <w:t xml:space="preserve">"We may face risks related to conducting business in Israel" </w:t>
      </w:r>
      <w:r>
        <w:rPr>
          <w:rFonts w:ascii="Times New Roman" w:hAnsi="Times New Roman"/>
          <w:caps w:val="false"/>
          <w:smallCaps w:val="false"/>
          <w:sz w:val="20"/>
        </w:rPr>
        <w:t xml:space="preserve">and </w:t>
      </w:r>
      <w:r>
        <w:rPr>
          <w:rFonts w:ascii="Times New Roman" w:hAnsi="Times New Roman"/>
          <w:i/>
          <w:caps w:val="false"/>
          <w:smallCaps w:val="false"/>
          <w:sz w:val="20"/>
        </w:rPr>
        <w:t>"The global nature of our operations exposes us to numerous risks that could materially adversely affect our consolidated financial condition and consolidated results of operations.”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face risks related to conducting business in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our November 2024 acquisition of Enercon, we may be subject to, and possibly adversely affected by, risks related to conducting business in Israel. Enercon, in which we acquired an 80% stake in November 2024 and intend to acquire the remaining 20% interest by early 2027, is based in Netanya, Israel with additional facilities in New Hampshire, U.S. and Haryana, India. Enercon has approximately 321 employees located in 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Companies based in or operating in, or having a significant number of employees located in Israel, may be more susceptible to political and economic instability. Political, economic and military conditions in Israel may directly affect their business. Since the establishment of the State of Israel in 1948, a number of armed conflicts have occurred between Israel and its neighbors. In October 2023, Hamas conducted several terrorist attacks in Israel resulting in ongoing war across the country, forcing the closure of many businesses in Israel for several days. In addition, there continues to be hostilities between Israel and Hezbollah in Lebanon and Hamas in the Gaza Strip, both of which resulted in rockets being fired into Israel, causing casualties and disruption of economic activities. In early 2023, there were a number of changes proposed to the political system in Israel by the current government which, if implemented as planned or in similar form, could lead to large-scale protests and additional uncertainty, negatively impacting the operating environment in Israel. In addition, Iran has threatened to attack Israel and may be developing nuclear weapons. Further, on April 13, 2024 and October 1, 2024, Iran launched a series of drone and missile strikes against Israel, to which Israel responded, and in June 2025, additional conflict included Israeli strikes on Iranian military and nuclear facilities, and Iranian missile and drone strikes against Israel. Uprisings in various countries in the Middle East over the last few years have also affected the political stability of those countries and have led to a decline in the regional security situation. Such instability may also lead to deterioration in the political and trade relationships that exist between Israel and these countries. Ongoing military activity in the Middle East may result in disruption to our operations and facilities, such as Enercon’s manufacturing and R&amp;D facilities located in Israel. Any military activity, armed conflicts, terrorist activities or political instability involving Israel or other countries in the region, as well as any interruption or curtailment of trade between Israel and its present trading partners, could adversely affect the business, results of operations, financial condition, cash flows and prospects of Enercon, and thus of consolidated Bel. In addition, any of these events or circumstances involving Israel or the region prior to the completion of our intended acquisition of the remaining 20% stake in Enercon may delay or prevent the completion of our purchase of the remaining 20%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number of countries, principally in the Middle East, still restrict doing business with Israel and Israeli companies, and additional countries may impose restrictions on doing business with Israel and Israeli companies if hostilities in Israel or political instability in the region continue or intensify. In addition, there have been increased efforts by activists to cause companies and consumers to boycott Israeli goods based on policies promulgated by the Israeli Government. Such boycotts, particularly if they become more widespread, may adversely impact the business of our Enercon subsidiary or Bel’s broader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operations of our Enercon subsidiary could also be disrupted by the absence for significant periods of one or more key employees or a significant number of other employees because of military service. Enercon’s employees in Israel may be obligated to perform military reserve duty, and in certain emergency circumstances, employees may be called to immediate and unlimited active duty in the Israeli armed forces.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loss of certain substantial customers could materially and adversely affect us.</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During the year ended December 31, 2025, there </w:t>
      </w:r>
      <w:r>
        <w:rPr>
          <w:rFonts w:ascii="Times New Roman;Times;serif" w:hAnsi="Times New Roman;Times;serif"/>
          <w:sz w:val="20"/>
          <w:shd w:fill="FFFFFF" w:val="clear"/>
        </w:rPr>
        <w:t xml:space="preserve">were no direct customers or ultimate end customers </w:t>
      </w:r>
      <w:r>
        <w:rPr>
          <w:rFonts w:ascii="Times New Roman;Times;serif" w:hAnsi="Times New Roman;Times;serif"/>
          <w:sz w:val="20"/>
        </w:rPr>
        <w:t>whose sales exceeded 10% of our 2025 consolidated net sales. While there were no customers who exceeded 10% of our net sales in 2025, we have experienced significant concentrations of customers in prior years. Furthermore, factors that negatively impact the businesses of our major customers could materially and adversely affect us even if the customer represents less than 10% of our 2025 consolidated net sales.</w:t>
      </w:r>
    </w:p>
    <w:p>
      <w:pPr>
        <w:pStyle w:val="TextBody"/>
        <w:bidi w:val="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achieve all of the expected benefits from our restructuring programs.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Over the past three years, the Company has undertaken a series of facility consolidations around the world, including as described in "</w:t>
      </w:r>
      <w:r>
        <w:rPr>
          <w:rFonts w:ascii="Times New Roman;Times;serif" w:hAnsi="Times New Roman;Times;serif"/>
          <w:i/>
          <w:sz w:val="20"/>
        </w:rPr>
        <w:t xml:space="preserve">Overview – Key Factors Affecting our Business – Restructuring" </w:t>
      </w:r>
      <w:r>
        <w:rPr>
          <w:rFonts w:ascii="Times New Roman;Times;serif" w:hAnsi="Times New Roman;Times;serif"/>
          <w:sz w:val="20"/>
        </w:rPr>
        <w:t>in Item 7 of this Annual Report and in Note 12, "</w:t>
      </w:r>
      <w:r>
        <w:rPr>
          <w:rFonts w:ascii="Times New Roman;Times;serif" w:hAnsi="Times New Roman;Times;serif"/>
          <w:i/>
          <w:sz w:val="20"/>
        </w:rPr>
        <w:t>Accrued Expenses - Restructuring Activities"</w:t>
      </w:r>
      <w:r>
        <w:rPr>
          <w:rFonts w:ascii="Times New Roman;Times;serif" w:hAnsi="Times New Roman;Times;serif"/>
          <w:sz w:val="20"/>
        </w:rPr>
        <w:t xml:space="preserve"> in Item 7 of this Annual Report. W</w:t>
      </w:r>
      <w:r>
        <w:rPr>
          <w:rFonts w:ascii="Times New Roman;Times;serif" w:hAnsi="Times New Roman;Times;serif"/>
          <w:sz w:val="20"/>
          <w:shd w:fill="FFFFFF" w:val="clear"/>
        </w:rPr>
        <w:t>e make certain assumptions in estimating the anticipated savings we expect to achieve related to these initiatives, which include the estimated savings from the elimination of certain headcount and the consolidation of facilities. These assumptions may turn out to be incorrect due to a variety of factors. In addition, our abi</w:t>
      </w:r>
      <w:r>
        <w:rPr>
          <w:rFonts w:ascii="Times New Roman;Times;serif" w:hAnsi="Times New Roman;Times;serif"/>
          <w:sz w:val="20"/>
        </w:rPr>
        <w:t>lity to realize the expected benefits from these programs is subject to significant business, economic and competitive uncertainties and contingencies, many of which are beyond our control. If we are unsuccessful in implementing these or any similar future programs or if we do not achieve our expected results, our results of operations and cash flows could be adversely affected or our business operations could be disrupted.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Our global operations and demand for our products face risks related to public health crises, including potential future outbreaks, epidemics or pandemics.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outbreaks of contagious diseases and other adverse public health developments in countries where we operate could have a material and adverse effect on our business, consolidated financial condition and consolidated results of operations. In the past, our business was impacted by temporary facility closures, shelter-in-place orders and challenges related to travel restrictions imposed by the local governmental authorities as a result of a health epidemic, including precautionary measures during the coronavirus pandemic. Our suppliers, customers and our customers’ contract manufacturers have experienced similar challenges from time to time. Any future outbreaks, health epidemics or pandemics could result in similar measures, which may materially adversely affect our financial results.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FINANCIAL RISKS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There are several factors which can cause our margins to suffer.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margins could be substantially impacted by the following factors: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314"/>
        <w:gridCol w:w="9831"/>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9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Declines in Selling Prices</w:t>
            </w:r>
            <w:r>
              <w:rPr>
                <w:rFonts w:ascii="Times New Roman;Times;serif" w:hAnsi="Times New Roman;Times;serif"/>
                <w:sz w:val="20"/>
              </w:rPr>
              <w:t>: The average selling prices for certain of our products tend to decrease over their life cycles, and customers put pressure on suppliers to lower prices even when production costs are increasing. Further, increased competition from low-cost suppliers around the world has put additional pressures on pricing. Any drop in demand for our products or increase in supply of competitive products could also cause a significant drop in our average sales prices.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314"/>
        <w:gridCol w:w="9831"/>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9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Increases in Material Costs</w:t>
            </w:r>
            <w:r>
              <w:rPr>
                <w:rFonts w:ascii="Times New Roman;Times;serif" w:hAnsi="Times New Roman;Times;serif"/>
                <w:sz w:val="20"/>
              </w:rPr>
              <w:t>: While we continually strive to negotiate better pricing for components and raw materials, there are many factors that could lead to higher material costs, or premiums incurred for expedited orders, including an increase in industry demand for or supplier shortages of certain components, or inflationary pressures. Further, commodity prices, especially those pertaining to gold and copper, can be volatile. Fluctuations in these prices and other commodity prices associated with Bel's raw materials will have a corresponding impact on our profit margins.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314"/>
        <w:gridCol w:w="9831"/>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9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Increases in Labor Costs</w:t>
            </w:r>
            <w:r>
              <w:rPr>
                <w:rFonts w:ascii="Times New Roman;Times;serif" w:hAnsi="Times New Roman;Times;serif"/>
                <w:sz w:val="20"/>
              </w:rPr>
              <w:t>: Wage rates, particularly in the PRC, Mexico, India and Slovakia where the majority of our manufacturing associates are located, have been gradually increasing in recent years as government-mandated increases in the minimum wage rate in these jurisdictions cause an increase in our overall pay scale. Labor costs can also be impacted by fluctuations in the exchange rates in which local wages are paid as compared to the U.S. dollar.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314"/>
        <w:gridCol w:w="9831"/>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9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Imposition of Tariffs</w:t>
            </w:r>
            <w:r>
              <w:rPr>
                <w:rFonts w:ascii="Times New Roman;Times;serif" w:hAnsi="Times New Roman;Times;serif"/>
                <w:sz w:val="20"/>
              </w:rPr>
              <w:t>: Governments may impose tariffs to raise domestic revenue, protect domestic industries or exert political leverage over another country. Bel is a global organization with a material volume of shipments of raw materials, work in progress and finished goods into and out of the U.S. to and from a number of other countries, including but not limited to the PRC, Mexico, Israel, India and throughout Europe. Any new or increase in tariffs imposed either by the U.S. government on foreign imports or by a foreign government on U.S. exports related to the countries in which Bel transacts business could lead to reduced margins or increased prices that could cause decreased customer demand. For additional information regarding risks associated with tariffs and the imposition of new or increased tariff rates, see the discussion set forth below under the caption, "</w:t>
            </w:r>
            <w:r>
              <w:rPr>
                <w:rFonts w:ascii="Times New Roman;Times;serif" w:hAnsi="Times New Roman;Times;serif"/>
                <w:i/>
                <w:sz w:val="20"/>
              </w:rPr>
              <w:t>Changes in trade policies and tariffs and other factors beyond our control remain uncertain and may materially adversely impact our results. The imposition of new or increased tariffs and trade restrictions, particularly with respect to the PRC and Mexico, may materially adversely affect our business, financial condition, and results of operations."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Profit margins will be materially and adversely impacted if we are not able to reduce our costs of production, introduce technological innovations as sales prices decline, or pass through cost increases to customers.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Changes in trade policies and tariffs and other factors beyond our control remain uncertain and may materially adversely impact our results. The imposition of new or increased tariffs and trade restrictions, particularly with respect to the PRC and Mexico, may materially adversely affect our business, financial condition, and results of operations.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significant portion of our electronic components, sub-assemblies, and finished products are manufactured in or sourced from the PRC and Mexico. Additionally, as a global organization our business involves a material volume of shipments into and out of the U.S. to and from a number of other countries, including India, Israel and throughout Europe. The evolving regulatory landscape including the implementation and modification of tariffs, trade restrictions, and changes in trade agreements involving the aforementioned countries among others, together with general uncertainty about future changes in policy (including any new regulations, increased tariff rates, new tariffs or trade restrictions that may be implemented), could substantially increase our operating costs, reduce demand for our products and disrupt our supply chain. On February 20, 2026, the Supreme Court of the United States issued its decision in Learning Resources, Inc. v. Trump, striking down tariffs previously enacted by the Administration under the International Emergency Economic Powers Act (“IEEPA”) as invalid, and holding that IEEPA does not authorize the President to impose tariffs. However, the full impact and implications of the Court’s decision are not immediately clear amidst the rapidly-evolving regulatory landscape and the arena of international trade, and there remains great uncertainty as to what responses will emerge in light of the Court’s decision, including with respect to tariffs, international trade agreements, and international trade generally. For example, following and notwithstanding the Court’s ruling, the U.S. Congress could act in its discretion to codify tariffs, including ones similar to, more extensive and/or at higher rates than the duties invalidated by the Court’s decision; the Administration could act to impose duties or alternative tariffs under laws other than the IEEPA statute addressed in the Court’s decision; the state of bilateral and multilateral trade agreements is and may continue to be uncertain; foreign countries may yet impose tariffs (including retaliatory tariffs) or increase duty rates, among other uncertainties. At this time, following the tariffs enacted by the Administration and the subsequent Supreme Court ruling, it remains unclear what further measures will be implemented in response or if additional countries may impose retaliatory tariffs. Any new or continued trade disputes or increased tensions between the U.S. and other countries, and any governmental actions, including further increases of existing tariffs or the imposition of new tariffs, may further exacerbate any increases to our operating costs, decreases in demand for our products, and disruptions to our supply chain. While we continue to actively monitor the evolving and ever-changing regulatory landscape and to implement strategies intended to mitigate these impacts, including diversifying our manufacturing footprint and seeking alternative suppliers, these efforts may not be fully successful and could result in increased costs, delayed shipments, and reduced margins.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Specifically regarding the PRC, actions by the U.S. government to impose tariffs on Chinese-origin goods, particularly in the electronics and semiconductor sectors, have increased our production and procurement costs. These or any similar tariffs or duties, combined with potential retaliatory measures by Chinese authorities, could further increase the cost of our products and components or limit our ability to source critical materials and parts. Additionally, ongoing geopolitical tensions and potential expansion of export controls or restrictions on technology transfers could further complicate our supply chain operations and impact our ability to maintain competitive pricing.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respect to our Mexican manufacturing operations and sourcing activities, changes in trade policies, including potential modifications to or withdrawal from existing trade agreements, could result in increased tariffs and other trade barriers. The United States-Mexico-Canada Agreement (USMCA) is scheduled for a comprehensive review and potential renewal in 2026, and if it is extended on less favorable terms, Bel could face increased risks related to supply chain disruptions, higher tariffs, and reduced market access throughout North America. The renegotiation process will address key structural changes, trade imbalances, and heightened geopolitical competition, potentially resulting in revised rules of origin, labor obligations, and domestic policy requirements that may adversely impact Bel’s operations and cost structure. Such changes could necessitate significant modifications to our regional manufacturing strategy and supply chain organization, potentially resulting in supply chain disruptions and inventory management challenges leading to higher input costs, increased manufacturing costs and a potential loss of customers. If the agreement expires or undergoes significant revision, Bel may need to rapidly adapt to new trade regulations and market conditions,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efforts to mitigate these risks through supply chain diversification, pricing adjustments, and operational restructuring may not be successful and could result in:</w:t>
      </w:r>
    </w:p>
    <w:p>
      <w:pPr>
        <w:pStyle w:val="TextBody"/>
        <w:bidi w:val="0"/>
        <w:spacing w:before="0" w:after="0"/>
        <w:ind w:left="0" w:right="0" w:hanging="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0"/>
        <w:gridCol w:w="170"/>
        <w:gridCol w:w="61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r</w:t>
            </w:r>
            <w:r>
              <w:rPr>
                <w:rFonts w:ascii="Times New Roman" w:hAnsi="Times New Roman"/>
                <w:caps w:val="false"/>
                <w:smallCaps w:val="false"/>
                <w:sz w:val="20"/>
              </w:rPr>
              <w:t>educed profit margins if we are unable to pass increased costs to customers</w:t>
            </w:r>
          </w:p>
        </w:tc>
      </w:tr>
    </w:tbl>
    <w:tbl>
      <w:tblPr>
        <w:tblW w:w="6175" w:type="dxa"/>
        <w:jc w:val="left"/>
        <w:tblInd w:w="0" w:type="dxa"/>
        <w:tblLayout w:type="fixed"/>
        <w:tblCellMar>
          <w:top w:w="0" w:type="dxa"/>
          <w:left w:w="0" w:type="dxa"/>
          <w:bottom w:w="0" w:type="dxa"/>
          <w:right w:w="0" w:type="dxa"/>
        </w:tblCellMar>
      </w:tblPr>
      <w:tblGrid>
        <w:gridCol w:w="60"/>
        <w:gridCol w:w="170"/>
        <w:gridCol w:w="5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l</w:t>
            </w:r>
            <w:r>
              <w:rPr>
                <w:rFonts w:ascii="Times New Roman" w:hAnsi="Times New Roman"/>
                <w:caps w:val="false"/>
                <w:smallCaps w:val="false"/>
                <w:sz w:val="20"/>
              </w:rPr>
              <w:t>oss of market share to competitors with different supply chain structures</w:t>
            </w:r>
          </w:p>
        </w:tc>
      </w:tr>
    </w:tbl>
    <w:tbl>
      <w:tblPr>
        <w:tblW w:w="5860" w:type="dxa"/>
        <w:jc w:val="left"/>
        <w:tblInd w:w="0" w:type="dxa"/>
        <w:tblLayout w:type="fixed"/>
        <w:tblCellMar>
          <w:top w:w="0" w:type="dxa"/>
          <w:left w:w="0" w:type="dxa"/>
          <w:bottom w:w="0" w:type="dxa"/>
          <w:right w:w="0" w:type="dxa"/>
        </w:tblCellMar>
      </w:tblPr>
      <w:tblGrid>
        <w:gridCol w:w="60"/>
        <w:gridCol w:w="170"/>
        <w:gridCol w:w="56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i</w:t>
            </w:r>
            <w:r>
              <w:rPr>
                <w:rFonts w:ascii="Times New Roman" w:hAnsi="Times New Roman"/>
                <w:caps w:val="false"/>
                <w:smallCaps w:val="false"/>
                <w:sz w:val="20"/>
              </w:rPr>
              <w:t>ncreased operating costs from maintaining redundant supply sources</w:t>
            </w:r>
          </w:p>
        </w:tc>
      </w:tr>
    </w:tbl>
    <w:tbl>
      <w:tblPr>
        <w:tblW w:w="6970" w:type="dxa"/>
        <w:jc w:val="left"/>
        <w:tblInd w:w="0" w:type="dxa"/>
        <w:tblLayout w:type="fixed"/>
        <w:tblCellMar>
          <w:top w:w="0" w:type="dxa"/>
          <w:left w:w="0" w:type="dxa"/>
          <w:bottom w:w="0" w:type="dxa"/>
          <w:right w:w="0" w:type="dxa"/>
        </w:tblCellMar>
      </w:tblPr>
      <w:tblGrid>
        <w:gridCol w:w="60"/>
        <w:gridCol w:w="170"/>
        <w:gridCol w:w="6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a</w:t>
            </w:r>
            <w:r>
              <w:rPr>
                <w:rFonts w:ascii="Times New Roman" w:hAnsi="Times New Roman"/>
                <w:caps w:val="false"/>
                <w:smallCaps w:val="false"/>
                <w:sz w:val="20"/>
              </w:rPr>
              <w:t>dditional capital expenditures to relocate or duplicate manufacturing capabilities</w:t>
            </w:r>
          </w:p>
        </w:tc>
      </w:tr>
    </w:tbl>
    <w:tbl>
      <w:tblPr>
        <w:tblW w:w="5695" w:type="dxa"/>
        <w:jc w:val="left"/>
        <w:tblInd w:w="0" w:type="dxa"/>
        <w:tblLayout w:type="fixed"/>
        <w:tblCellMar>
          <w:top w:w="0" w:type="dxa"/>
          <w:left w:w="0" w:type="dxa"/>
          <w:bottom w:w="0" w:type="dxa"/>
          <w:right w:w="0" w:type="dxa"/>
        </w:tblCellMar>
      </w:tblPr>
      <w:tblGrid>
        <w:gridCol w:w="60"/>
        <w:gridCol w:w="170"/>
        <w:gridCol w:w="5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p</w:t>
            </w:r>
            <w:r>
              <w:rPr>
                <w:rFonts w:ascii="Times New Roman" w:hAnsi="Times New Roman"/>
                <w:caps w:val="false"/>
                <w:smallCaps w:val="false"/>
                <w:sz w:val="20"/>
              </w:rPr>
              <w:t>otential quality control challenges from new or alternate suppliers</w:t>
            </w:r>
          </w:p>
        </w:tc>
      </w:tr>
    </w:tbl>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sz w:val="20"/>
              </w:rPr>
              <w:t>i</w:t>
            </w:r>
            <w:r>
              <w:rPr>
                <w:rFonts w:ascii="Times New Roman" w:hAnsi="Times New Roman"/>
                <w:caps w:val="false"/>
                <w:smallCaps w:val="false"/>
                <w:sz w:val="20"/>
              </w:rPr>
              <w:t>ncreased complexity in regulatory compliance and trade documentation</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The continuation or escalation of trade tensions, particularly with the PRC and Mexico, could result in material adverse effects on our business that may not be fully mitigated by our ongoing adaptation efforts. Additionally, the uncertainty surrounding future trade policies and potential regulatory changes complicates our long-term planning and investment decisions, potentially affecting our competitive position in the global electronics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Our backlog figures may not be reliable indicators.</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most of Bel’s orders are non-cancellable and non-returnable, and are subject to penalty if cancelled, Bel has historically worked with large customers to provide for cancellation if no costs have yet been incurred by Bel. Nonetheless, some orders that comprise our backlog may be delayed, accelerated, or canceled by customers. Customers may occasionally double order from multiple sources to ensure timely delivery when lead times are particularly long, and often cancel orders when business is weak or inventories are excessive. Additional factors that could cause Bel to fail to ship orders comprising our backlog include unanticipated supply difficulties, changes in customer demand, and new customer designs. Due to these factors, we cannot be certain that the amount of our backlog equals or exceeds the level of orders that will ultimately be delivered, and backlog may not be a reliable indicator of the timing of future sales. Our results of operations could be adversely impacted if customers cancel a material portion of orders in our backlog, even with our policies in place.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We may not be able to generate sufficient cash to service all of our indebtedness and may be forced to take other actions to satisfy our obligations under our indebtedness, which may not be successful.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our cash flows and capital resources are insufficient to fund our debt service obligations, we could face substantial liquidity problems and could be forced to reduce or delay acquisitions,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 Our Credit Agreement restricts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inability to generate sufficient cash flows to satisfy our debt obligations, or to refinance our indebtedness on commercially reasonable terms or at all, would materially and adversely affect our consolidated financial position and consolidated results of operations. If we cannot make scheduled payments on our debt, we will be in default, the lenders under the Credit Agreement could terminate their commitments to loan money, the lenders could foreclose against the assets securing their borrowings and we could be forced into bankruptcy or liquidation.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Our level of indebtedness could negatively impact our access to the capital markets and our ability to satisfy financial covenants under our existing Credit Agreement.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incurred substantial amounts of indebtedness including to fund the acquisition of Enercon in 2024, and we may need to incur additional indebtedness to finance operations or for other general corporate purposes. Our consolidated principal amount of outstanding indebtedness was $197.5 million at December 31, 2025, resulting in a Leverage Ratio of 1.4x Consolidated EBITDA, each as defined and calculated in accordance with our Credit Agreement. Accordingly, our U.S. debt service requirements are significant in relation to our U.S. revenue and cash flow. This leverage exposes us to risk in the event of downturns in our business, in our industry or in the economy generally, and may impair our operating flexibility and our ability to compete effectively. Our current Credit Agreement requires us to maintain certain covenant ratios. For example, the applicable Credit Agreement covenant pertaining to the Leverage Ratio referenced above provides, subject to certain exceptions, that our Leverage Ratio must not exceed 3.50 to 1.00. Additionally, the interest rate that we pay under our Credit Agreement increases as our Leverage Ratio increases. If we do not continue to satisfy the required ratios including the Leverage Ratio or receive waivers from our lenders, we will be in default under the Credit Agreement, which could result in an accelerated maturity of our debt obligations. We cannot assure investors that we will be able to access private or public debt or equity on satisfactory terms, or at all. Any equity financing that could be arranged may dilute existing shareholders and any debt financing that could be arranged may result in the imposition of more stringent financial and operating covenants.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LEGAL, TAX AND REGULATORY RISKS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be sued by third parties for alleged infringement of their proprietary rights and we may incur defense costs and possibly royalty obligations or lose the right to use technology important to our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receive claims by third parties asserting that our products violate their intellectual property rights. Any intellectual property claims, with or without merit, could be time consuming and expensive to litigate or settle and could divert management attention from administering our business. A third-party asserting infringement claims against us or our customers with respect to our current or future products may materially and adversely affect us by, for example, causing us to enter into costly royalty arrangements or forcing us to incur settlement or litigation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subject to taxation in multiple jurisdictions. As a result, any adverse development in the tax laws of any of these jurisdictions or any disagreement with our tax positions could have a material adverse effect on our business, consolidated financial condition or consolidated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subject to taxation in, and to the tax laws and regulations of, multiple jurisdictions as a result of the international scope of our operations and our corporate and financing structure. We are also subject to transfer pricing laws with respect to our intercompany transactions, including those relating to the flow of funds among our companies. Adverse developments in fiscal or tax laws, regulations or policies, or any change in position regarding the application, administration or interpretation thereof, in any applicable jurisdiction, could have a material adverse effect on our business, consolidated financial condition or consolidated results of our operations. In addition, the tax authorities in any applicable jurisdiction, including the United States, may disagree with the positions we have taken or intend to take regarding the tax treatment or characterization of any of our transactions. If any applicable tax authorities, including U.S. tax authorities, were to successfully challenge the tax treatment or characterization of any of our transactions, it could have a material adverse effect on our business, consolidated financial condition or consolidated results of our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Our results of operations may be materially and adversely impacted by environmental and other 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manufacturing operations, products and/or product packaging are subject to environmental laws and regulations governing air emissions; wastewater discharges; the handling, disposal and remediation of hazardous substances, wastes and certain chemicals used or generated in our manufacturing processes; employee health and safety labeling or other notifications with respect to the content or other aspects of our processes, products or packaging; restrictions on the use of certain materials in or on design aspects of our products or product packaging; and responsibility for disposal of products or product packaging. Discussions and proposals related to gas emissions and climate change have increasingly become the subject of substantial attention; additional regulation in this area could have the effect of restricting our business operations or increasing our operating costs. More stringent environmental regulations may be enacted in the future, and we cannot presently determine the modifications, if any, in our operations that any such future regulations might require, or the cost of compliance with these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are subject to, and may continue to be subject to, incremental costs, risks, and regulations associated with global environmental and sustainability initiatives. Evolving expectations relating to environmental, social and governance considerations expose us to potential liabilities, increased costs, reputational harm and other adverse effects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heightened public and regulatory scrutiny regarding environmental sustainability and climate impact. This increased focus has resulted in numerous international frameworks, regulatory requirements, and industry standards. In addition to general environmental risks whereby we may be adversely affected by severe weather patterns and environmental events, we face evolving compliance obligations related to sustainability reporting, carbon footprint reduction, and environmental impact mitigation. Moreover, our key customers and partners are implementing increasingly stringent environmental performance criteria within their value chains. Any actual or perceived deficiency in meeting these standards could materially impact our market position, customer relationships, and overall business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Given our extensive operational presence across multiple jurisdictions, emerging environmental regulations beyond our current compliance programs could impose significant additional burdens. These may include enhanced monitoring requirements, technology upgrades, operational modifications, and expanded reporting obligations. The associated costs could materially affect our operating expenses, capital allocation decisions, and competitive position.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Regulatory frameworks continue to evolve rapidly across our key markets. The European Union's enhanced environmental reporting framework introduces comprehensive sustainability disclosure requirements affecting both domestic and international operators. In the United States, recent federal initiatives sought to establish new environmental disclosure standards for public companies, though implementation timelines were stayed by ongoing legal review and in March 2025, the SEC announced that it had voted to end its defense of the challenged rules regarding enhancement and standardization of climate-related disclosures. However, the withdrawal of the SEC’s defense does mean these or similar SEC disclosures will not become mandatory in the future, including in the event the SEC’s priorities should change, and climate-related disclosures are still rapidly proliferating at the U.S. state level and internationally. We continue to actively monitor the rapidly evolving regulatory landscape to be prepared to develop compliance frameworks for applicable requirements, any of which if implemented may require substantial operational adjustments and additional incremental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state level, several jurisdictions have enacted or proposed environmental accountability legislation with varying requirements and enforcement mechanisms. These regional variations create additional complexity in maintaining comprehensive compliance programs. We anticipate increased administrative burden and compliance costs as these requirements come into effect.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Beyond regulatory compliance, we face several emerging environmental and sustainability risks,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Operational Risks – requirements to lower greenhouse gas emissions and improve energy efficiency may necessitate changes in business operations, potentially leading to disruptions.</w:t>
            </w:r>
          </w:p>
        </w:tc>
      </w:tr>
    </w:tbl>
    <w:tbl>
      <w:tblPr>
        <w:tblW w:w="9370" w:type="dxa"/>
        <w:jc w:val="left"/>
        <w:tblInd w:w="0" w:type="dxa"/>
        <w:tblLayout w:type="fixed"/>
        <w:tblCellMar>
          <w:top w:w="0" w:type="dxa"/>
          <w:left w:w="0" w:type="dxa"/>
          <w:bottom w:w="0" w:type="dxa"/>
          <w:right w:w="0" w:type="dxa"/>
        </w:tblCellMar>
      </w:tblPr>
      <w:tblGrid>
        <w:gridCol w:w="60"/>
        <w:gridCol w:w="170"/>
        <w:gridCol w:w="9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Litigation Risks – climate-related lawsuits based on corporate disclosures and/or operational practices may arise.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Reputational Risks – customer, investor, and stakeholder expectations regarding any climate-related commitments or goals could influence business relationships and overall market perception.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effectively navigate these evolving environmental requirements while maintaining operational efficiency and market competitiveness may have material impacts on our financial condition, operational results, and strategic positioning.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governments, regulators, investors, employees, customers and other stakeholders have focused in recent years on environmental, social and governance (“ESG”) considerations relating to businesses. At the same time, there are efforts by some stakeholders and policymakers to reduce companies’ attention to certain ESG-related matters. Advocates and opponents of ESG matters have from time to time resorted to a range of activism to promote their viewpoints, which may require us to incur additional costs or otherwise adversely impact our business. Some stakeholders may disagree with our goals and initiatives and the focus of stakeholders may change and evolve over time. Stakeholders also may have very different views on where ESG focus should be placed, including differing views of regulators in various jurisdictions in which we operate. Any failure, or perceived failure, by us to achieve any goals that we may set, further our initiatives, adhere to our public statements, comply with federal, state or international ESG laws and regulations, or meet evolving and varied stakeholder expectations and standards could result in legal and regulatory proceedings against us and materially adversely affect our business, reputation, results of operations, financial condition and stock price.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Expanding and evolving data privacy laws and regulations could impact our business and expose us to increased liability.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global business is subject to complex and changing laws and regulations including but not limited to privacy, data security and data localization. Evolving foreign events may adversely affect our revenues and could subject us to new regulatory costs and challenges (such as the transfer of personal data between the EU and the United Kingdom), in addition to other adverse effects that we are unable to effectively anticipate. This may impose significant requirements on how we collect, process and transfer personal data, as well as significant financial penalties for non-compliance. Any inability to adequately address privacy concerns, even if unfounded, or to comply with the more complex privacy or data protection laws, regulations and privacy standards, could lead to significant financial penalties, which may result in a material and adverse effect on our consolidated results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As a result of protective provisions in the Company's Restated Certificate of Incorporation, as amended, the voting power of holders of Class A common shares whose voting rights are not suspended (including officers, directors and principal shareholders) may be increased at future meetings of the Company's shareholders.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Restated Certificate of Incorporation, as amended, provides that if a shareholder, other than shareholders subject to specific exceptions, acquires (after the date of the Company's 1998 recapitalization) 10% or more of the outstanding Class A common stock and does not own an equal or greater percentage of all then outstanding shares of both Class A and Class B common stock (all of which common stock must have been acquired after the date of the 1998 recapitalization), such shareholder must, within 90 days of the trigger date, purchase Class B common shares, in an amount and at a price determined in accordance with a formula described in the Company's Restated Certificate of Incorporation, as amended, or forfeit its right to vote its Class A common shares. To the extent that the voting rights of particular holders of Class A common stock are suspended as of times when the Company's shareholders vote due to the above-mentioned provisions, such suspension would have the effect of increasing the voting power of those holders of Class A common shares whose voting rights are not suspended.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stock price, like that of many companies, has been and may continue to be volatile.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market price of our common stock may fluctuate as a result of variations in our quarterly operating results and other factors beyond our control. These fluctuations may be exaggerated if the trading volume of our common stock is low. The market price of our common stock may rise and fall in response to a variety of other factors, including:</w:t>
      </w:r>
    </w:p>
    <w:p>
      <w:pPr>
        <w:pStyle w:val="TextBody"/>
        <w:bidi w:val="0"/>
        <w:spacing w:before="0" w:after="0"/>
        <w:ind w:left="0" w:right="0" w:hanging="0"/>
        <w:jc w:val="left"/>
        <w:rPr/>
      </w:pPr>
      <w:r>
        <w:rPr/>
        <w:t> </w:t>
      </w:r>
    </w:p>
    <w:tbl>
      <w:tblPr>
        <w:tblW w:w="5365" w:type="dxa"/>
        <w:jc w:val="left"/>
        <w:tblInd w:w="0" w:type="dxa"/>
        <w:tblLayout w:type="fixed"/>
        <w:tblCellMar>
          <w:top w:w="0" w:type="dxa"/>
          <w:left w:w="0" w:type="dxa"/>
          <w:bottom w:w="0" w:type="dxa"/>
          <w:right w:w="0" w:type="dxa"/>
        </w:tblCellMar>
      </w:tblPr>
      <w:tblGrid>
        <w:gridCol w:w="170"/>
        <w:gridCol w:w="5195"/>
      </w:tblGrid>
      <w:tr>
        <w:trPr/>
        <w:tc>
          <w:tcPr>
            <w:tcW w:w="170" w:type="dxa"/>
            <w:tcBorders/>
            <w:vAlign w:val="center"/>
          </w:tcPr>
          <w:p>
            <w:pPr>
              <w:pStyle w:val="TableContents"/>
              <w:bidi w:val="0"/>
              <w:spacing w:before="0" w:after="283"/>
              <w:jc w:val="center"/>
              <w:rPr/>
            </w:pPr>
            <w:r>
              <w:rPr/>
              <w:t>●</w:t>
            </w:r>
          </w:p>
        </w:tc>
        <w:tc>
          <w:tcPr>
            <w:tcW w:w="5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Announcements of technological or competitive developments;</w:t>
            </w:r>
          </w:p>
        </w:tc>
      </w:tr>
      <w:tr>
        <w:trPr/>
        <w:tc>
          <w:tcPr>
            <w:tcW w:w="170" w:type="dxa"/>
            <w:tcBorders/>
            <w:vAlign w:val="center"/>
          </w:tcPr>
          <w:p>
            <w:pPr>
              <w:pStyle w:val="TableContents"/>
              <w:bidi w:val="0"/>
              <w:spacing w:before="0" w:after="283"/>
              <w:jc w:val="center"/>
              <w:rPr/>
            </w:pPr>
            <w:r>
              <w:rPr/>
              <w:t>●</w:t>
            </w:r>
          </w:p>
        </w:tc>
        <w:tc>
          <w:tcPr>
            <w:tcW w:w="5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market or economic conditions;</w:t>
            </w:r>
          </w:p>
        </w:tc>
      </w:tr>
    </w:tbl>
    <w:tbl>
      <w:tblPr>
        <w:tblW w:w="7735" w:type="dxa"/>
        <w:jc w:val="left"/>
        <w:tblInd w:w="0" w:type="dxa"/>
        <w:tblLayout w:type="fixed"/>
        <w:tblCellMar>
          <w:top w:w="0" w:type="dxa"/>
          <w:left w:w="0" w:type="dxa"/>
          <w:bottom w:w="0" w:type="dxa"/>
          <w:right w:w="0" w:type="dxa"/>
        </w:tblCellMar>
      </w:tblPr>
      <w:tblGrid>
        <w:gridCol w:w="170"/>
        <w:gridCol w:w="7565"/>
      </w:tblGrid>
      <w:tr>
        <w:trPr/>
        <w:tc>
          <w:tcPr>
            <w:tcW w:w="170" w:type="dxa"/>
            <w:tcBorders/>
            <w:vAlign w:val="center"/>
          </w:tcPr>
          <w:p>
            <w:pPr>
              <w:pStyle w:val="TableContents"/>
              <w:bidi w:val="0"/>
              <w:spacing w:before="0" w:after="283"/>
              <w:jc w:val="center"/>
              <w:rPr/>
            </w:pPr>
            <w:r>
              <w:rPr/>
              <w:t>●</w:t>
            </w:r>
          </w:p>
        </w:tc>
        <w:tc>
          <w:tcPr>
            <w:tcW w:w="75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 or economic conditions specific to particular geographical areas in which we operate;</w:t>
            </w:r>
          </w:p>
        </w:tc>
      </w:tr>
      <w:tr>
        <w:trPr/>
        <w:tc>
          <w:tcPr>
            <w:tcW w:w="170" w:type="dxa"/>
            <w:tcBorders/>
            <w:vAlign w:val="center"/>
          </w:tcPr>
          <w:p>
            <w:pPr>
              <w:pStyle w:val="TableContents"/>
              <w:bidi w:val="0"/>
              <w:spacing w:before="0" w:after="283"/>
              <w:jc w:val="center"/>
              <w:rPr/>
            </w:pPr>
            <w:r>
              <w:rPr/>
              <w:t>●</w:t>
            </w:r>
          </w:p>
        </w:tc>
        <w:tc>
          <w:tcPr>
            <w:tcW w:w="75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 or strategic alliances by us or our competitors;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Our ability to achieve our anticipated cost savings from announced restructuring programs;</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gain or loss of a significant customer or order;</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283"/>
              <w:jc w:val="left"/>
              <w:rPr/>
            </w:pPr>
            <w:r>
              <w:rPr/>
              <w:t>Changes in the amount or frequency of our payments of dividends or repurchases of our common stock; or</w:t>
            </w:r>
          </w:p>
        </w:tc>
      </w:tr>
      <w:tr>
        <w:trPr/>
        <w:tc>
          <w:tcPr>
            <w:tcW w:w="170" w:type="dxa"/>
            <w:tcBorders/>
            <w:vAlign w:val="center"/>
          </w:tcPr>
          <w:p>
            <w:pPr>
              <w:pStyle w:val="TableContents"/>
              <w:bidi w:val="0"/>
              <w:spacing w:before="0" w:after="283"/>
              <w:jc w:val="center"/>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estimates of our financial performance or changes in recommendations by securities analysts regarding us or our industry.</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equity securities of many companies have experienced significant price and volume fluctuations even in periods when the capital markets generally are not distressed. These price and volume fluctuations often have been unrelated to the operating performance of the affected companies.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RISKS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The global nature of our operations exposes us to numerous risks that could materially adversely affect our consolidated financial condition and consolidated results of operations.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manufacture in 8 countries, and our products are distributed in those countries as well as in other parts of the world. A large portion of our manufacturing operations are located outside of the United States and a large portion of our sales are generated outside of the United States. Operations outside of the United States, particularly operations in developing regions, are subject to various risks that may not be present or as significant for our U.S. operations. Economic uncertainty in some of the geographic regions in which we operate, including developing regions, could result in the disruption of commerce and negatively impact cash flows from our operations in those areas.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Risks inherent in our international operations include:</w:t>
      </w:r>
    </w:p>
    <w:p>
      <w:pPr>
        <w:pStyle w:val="TextBody"/>
        <w:bidi w:val="0"/>
        <w:spacing w:before="0" w:after="0"/>
        <w:ind w:left="0" w:right="0" w:hanging="0"/>
        <w:jc w:val="both"/>
        <w:rPr/>
      </w:pPr>
      <w:r>
        <w:rPr/>
        <w:t> </w:t>
      </w:r>
    </w:p>
    <w:tbl>
      <w:tblPr>
        <w:tblW w:w="7018" w:type="dxa"/>
        <w:jc w:val="left"/>
        <w:tblInd w:w="0" w:type="dxa"/>
        <w:tblLayout w:type="fixed"/>
        <w:tblCellMar>
          <w:top w:w="0" w:type="dxa"/>
          <w:left w:w="0" w:type="dxa"/>
          <w:bottom w:w="0" w:type="dxa"/>
          <w:right w:w="0" w:type="dxa"/>
        </w:tblCellMar>
      </w:tblPr>
      <w:tblGrid>
        <w:gridCol w:w="60"/>
        <w:gridCol w:w="314"/>
        <w:gridCol w:w="6644"/>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6644"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Import and export regulations that could erode profit margins or restrict exports;</w:t>
            </w:r>
          </w:p>
        </w:tc>
      </w:tr>
    </w:tbl>
    <w:tbl>
      <w:tblPr>
        <w:tblW w:w="3823" w:type="dxa"/>
        <w:jc w:val="left"/>
        <w:tblInd w:w="0" w:type="dxa"/>
        <w:tblLayout w:type="fixed"/>
        <w:tblCellMar>
          <w:top w:w="0" w:type="dxa"/>
          <w:left w:w="0" w:type="dxa"/>
          <w:bottom w:w="0" w:type="dxa"/>
          <w:right w:w="0" w:type="dxa"/>
        </w:tblCellMar>
      </w:tblPr>
      <w:tblGrid>
        <w:gridCol w:w="60"/>
        <w:gridCol w:w="314"/>
        <w:gridCol w:w="3449"/>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3449"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Foreign exchange controls and tax rates;</w:t>
            </w:r>
          </w:p>
        </w:tc>
      </w:tr>
    </w:tbl>
    <w:tbl>
      <w:tblPr>
        <w:tblW w:w="6148" w:type="dxa"/>
        <w:jc w:val="left"/>
        <w:tblInd w:w="0" w:type="dxa"/>
        <w:tblLayout w:type="fixed"/>
        <w:tblCellMar>
          <w:top w:w="0" w:type="dxa"/>
          <w:left w:w="0" w:type="dxa"/>
          <w:bottom w:w="0" w:type="dxa"/>
          <w:right w:w="0" w:type="dxa"/>
        </w:tblCellMar>
      </w:tblPr>
      <w:tblGrid>
        <w:gridCol w:w="60"/>
        <w:gridCol w:w="314"/>
        <w:gridCol w:w="5774"/>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5774"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Foreign currency exchange rate fluctuations, including devaluations;</w:t>
            </w:r>
          </w:p>
        </w:tc>
      </w:tr>
    </w:tbl>
    <w:tbl>
      <w:tblPr>
        <w:tblW w:w="7903" w:type="dxa"/>
        <w:jc w:val="left"/>
        <w:tblInd w:w="0" w:type="dxa"/>
        <w:tblLayout w:type="fixed"/>
        <w:tblCellMar>
          <w:top w:w="0" w:type="dxa"/>
          <w:left w:w="0" w:type="dxa"/>
          <w:bottom w:w="0" w:type="dxa"/>
          <w:right w:w="0" w:type="dxa"/>
        </w:tblCellMar>
      </w:tblPr>
      <w:tblGrid>
        <w:gridCol w:w="60"/>
        <w:gridCol w:w="314"/>
        <w:gridCol w:w="7529"/>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7529"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Changes in regional and local economic conditions, including local inflationary pressures;</w:t>
            </w:r>
          </w:p>
        </w:tc>
      </w:tr>
    </w:tbl>
    <w:tbl>
      <w:tblPr>
        <w:tblW w:w="8608" w:type="dxa"/>
        <w:jc w:val="left"/>
        <w:tblInd w:w="0" w:type="dxa"/>
        <w:tblLayout w:type="fixed"/>
        <w:tblCellMar>
          <w:top w:w="0" w:type="dxa"/>
          <w:left w:w="0" w:type="dxa"/>
          <w:bottom w:w="0" w:type="dxa"/>
          <w:right w:w="0" w:type="dxa"/>
        </w:tblCellMar>
      </w:tblPr>
      <w:tblGrid>
        <w:gridCol w:w="60"/>
        <w:gridCol w:w="314"/>
        <w:gridCol w:w="8234"/>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8234"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Difficulty of enforcing agreements and collecting receivables through certain foreign legal systems;</w:t>
            </w:r>
          </w:p>
        </w:tc>
      </w:tr>
    </w:tbl>
    <w:tbl>
      <w:tblPr>
        <w:tblW w:w="6223" w:type="dxa"/>
        <w:jc w:val="left"/>
        <w:tblInd w:w="0" w:type="dxa"/>
        <w:tblLayout w:type="fixed"/>
        <w:tblCellMar>
          <w:top w:w="0" w:type="dxa"/>
          <w:left w:w="0" w:type="dxa"/>
          <w:bottom w:w="0" w:type="dxa"/>
          <w:right w:w="0" w:type="dxa"/>
        </w:tblCellMar>
      </w:tblPr>
      <w:tblGrid>
        <w:gridCol w:w="60"/>
        <w:gridCol w:w="314"/>
        <w:gridCol w:w="5849"/>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5849"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Variations in protection of intellectual property and other legal rights;</w:t>
            </w:r>
          </w:p>
        </w:tc>
      </w:tr>
    </w:tbl>
    <w:tbl>
      <w:tblPr>
        <w:tblW w:w="5773" w:type="dxa"/>
        <w:jc w:val="left"/>
        <w:tblInd w:w="0" w:type="dxa"/>
        <w:tblLayout w:type="fixed"/>
        <w:tblCellMar>
          <w:top w:w="0" w:type="dxa"/>
          <w:left w:w="0" w:type="dxa"/>
          <w:bottom w:w="0" w:type="dxa"/>
          <w:right w:w="0" w:type="dxa"/>
        </w:tblCellMar>
      </w:tblPr>
      <w:tblGrid>
        <w:gridCol w:w="60"/>
        <w:gridCol w:w="314"/>
        <w:gridCol w:w="5399"/>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5399"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More expansive legal rights of foreign unions or works councils;</w:t>
            </w:r>
          </w:p>
        </w:tc>
      </w:tr>
    </w:tbl>
    <w:tbl>
      <w:tblPr>
        <w:tblW w:w="8233" w:type="dxa"/>
        <w:jc w:val="left"/>
        <w:tblInd w:w="0" w:type="dxa"/>
        <w:tblLayout w:type="fixed"/>
        <w:tblCellMar>
          <w:top w:w="0" w:type="dxa"/>
          <w:left w:w="0" w:type="dxa"/>
          <w:bottom w:w="0" w:type="dxa"/>
          <w:right w:w="0" w:type="dxa"/>
        </w:tblCellMar>
      </w:tblPr>
      <w:tblGrid>
        <w:gridCol w:w="60"/>
        <w:gridCol w:w="314"/>
        <w:gridCol w:w="7859"/>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7859"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Changes in labor conditions and difficulties in staffing and managing international operations;</w:t>
            </w:r>
          </w:p>
        </w:tc>
      </w:tr>
    </w:tbl>
    <w:tbl>
      <w:tblPr>
        <w:tblW w:w="6913" w:type="dxa"/>
        <w:jc w:val="left"/>
        <w:tblInd w:w="0" w:type="dxa"/>
        <w:tblLayout w:type="fixed"/>
        <w:tblCellMar>
          <w:top w:w="0" w:type="dxa"/>
          <w:left w:w="0" w:type="dxa"/>
          <w:bottom w:w="0" w:type="dxa"/>
          <w:right w:w="0" w:type="dxa"/>
        </w:tblCellMar>
      </w:tblPr>
      <w:tblGrid>
        <w:gridCol w:w="60"/>
        <w:gridCol w:w="314"/>
        <w:gridCol w:w="6539"/>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6539"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Inability or regulatory limitations on our ability to move goods across borders;</w:t>
            </w:r>
          </w:p>
        </w:tc>
      </w:tr>
    </w:tbl>
    <w:tbl>
      <w:tblPr>
        <w:tblW w:w="10205" w:type="dxa"/>
        <w:jc w:val="left"/>
        <w:tblInd w:w="0" w:type="dxa"/>
        <w:tblLayout w:type="fixed"/>
        <w:tblCellMar>
          <w:top w:w="0" w:type="dxa"/>
          <w:left w:w="0" w:type="dxa"/>
          <w:bottom w:w="0" w:type="dxa"/>
          <w:right w:w="0" w:type="dxa"/>
        </w:tblCellMar>
      </w:tblPr>
      <w:tblGrid>
        <w:gridCol w:w="60"/>
        <w:gridCol w:w="314"/>
        <w:gridCol w:w="9831"/>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9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laws and regulations, including the laws and policies of the United States affecting trade, tariffs and foreign investment;</w:t>
            </w:r>
          </w:p>
        </w:tc>
      </w:tr>
    </w:tbl>
    <w:tbl>
      <w:tblPr>
        <w:tblW w:w="10205" w:type="dxa"/>
        <w:jc w:val="left"/>
        <w:tblInd w:w="0" w:type="dxa"/>
        <w:tblLayout w:type="fixed"/>
        <w:tblCellMar>
          <w:top w:w="0" w:type="dxa"/>
          <w:left w:w="0" w:type="dxa"/>
          <w:bottom w:w="0" w:type="dxa"/>
          <w:right w:w="0" w:type="dxa"/>
        </w:tblCellMar>
      </w:tblPr>
      <w:tblGrid>
        <w:gridCol w:w="60"/>
        <w:gridCol w:w="314"/>
        <w:gridCol w:w="9831"/>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98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Restrictive governmental actions such as those on transfer or repatriation of funds and trade protection matters, including antidumping duties, tariffs, trade wars, embargoes and prohibitions or restrictions on acquisitions or joint ventures;</w:t>
            </w:r>
          </w:p>
        </w:tc>
      </w:tr>
    </w:tbl>
    <w:tbl>
      <w:tblPr>
        <w:tblW w:w="6763" w:type="dxa"/>
        <w:jc w:val="left"/>
        <w:tblInd w:w="0" w:type="dxa"/>
        <w:tblLayout w:type="fixed"/>
        <w:tblCellMar>
          <w:top w:w="0" w:type="dxa"/>
          <w:left w:w="0" w:type="dxa"/>
          <w:bottom w:w="0" w:type="dxa"/>
          <w:right w:w="0" w:type="dxa"/>
        </w:tblCellMar>
      </w:tblPr>
      <w:tblGrid>
        <w:gridCol w:w="60"/>
        <w:gridCol w:w="314"/>
        <w:gridCol w:w="6389"/>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6389"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Social plans that prohibit or increase the cost of certain restructuring actions;</w:t>
            </w:r>
          </w:p>
        </w:tc>
      </w:tr>
    </w:tbl>
    <w:tbl>
      <w:tblPr>
        <w:tblW w:w="5338" w:type="dxa"/>
        <w:jc w:val="left"/>
        <w:tblInd w:w="0" w:type="dxa"/>
        <w:tblLayout w:type="fixed"/>
        <w:tblCellMar>
          <w:top w:w="0" w:type="dxa"/>
          <w:left w:w="0" w:type="dxa"/>
          <w:bottom w:w="0" w:type="dxa"/>
          <w:right w:w="0" w:type="dxa"/>
        </w:tblCellMar>
      </w:tblPr>
      <w:tblGrid>
        <w:gridCol w:w="60"/>
        <w:gridCol w:w="314"/>
        <w:gridCol w:w="4964"/>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4964"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The potential for nationalization of enterprises or facilities;</w:t>
            </w:r>
          </w:p>
        </w:tc>
      </w:tr>
    </w:tbl>
    <w:tbl>
      <w:tblPr>
        <w:tblW w:w="10205" w:type="dxa"/>
        <w:jc w:val="left"/>
        <w:tblInd w:w="0" w:type="dxa"/>
        <w:tblLayout w:type="fixed"/>
        <w:tblCellMar>
          <w:top w:w="0" w:type="dxa"/>
          <w:left w:w="0" w:type="dxa"/>
          <w:bottom w:w="0" w:type="dxa"/>
          <w:right w:w="0" w:type="dxa"/>
        </w:tblCellMar>
      </w:tblPr>
      <w:tblGrid>
        <w:gridCol w:w="60"/>
        <w:gridCol w:w="314"/>
        <w:gridCol w:w="9831"/>
      </w:tblGrid>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0"/>
              <w:ind w:left="0" w:right="144" w:hanging="0"/>
              <w:jc w:val="both"/>
              <w:rPr/>
            </w:pPr>
            <w:r>
              <w:rPr/>
              <w:t>●</w:t>
            </w:r>
          </w:p>
        </w:tc>
        <w:tc>
          <w:tcPr>
            <w:tcW w:w="9831" w:type="dxa"/>
            <w:tcBorders/>
            <w:vAlign w:val="center"/>
          </w:tcPr>
          <w:p>
            <w:pPr>
              <w:pStyle w:val="TableContents"/>
              <w:bidi w:val="0"/>
              <w:spacing w:before="0" w:after="0"/>
              <w:ind w:left="0" w:right="144" w:hanging="0"/>
              <w:jc w:val="both"/>
              <w:rPr>
                <w:rFonts w:ascii="Times New Roman;Times;serif" w:hAnsi="Times New Roman;Times;serif"/>
                <w:sz w:val="20"/>
              </w:rPr>
            </w:pPr>
            <w:r>
              <w:rPr>
                <w:rFonts w:ascii="Times New Roman;Times;serif" w:hAnsi="Times New Roman;Times;serif"/>
                <w:sz w:val="20"/>
              </w:rPr>
              <w:t>Unsettled political conditions and possible terrorist attacks against U.S. or other interests; and</w:t>
            </w:r>
          </w:p>
        </w:tc>
      </w:tr>
      <w:tr>
        <w:trPr/>
        <w:tc>
          <w:tcPr>
            <w:tcW w:w="60" w:type="dxa"/>
            <w:tcBorders/>
            <w:vAlign w:val="center"/>
          </w:tcPr>
          <w:p>
            <w:pPr>
              <w:pStyle w:val="TableContents"/>
              <w:bidi w:val="0"/>
              <w:spacing w:before="0" w:after="283"/>
              <w:jc w:val="both"/>
              <w:rPr/>
            </w:pPr>
            <w:r>
              <w:rPr/>
              <w:t> </w:t>
            </w:r>
          </w:p>
        </w:tc>
        <w:tc>
          <w:tcPr>
            <w:tcW w:w="314" w:type="dxa"/>
            <w:tcBorders/>
            <w:vAlign w:val="center"/>
          </w:tcPr>
          <w:p>
            <w:pPr>
              <w:pStyle w:val="TableContents"/>
              <w:bidi w:val="0"/>
              <w:spacing w:before="0" w:after="283"/>
              <w:jc w:val="left"/>
              <w:rPr/>
            </w:pPr>
            <w:r>
              <w:rPr/>
              <w:t>●</w:t>
            </w:r>
          </w:p>
        </w:tc>
        <w:tc>
          <w:tcPr>
            <w:tcW w:w="9831" w:type="dxa"/>
            <w:tcBorders/>
            <w:vAlign w:val="center"/>
          </w:tcPr>
          <w:p>
            <w:pPr>
              <w:pStyle w:val="TableContents"/>
              <w:bidi w:val="0"/>
              <w:spacing w:before="0" w:after="283"/>
              <w:jc w:val="both"/>
              <w:rPr/>
            </w:pPr>
            <w:r>
              <w:rPr/>
              <w:t>Intergovernmental and other conflicts or actions, including, but not limited to, armed conflict, such as the ongoing military conflicts between Ukraine and Russia, as well as between Israel and its adversaries in the Middle East.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multi-national company, we are faced with increased complexities due to recent changes to the U.S. corporate tax code relating to our unremitted foreign earnings, potential revisions to international tax law treaties, and renegotiated trade deals. In addition, other events, such as the ongoing discussion and negotiations concerning varying levels of tariffs on product imported from the PRC, Mexico, India, Israel and throughout Europe also create a level of uncertainty. If we are unable to anticipate and effectively manage these and other risks, it could have a material and adverse effect on our business, our consolidated results of operations and consolidated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additional information regarding risks associated with our operations in the PRC, see the discussion set forth above under the caption,</w:t>
      </w:r>
      <w:r>
        <w:rPr>
          <w:rFonts w:ascii="Times New Roman;Times;serif" w:hAnsi="Times New Roman;Times;serif"/>
          <w:color w:val="000000"/>
          <w:sz w:val="20"/>
        </w:rPr>
        <w:t xml:space="preserve"> </w:t>
      </w:r>
      <w:r>
        <w:rPr>
          <w:rFonts w:ascii="Times New Roman;Times;serif" w:hAnsi="Times New Roman;Times;serif"/>
          <w:i/>
          <w:color w:val="000000"/>
          <w:sz w:val="20"/>
        </w:rPr>
        <w:t>"We have substantial manufacturing operations located in the PRC, which exposes us to significant risks that could materially and adversely affect our business, operations, consolidated financial condition and consolidated results of operations." </w:t>
      </w:r>
      <w:r>
        <w:rPr>
          <w:rFonts w:ascii="Times New Roman;Times;serif" w:hAnsi="Times New Roman;Times;serif"/>
          <w:sz w:val="20"/>
        </w:rPr>
        <w:t xml:space="preserve">For additional information regarding risks associated with our operations in Israel, see the discussion set forth above under the caption, </w:t>
      </w:r>
      <w:r>
        <w:rPr>
          <w:rFonts w:ascii="Times New Roman;Times;serif" w:hAnsi="Times New Roman;Times;serif"/>
          <w:i/>
          <w:sz w:val="20"/>
        </w:rPr>
        <w:t>"We may face risks related to conducting business in Israel."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Cybersecurity risk and the failure to maintain the integrity of our operational or security systems or infrastructure, or those of third parties with which we do business, could have a material adverse effect on our business, consolidated financial condition and consolidated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Cybersecurity threats, including but not limited to malware, phishing, credential harvesting, ransomware and other attacks, are rapidly evolving and are becoming increasingly sophisticated, making it difficult to detect and prevent such threats from impacting the Company. Our Company has seen an increased volume of cybersecurity threats and ransomware attempts in 2025 and expects to continue to experience cybersecurity threats from time to time, which pose a risk to the security of our systems and networks and the confidentiality, availability and integrity of our data. Artificial intelligence ("AI") increases cybersecurity risks due to attacks crafted using AI including more effective phishing, false voice or image attacks. There are additional risks associated with utilization of technologies or applications the functionality of which relies upon externalizing data into public AI platforms, including the potential for unauthorized access or manipulation of sensitive information. Disruptions or failures in the physical infrastructure or operating systems that support our businesses and customers, or cybersecurity attacks or security breaches of our networks, systems or applications, could result in the loss of customers and business opportunities, legal liability, regulatory fines, penalties or intervention, other litigation, regulatory and legal risks and the costs associated therewith, reputational damage, reimbursement or other compensatory costs, remediation costs, increased cybersecurity protection costs, additional compliance costs, increased insurance premiums, and lost revenues, damage to the Company's competitiveness, stock price, and long-term shareholder value, any of which could materially adversely affect our business, financial condition and results of operations. While we attempt to mitigate these risks, our systems, networks, products, solutions and services remain potentially vulnerable to advanced and persistent threats. We also maintain and have access to sensitive, confidential or personal data or information in certain of our businesses that is subject to privacy and security laws and regulations. Despite our efforts to protect such sensitive, confidential or personal data or information, our facilities and systems and those of our customers and third-party service providers may be vulnerable to security breaches, theft, fraud, misplaced or lost data, “Acts of God”, programming and/or human errors that could lead to the compromising of sensitive, confidential or personal data or information, improper use of our systems, software solutions or networks, unauthorized access, use, disclosure, modification or destruction of information, defective products, production downtimes and operational disruptions, which in turn could adversely affect our consolidated financial condition and consolidated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 loss of the services of the Company's executive officers or other skilled associates could negatively impact our operations and results.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success of the Company's operations is largely dependent upon the performance of its executive officers, managers, engineers and sale</w:t>
      </w:r>
      <w:r>
        <w:rPr>
          <w:rFonts w:ascii="Times New Roman;Times;serif" w:hAnsi="Times New Roman;Times;serif"/>
          <w:sz w:val="20"/>
          <w:shd w:fill="FFFFFF" w:val="clear"/>
        </w:rPr>
        <w:t>speople.</w:t>
      </w:r>
      <w:r>
        <w:rPr>
          <w:rFonts w:ascii="Times New Roman;Times;serif" w:hAnsi="Times New Roman;Times;serif"/>
          <w:sz w:val="20"/>
        </w:rPr>
        <w:t> Many of these individuals have a significant number of years of experience within the Company and/or the industry in which we compete and would be extremely difficult to replace. The loss of the services of any of these associates may materially and adversely impact our results of operations if we are unable to replace them in a timely manner.</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7" w:name="item1b"/>
      <w:bookmarkEnd w:id="7"/>
      <w:r>
        <w:rPr>
          <w:rFonts w:ascii="Times New Roman;Times;serif" w:hAnsi="Times New Roman;Times;serif"/>
          <w:b/>
          <w:sz w:val="20"/>
        </w:rPr>
        <w:t xml:space="preserve">Item 1B.   </w:t>
      </w:r>
      <w:r>
        <w:rPr>
          <w:rFonts w:ascii="Times New Roman;Times;serif" w:hAnsi="Times New Roman;Times;serif"/>
          <w:b/>
          <w:i/>
          <w:sz w:val="20"/>
        </w:rPr>
        <w:t>Unresolved Staff Comments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8" w:name="Item_1C"/>
      <w:bookmarkEnd w:id="8"/>
      <w:r>
        <w:rPr>
          <w:rFonts w:ascii="Times New Roman;Times;serif" w:hAnsi="Times New Roman;Times;serif"/>
          <w:b/>
          <w:sz w:val="20"/>
        </w:rPr>
        <w:t xml:space="preserve">Item </w:t>
      </w:r>
      <w:r>
        <w:rPr>
          <w:rStyle w:val="Emphasis"/>
          <w:rFonts w:ascii="Times New Roman;Times;serif" w:hAnsi="Times New Roman;Times;serif"/>
          <w:b/>
          <w:sz w:val="20"/>
        </w:rPr>
        <w:t>1C.</w:t>
      </w:r>
      <w:r>
        <w:rPr>
          <w:rFonts w:ascii="Times New Roman;Times;serif" w:hAnsi="Times New Roman;Times;serif"/>
          <w:b/>
          <w:sz w:val="20"/>
        </w:rPr>
        <w:t xml:space="preserve">   </w:t>
      </w:r>
      <w:r>
        <w:rPr>
          <w:rFonts w:ascii="Times New Roman;Times;serif" w:hAnsi="Times New Roman;Times;serif"/>
          <w:b/>
          <w:i/>
          <w:sz w:val="20"/>
          <w:shd w:fill="FFFFFF" w:val="clear"/>
        </w:rPr>
        <w:t>Cybersecurity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 employs a full-time Cybersecurity Expert who reports directly into our Global Head of IT and Cybersecurity Services. During 2025, the Company worked with third-party cybersecurity specialists to continually enhance the programs Bel has in place. These relationships involve regular communication and collaboration between the Bel cybersecurity team and our third-party providers to share threat intelligence and implement proactive measures to safeguard our systems and data. The Company has continued to invest in IT security, including additional end-user training, using layered defenses, identifying, and protecting critical assets, strengthening monitoring and alerting, and engaging experts. Our cybersecurity team regularly monitors alerts and meets to discuss threat levels, trends, and remediation. Further, we conduct periodic external penetration tests. In addition to assessing our own cybersecurity preparedness, we also consider and evaluate cybersecurity risks associated with the use of third-party service providers that host our applications. The internal business owners of the hosted applications are required to document user access reviews at least annually and provide from the vendor a System and Organization Controls (SOC) 1 or SOC 2 report. Third-party contractors or vendors that require access to our network are given specific limited access to only the specific resource. The access provided expires automatically after a period determined by the project and must follow all Company security measures.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of the Board of Directors is responsible for overseeing the management of cybersecurity risks. The Audit Committee is informed about cybersecurity risks through quarterly reports from the Global Head of IT and Cybersecurity Services and, as necessary, to the full Board. The Audit Committee also reviews and approves the company’s cybersecurity policies and the Company’s Global Head of IT and Cybersecurity Services is responsible for developing and implementing our information security program and reporting on cybersecurity matters to the Board. This includes our overall information security strategy, policy, security engineering, operations and cyber incident detection and response reporting in alignment with Company policies. The current Global Head of IT and Cybersecurity Services has more than 17 years of information technology and program management experience which includes information security, and others on our IT security team have extensive cybersecurity experience and certifications.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9" w:name="item2"/>
      <w:bookmarkEnd w:id="9"/>
      <w:r>
        <w:rPr>
          <w:rFonts w:ascii="Times New Roman;Times;serif" w:hAnsi="Times New Roman;Times;serif"/>
          <w:b/>
          <w:sz w:val="20"/>
        </w:rPr>
        <w:t xml:space="preserve">Item 2.   </w:t>
      </w:r>
      <w:r>
        <w:rPr>
          <w:rFonts w:ascii="Times New Roman;Times;serif" w:hAnsi="Times New Roman;Times;serif"/>
          <w:b/>
          <w:i/>
          <w:sz w:val="20"/>
        </w:rPr>
        <w:t>Properties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The Company is headquartered in West Orange, New Jersey. </w:t>
      </w:r>
      <w:r>
        <w:rPr>
          <w:rFonts w:ascii="Times New Roman;Times;serif" w:hAnsi="Times New Roman;Times;serif"/>
          <w:sz w:val="20"/>
        </w:rPr>
        <w:t>The Company occupies 294,000 square feet of</w:t>
      </w:r>
      <w:r>
        <w:rPr>
          <w:rFonts w:ascii="Times New Roman;Times;serif" w:hAnsi="Times New Roman;Times;serif"/>
          <w:color w:val="333333"/>
          <w:sz w:val="20"/>
        </w:rPr>
        <w:t> </w:t>
      </w:r>
      <w:r>
        <w:rPr>
          <w:rFonts w:ascii="Times New Roman;Times;serif" w:hAnsi="Times New Roman;Times;serif"/>
          <w:sz w:val="20"/>
        </w:rPr>
        <w:t>non-manufacturing space, which is used primarily for management, financial accounting, engineering, sales and administrative support. Of this space, the Company leases 187,000 square feet and owns properties of 107,000 square feet.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also operate</w:t>
      </w:r>
      <w:r>
        <w:rPr>
          <w:rFonts w:ascii="Times New Roman;Times;serif" w:hAnsi="Times New Roman;Times;serif"/>
          <w:color w:val="333333"/>
          <w:sz w:val="20"/>
        </w:rPr>
        <w:t>d manufacturing facilities in 8 coun</w:t>
      </w:r>
      <w:r>
        <w:rPr>
          <w:rFonts w:ascii="Times New Roman;Times;serif" w:hAnsi="Times New Roman;Times;serif"/>
          <w:sz w:val="20"/>
        </w:rPr>
        <w:t xml:space="preserve">tries as of December 31, 2025, as detailed below. Approximately 2% of the 1.9 million square feet the Company occupies is owned while the remainder is leased. See Note 19, </w:t>
      </w:r>
      <w:r>
        <w:rPr>
          <w:rFonts w:ascii="Times New Roman;Times;serif" w:hAnsi="Times New Roman;Times;serif"/>
          <w:i/>
          <w:sz w:val="20"/>
        </w:rPr>
        <w:t>"Commitments and Contingencies"</w:t>
      </w:r>
      <w:r>
        <w:rPr>
          <w:rFonts w:ascii="Times New Roman;Times;serif" w:hAnsi="Times New Roman;Times;serif"/>
          <w:sz w:val="20"/>
        </w:rPr>
        <w:t>, for additional information pertaining to leases.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list of the locations of the Company's principal manufacturing facilities at December 31, 2025: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2079"/>
        <w:gridCol w:w="60"/>
        <w:gridCol w:w="117"/>
        <w:gridCol w:w="1680"/>
        <w:gridCol w:w="60"/>
        <w:gridCol w:w="2386"/>
        <w:gridCol w:w="60"/>
        <w:gridCol w:w="1093"/>
        <w:gridCol w:w="60"/>
        <w:gridCol w:w="366"/>
        <w:gridCol w:w="2056"/>
        <w:gridCol w:w="188"/>
      </w:tblGrid>
      <w:tr>
        <w:trPr/>
        <w:tc>
          <w:tcPr>
            <w:tcW w:w="2079"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Location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9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Approximate Square Feet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86"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Product Group Produced at Facility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93"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 Leased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22"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Percentage Used for Manufacturing</w:t>
            </w:r>
          </w:p>
        </w:tc>
        <w:tc>
          <w:tcPr>
            <w:tcW w:w="188" w:type="dxa"/>
            <w:tcBorders/>
            <w:shd w:fill="FFFFFF" w:val="clear"/>
            <w:tcMar>
              <w:bottom w:w="0" w:type="dxa"/>
            </w:tcMar>
            <w:vAlign w:val="center"/>
          </w:tcPr>
          <w:p>
            <w:pPr>
              <w:pStyle w:val="TableContents"/>
              <w:bidi w:val="0"/>
              <w:spacing w:before="0" w:after="283"/>
              <w:jc w:val="left"/>
              <w:rPr/>
            </w:pPr>
            <w:r>
              <w:rPr/>
              <w:t> </w:t>
            </w:r>
          </w:p>
        </w:tc>
      </w:tr>
      <w:tr>
        <w:trPr/>
        <w:tc>
          <w:tcPr>
            <w:tcW w:w="20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jc w:val="left"/>
              <w:rPr/>
            </w:pPr>
            <w:r>
              <w:rPr/>
              <w:t> </w:t>
            </w:r>
          </w:p>
        </w:tc>
        <w:tc>
          <w:tcPr>
            <w:tcW w:w="16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jc w:val="left"/>
              <w:rPr/>
            </w:pPr>
            <w:r>
              <w:rPr/>
              <w:t> </w:t>
            </w:r>
          </w:p>
        </w:tc>
        <w:tc>
          <w:tcPr>
            <w:tcW w:w="2056"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r>
      <w:tr>
        <w:trPr/>
        <w:tc>
          <w:tcPr>
            <w:tcW w:w="2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Dongguan,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661,000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Magnetic Solutions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93"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ind w:left="0" w:right="0" w:hanging="0"/>
              <w:jc w:val="left"/>
              <w:rPr/>
            </w:pPr>
            <w:r>
              <w:rPr/>
              <w:t> </w:t>
            </w:r>
          </w:p>
        </w:tc>
        <w:tc>
          <w:tcPr>
            <w:tcW w:w="2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188"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Shenzhen, PRC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227,000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8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Solutions &amp; Protection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93"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8"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Guangxi, PRC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243,000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Magnetic Solutions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93"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ind w:left="0" w:right="0" w:hanging="0"/>
              <w:jc w:val="left"/>
              <w:rPr/>
            </w:pPr>
            <w:r>
              <w:rPr/>
              <w:t> </w:t>
            </w:r>
          </w:p>
        </w:tc>
        <w:tc>
          <w:tcPr>
            <w:tcW w:w="2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188"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Mumbai, India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53,000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8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Solutions &amp; Protection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93"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188"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Haryana, India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jc w:val="left"/>
              <w:rPr/>
            </w:pPr>
            <w:r>
              <w:rPr/>
              <w:t> </w:t>
            </w:r>
          </w:p>
        </w:tc>
        <w:tc>
          <w:tcPr>
            <w:tcW w:w="1680" w:type="dxa"/>
            <w:tcBorders/>
            <w:shd w:fill="CCEEFF" w:val="clear"/>
            <w:tcMar>
              <w:bottom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36,000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Power Solutions &amp; Protection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jc w:val="left"/>
              <w:rPr/>
            </w:pPr>
            <w:r>
              <w:rPr/>
              <w:t> </w:t>
            </w:r>
          </w:p>
        </w:tc>
        <w:tc>
          <w:tcPr>
            <w:tcW w:w="2056"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Netanya, Israel</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shd w:fill="FFFFFF" w:val="clear"/>
            <w:tcMar>
              <w:bottom w:w="0" w:type="dxa"/>
            </w:tcMar>
            <w:vAlign w:val="center"/>
          </w:tcPr>
          <w:p>
            <w:pPr>
              <w:pStyle w:val="TableContents"/>
              <w:bidi w:val="0"/>
              <w:spacing w:before="0" w:after="0"/>
              <w:ind w:left="0" w:right="0" w:hanging="0"/>
              <w:jc w:val="left"/>
              <w:rPr/>
            </w:pPr>
            <w:r>
              <w:rPr/>
              <w:t> </w:t>
            </w:r>
          </w:p>
        </w:tc>
        <w:tc>
          <w:tcPr>
            <w:tcW w:w="168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60,000</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38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Power Solutions &amp; Protection</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093"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Leased</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366" w:type="dxa"/>
            <w:tcBorders/>
            <w:shd w:fill="FFFFFF" w:val="clear"/>
            <w:tcMar>
              <w:bottom w:w="0" w:type="dxa"/>
            </w:tcMar>
            <w:vAlign w:val="center"/>
          </w:tcPr>
          <w:p>
            <w:pPr>
              <w:pStyle w:val="TableContents"/>
              <w:bidi w:val="0"/>
              <w:spacing w:before="0" w:after="0"/>
              <w:ind w:left="0" w:right="0" w:hanging="0"/>
              <w:jc w:val="left"/>
              <w:rPr/>
            </w:pPr>
            <w:r>
              <w:rPr/>
              <w:t> </w:t>
            </w:r>
          </w:p>
        </w:tc>
        <w:tc>
          <w:tcPr>
            <w:tcW w:w="205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88"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Dubnica nad Vahom, Slovakia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35,000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Solutions &amp; Protection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93"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ind w:left="0" w:right="0" w:hanging="0"/>
              <w:jc w:val="left"/>
              <w:rPr/>
            </w:pPr>
            <w:r>
              <w:rPr/>
              <w:t> </w:t>
            </w:r>
          </w:p>
        </w:tc>
        <w:tc>
          <w:tcPr>
            <w:tcW w:w="2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8"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Dubnica nad Vahom, Slovakia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8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Solutions &amp; Protection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93"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8"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Worksop, United Kingdom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51,000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93"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ind w:left="0" w:right="0" w:hanging="0"/>
              <w:jc w:val="left"/>
              <w:rPr/>
            </w:pPr>
            <w:r>
              <w:rPr/>
              <w:t> </w:t>
            </w:r>
          </w:p>
        </w:tc>
        <w:tc>
          <w:tcPr>
            <w:tcW w:w="2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188"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Chelmsford, United Kingdom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17,000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8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93"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188"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Dominican Republic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33,000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Magnetic Solutions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93"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ind w:left="0" w:right="0" w:hanging="0"/>
              <w:jc w:val="left"/>
              <w:rPr/>
            </w:pPr>
            <w:r>
              <w:rPr/>
              <w:t> </w:t>
            </w:r>
          </w:p>
        </w:tc>
        <w:tc>
          <w:tcPr>
            <w:tcW w:w="2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188"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Cananea, Mexico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8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93"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88"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Reynosa, Mexico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88,000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93"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ind w:left="0" w:right="0" w:hanging="0"/>
              <w:jc w:val="left"/>
              <w:rPr/>
            </w:pPr>
            <w:r>
              <w:rPr/>
              <w:t> </w:t>
            </w:r>
          </w:p>
        </w:tc>
        <w:tc>
          <w:tcPr>
            <w:tcW w:w="2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188"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Glen Rock, Pennsylvania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74,000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8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93"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88"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Waseca, Minnesota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128,000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93"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ind w:left="0" w:right="0" w:hanging="0"/>
              <w:jc w:val="left"/>
              <w:rPr/>
            </w:pPr>
            <w:r>
              <w:rPr/>
              <w:t> </w:t>
            </w:r>
          </w:p>
        </w:tc>
        <w:tc>
          <w:tcPr>
            <w:tcW w:w="2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188"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McAllen, Texas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 w:type="dxa"/>
            <w:tcBorders/>
            <w:shd w:fill="FFFFFF" w:val="clear"/>
            <w:tcMar>
              <w:bottom w:w="0" w:type="dxa"/>
            </w:tcMar>
            <w:vAlign w:val="center"/>
          </w:tcPr>
          <w:p>
            <w:pPr>
              <w:pStyle w:val="TableContents"/>
              <w:bidi w:val="0"/>
              <w:spacing w:before="0" w:after="283"/>
              <w:ind w:left="0" w:right="0" w:hanging="0"/>
              <w:jc w:val="left"/>
              <w:rPr/>
            </w:pPr>
            <w:r>
              <w:rPr/>
              <w:t> </w:t>
            </w:r>
          </w:p>
        </w:tc>
        <w:tc>
          <w:tcPr>
            <w:tcW w:w="1680" w:type="dxa"/>
            <w:tcBorders/>
            <w:shd w:fill="FFFF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40,000</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8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93"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 w:type="dxa"/>
            <w:tcBorders/>
            <w:shd w:fill="FFFFFF" w:val="clear"/>
            <w:tcMar>
              <w:bottom w:w="0" w:type="dxa"/>
            </w:tcMar>
            <w:vAlign w:val="center"/>
          </w:tcPr>
          <w:p>
            <w:pPr>
              <w:pStyle w:val="TableContents"/>
              <w:bidi w:val="0"/>
              <w:spacing w:before="0" w:after="283"/>
              <w:ind w:left="0" w:right="0" w:hanging="0"/>
              <w:jc w:val="left"/>
              <w:rPr/>
            </w:pPr>
            <w:r>
              <w:rPr/>
              <w:t> </w:t>
            </w:r>
          </w:p>
        </w:tc>
        <w:tc>
          <w:tcPr>
            <w:tcW w:w="2056"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188"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Melbourne, Florida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shd w:fill="CCEEFF" w:val="clear"/>
            <w:tcMar>
              <w:bottom w:w="0" w:type="dxa"/>
            </w:tcMar>
            <w:vAlign w:val="center"/>
          </w:tcPr>
          <w:p>
            <w:pPr>
              <w:pStyle w:val="TableContents"/>
              <w:bidi w:val="0"/>
              <w:spacing w:before="0" w:after="283"/>
              <w:ind w:left="0" w:right="0" w:hanging="0"/>
              <w:jc w:val="left"/>
              <w:rPr/>
            </w:pPr>
            <w:r>
              <w:rPr/>
              <w:t> </w:t>
            </w:r>
          </w:p>
        </w:tc>
        <w:tc>
          <w:tcPr>
            <w:tcW w:w="1680"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13,000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86"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Connectivity Solutions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93"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ind w:left="0" w:right="0" w:hanging="0"/>
              <w:jc w:val="left"/>
              <w:rPr/>
            </w:pPr>
            <w:r>
              <w:rPr/>
              <w:t> </w:t>
            </w:r>
          </w:p>
        </w:tc>
        <w:tc>
          <w:tcPr>
            <w:tcW w:w="2056"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207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Belmont, New Hampshire</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7"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68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16,000</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386"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Power Solutions &amp; Protection</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093"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Leased</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366"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205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w:t>
            </w:r>
          </w:p>
        </w:tc>
        <w:tc>
          <w:tcPr>
            <w:tcW w:w="188"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0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680" w:type="dxa"/>
            <w:tcBorders>
              <w:bottom w:val="double" w:sz="6" w:space="0" w:color="000000"/>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1,875,000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 w:type="dxa"/>
            <w:tcBorders/>
            <w:shd w:fill="CCEEFF" w:val="clear"/>
            <w:tcMar>
              <w:bottom w:w="0" w:type="dxa"/>
            </w:tcMar>
            <w:vAlign w:val="center"/>
          </w:tcPr>
          <w:p>
            <w:pPr>
              <w:pStyle w:val="TableContents"/>
              <w:bidi w:val="0"/>
              <w:spacing w:before="0" w:after="283"/>
              <w:jc w:val="left"/>
              <w:rPr/>
            </w:pPr>
            <w:r>
              <w:rPr/>
              <w:t> </w:t>
            </w:r>
          </w:p>
        </w:tc>
        <w:tc>
          <w:tcPr>
            <w:tcW w:w="2056" w:type="dxa"/>
            <w:tcBorders/>
            <w:shd w:fill="CCEEFF" w:val="clear"/>
            <w:tcMar>
              <w:bottom w:w="0" w:type="dxa"/>
            </w:tcMar>
            <w:vAlign w:val="center"/>
          </w:tcPr>
          <w:p>
            <w:pPr>
              <w:pStyle w:val="TableContents"/>
              <w:bidi w:val="0"/>
              <w:spacing w:before="0" w:after="283"/>
              <w:jc w:val="righ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the space described above, 241,000 square feet is used for engineering, warehousing, sales and administrative support functions at various locations and 404,000 square feet is designated for dormitories, canteen and other employee related facilities in the PRC.</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Territory of Hong Kong became a Special Administrative Region ("SAR") of the PRC during 1997. The territory of Macao became a SAR of the PRC at the end of 1999. Management cannot presently predict what future impact the current status of these territories, along with evolving political landscape in the region, will have on the Company, if any, or how the political climate in the PRC will affect the Company's contractual arrangements in the PRC (including risks arising out of any changes in governmental and economic policy, such as increased or new tariffs, and current or additional trade restrictions, and the potential for adverse developments arising out of any political or economic instability related to Hong Kong or Taiwan).  A significant portion of the Company's manufacturing operations and approximately 32.0% of its identifiable assets are located in Asia.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0" w:name="item3"/>
      <w:bookmarkEnd w:id="10"/>
      <w:r>
        <w:rPr>
          <w:rFonts w:ascii="Times New Roman;Times;serif" w:hAnsi="Times New Roman;Times;serif"/>
          <w:b/>
          <w:sz w:val="20"/>
        </w:rPr>
        <w:t xml:space="preserve">Item 3.   </w:t>
      </w:r>
      <w:r>
        <w:rPr>
          <w:rFonts w:ascii="Times New Roman;Times;serif" w:hAnsi="Times New Roman;Times;serif"/>
          <w:b/>
          <w:i/>
          <w:sz w:val="20"/>
        </w:rPr>
        <w:t>Legal Proceedings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information called for by this Item is incorporated herein by reference to the disclosure captioned </w:t>
      </w:r>
      <w:r>
        <w:rPr>
          <w:rFonts w:ascii="Times New Roman;Times;serif" w:hAnsi="Times New Roman;Times;serif"/>
          <w:i/>
          <w:sz w:val="20"/>
        </w:rPr>
        <w:t>"Legal Proceedings"</w:t>
      </w:r>
      <w:r>
        <w:rPr>
          <w:rFonts w:ascii="Times New Roman;Times;serif" w:hAnsi="Times New Roman;Times;serif"/>
          <w:sz w:val="20"/>
        </w:rPr>
        <w:t xml:space="preserve"> in </w:t>
      </w:r>
      <w:r>
        <w:rPr>
          <w:rFonts w:ascii="Times New Roman;Times;serif" w:hAnsi="Times New Roman;Times;serif"/>
          <w:sz w:val="20"/>
          <w:shd w:fill="FFFFFF" w:val="clear"/>
        </w:rPr>
        <w:t xml:space="preserve">Note 19, </w:t>
      </w:r>
      <w:r>
        <w:rPr>
          <w:rFonts w:ascii="Times New Roman;Times;serif" w:hAnsi="Times New Roman;Times;serif"/>
          <w:i/>
          <w:sz w:val="20"/>
          <w:shd w:fill="FFFFFF" w:val="clear"/>
        </w:rPr>
        <w:t>"Co</w:t>
      </w:r>
      <w:r>
        <w:rPr>
          <w:rFonts w:ascii="Times New Roman;Times;serif" w:hAnsi="Times New Roman;Times;serif"/>
          <w:i/>
          <w:sz w:val="20"/>
        </w:rPr>
        <w:t>mmitments and Contingencies."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11" w:name="item4"/>
      <w:bookmarkEnd w:id="11"/>
      <w:r>
        <w:rPr>
          <w:rFonts w:ascii="Times New Roman;Times;serif" w:hAnsi="Times New Roman;Times;serif"/>
          <w:b/>
          <w:sz w:val="20"/>
        </w:rPr>
        <w:t xml:space="preserve">Item 4.   </w:t>
      </w:r>
      <w:r>
        <w:rPr>
          <w:rFonts w:ascii="Times New Roman;Times;serif" w:hAnsi="Times New Roman;Times;serif"/>
          <w:b/>
          <w:i/>
          <w:sz w:val="20"/>
        </w:rPr>
        <w:t>Mine Safety Disclosures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2" w:name="partii"/>
      <w:bookmarkEnd w:id="12"/>
      <w:r>
        <w:rPr>
          <w:rFonts w:ascii="Times New Roman;Times;serif" w:hAnsi="Times New Roman;Times;serif"/>
          <w:b/>
          <w:sz w:val="20"/>
        </w:rPr>
        <w:t>PART II</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13" w:name="item5"/>
      <w:bookmarkEnd w:id="13"/>
      <w:r>
        <w:rPr>
          <w:rFonts w:ascii="Times New Roman;Times;serif" w:hAnsi="Times New Roman;Times;serif"/>
          <w:b/>
          <w:sz w:val="20"/>
        </w:rPr>
        <w:t xml:space="preserve">Item 5.   </w:t>
      </w:r>
      <w:r>
        <w:rPr>
          <w:rFonts w:ascii="Times New Roman;Times;serif" w:hAnsi="Times New Roman;Times;serif"/>
          <w:b/>
          <w:i/>
          <w:sz w:val="20"/>
        </w:rPr>
        <w:t>Market for Registrant's Common Equity, Related Stockholder Matters and Issuer Purchases of Equity Securities</w:t>
      </w:r>
    </w:p>
    <w:p>
      <w:pPr>
        <w:pStyle w:val="TextBody"/>
        <w:bidi w:val="0"/>
        <w:spacing w:before="0" w:after="0"/>
        <w:ind w:left="0" w:right="0" w:hanging="0"/>
        <w:jc w:val="left"/>
        <w:rPr/>
      </w:pPr>
      <w:r>
        <w:rPr/>
        <w:t> </w:t>
      </w:r>
    </w:p>
    <w:tbl>
      <w:tblPr>
        <w:tblW w:w="1730" w:type="dxa"/>
        <w:jc w:val="left"/>
        <w:tblInd w:w="0" w:type="dxa"/>
        <w:tblLayout w:type="fixed"/>
        <w:tblCellMar>
          <w:top w:w="0" w:type="dxa"/>
          <w:left w:w="0" w:type="dxa"/>
          <w:bottom w:w="0" w:type="dxa"/>
          <w:right w:w="0" w:type="dxa"/>
        </w:tblCellMar>
      </w:tblPr>
      <w:tblGrid>
        <w:gridCol w:w="1730"/>
      </w:tblGrid>
      <w:tr>
        <w:trPr/>
        <w:tc>
          <w:tcPr>
            <w:tcW w:w="17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 Information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voting Class A Common Stock, par value $0.10 per share, and non-voting Class B Common Stock, par value $0.10 per share ("Class A" and "Class B," respectively), are traded on the NASDAQ Global Select Market under the symbols BELFA and BELFB, respectively.</w:t>
      </w:r>
    </w:p>
    <w:p>
      <w:pPr>
        <w:pStyle w:val="TextBody"/>
        <w:bidi w:val="0"/>
        <w:spacing w:before="0" w:after="0"/>
        <w:ind w:left="0" w:right="0" w:hanging="0"/>
        <w:jc w:val="both"/>
        <w:rPr/>
      </w:pPr>
      <w:r>
        <w:rPr/>
        <w:t> </w:t>
      </w:r>
    </w:p>
    <w:tbl>
      <w:tblPr>
        <w:tblW w:w="695" w:type="dxa"/>
        <w:jc w:val="left"/>
        <w:tblInd w:w="0" w:type="dxa"/>
        <w:tblLayout w:type="fixed"/>
        <w:tblCellMar>
          <w:top w:w="0" w:type="dxa"/>
          <w:left w:w="0" w:type="dxa"/>
          <w:bottom w:w="0" w:type="dxa"/>
          <w:right w:w="0" w:type="dxa"/>
        </w:tblCellMar>
      </w:tblPr>
      <w:tblGrid>
        <w:gridCol w:w="695"/>
      </w:tblGrid>
      <w:tr>
        <w:trPr/>
        <w:tc>
          <w:tcPr>
            <w:tcW w:w="6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Holders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January 31, 2026, there were 26 registered shareholders of the Company's Class A Common Stock and 242 registered shareholders of the Company's Class B Common Stock. We believe that the number of beneficial owners is substantially greater than the number of record holders because a large portion of our Class A and Class B Common Stock is held in "street name" by brokers. </w:t>
      </w:r>
    </w:p>
    <w:p>
      <w:pPr>
        <w:pStyle w:val="TextBody"/>
        <w:bidi w:val="0"/>
        <w:spacing w:before="0" w:after="0"/>
        <w:ind w:left="0" w:right="0" w:hanging="0"/>
        <w:jc w:val="both"/>
        <w:rPr/>
      </w:pPr>
      <w:r>
        <w:rPr/>
        <w:t> </w:t>
      </w:r>
    </w:p>
    <w:tbl>
      <w:tblPr>
        <w:tblW w:w="860" w:type="dxa"/>
        <w:jc w:val="left"/>
        <w:tblInd w:w="0" w:type="dxa"/>
        <w:tblLayout w:type="fixed"/>
        <w:tblCellMar>
          <w:top w:w="0" w:type="dxa"/>
          <w:left w:w="0" w:type="dxa"/>
          <w:bottom w:w="0" w:type="dxa"/>
          <w:right w:w="0" w:type="dxa"/>
        </w:tblCellMar>
      </w:tblPr>
      <w:tblGrid>
        <w:gridCol w:w="860"/>
      </w:tblGrid>
      <w:tr>
        <w:trPr/>
        <w:tc>
          <w:tcPr>
            <w:tcW w:w="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Dividends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years ended December 31, 2025, 2024 and 2023, the Company declared dividends on a quarterly basis at a rate of $0.06 per Class A share of common stock and $0.07 per Class B share of common stock totaling $3.5 million in each 2025, 2024 and 2023. On January 30, 2026, the Company paid a dividend to all shareholders of record at January 15, 2026 of Class A and Class B Common Stock in the total amount of $0.1 million ($0.06 per share) and $0.7 million ($0.07 per share), respectively. </w:t>
      </w:r>
      <w:r>
        <w:rPr>
          <w:rFonts w:ascii="Times New Roman;Times;serif" w:hAnsi="Times New Roman;Times;serif"/>
          <w:color w:val="000000"/>
          <w:sz w:val="20"/>
        </w:rPr>
        <w:t>On February 17, 2026, Bel's Board of Directors declared a dividend in the amount of $0.06 per Class A common share and $0.07 per Class B common share which is scheduled to be paid on May 1, 2026 to all shareholders of record at April 15, 2026.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no contractual restrictions on the Company's ability to pay dividends provided the Company is not in default under its Credit Agreement immediately before such payment and after giving effect to such payment. Cash dividends are payable to the holders of Class A Common Stock and Class B Common Stock only as and when declared by the Board of Directors. Subject to the foregoing, cash dividends declared on shares of Class B Common Stock in any calendar year cannot be less than 5% higher per share than the annual amount of cash dividends per share declared in such calendar year on shares of Class A Common Stock. No cash dividends may be paid on shares of Class A Common Stock unless, at the same time, cash dividends are paid on shares of Class B Common Stock, subject to the annual 5% provision described above. Cash dividends may be paid at any time or from time to time on shares of Class B Common Stock without corresponding cash dividends being paid on shares of Class A Common Stock. Nevertheless, as in the past, the respective amounts of future dividends, if any, to be declared on each class of Common Stock depends on circumstances existing at the time, including the Company's financial condition, capital requirements, earnings, legally available funds for the payment of dividends and other relevant factors and are declared at the discretion of the Company’s Board of Directors.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2240" w:type="dxa"/>
        <w:jc w:val="left"/>
        <w:tblInd w:w="0" w:type="dxa"/>
        <w:tblLayout w:type="fixed"/>
        <w:tblCellMar>
          <w:top w:w="0" w:type="dxa"/>
          <w:left w:w="0" w:type="dxa"/>
          <w:bottom w:w="0" w:type="dxa"/>
          <w:right w:w="0" w:type="dxa"/>
        </w:tblCellMar>
      </w:tblPr>
      <w:tblGrid>
        <w:gridCol w:w="2240"/>
      </w:tblGrid>
      <w:tr>
        <w:trPr/>
        <w:tc>
          <w:tcPr>
            <w:tcW w:w="22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Performance Graph</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shall not be deemed “filed” for purposes of Section 18 of the Securities Exchange Act of 1934, as amended, or incorporated by reference into any of our other filings under the Securities Exchange Act of 1934, as amended, or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graph shows, for the five years ended December 31, 2025, the cumulative total return on an investment of $100 assumed to have been made on December 31, 2020 in Bel Fuse Inc. Class B common stock. The graph compares this return ("Bel") with that of comparable investments assumed to have been made on the same date in: (a) Russell 2000 Index and (b) a group of companies in our industry, consisting of Nasdaq listed stocks (U.S. and foreign) with SIC codes 3670-3679, Electronic Components &amp; Accessories. Total return for each assumed investment assumes the reinvestment of all dividends on December 31 of the year in which the dividends were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Comparison of 5 Year Cumulative Total Return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Assumes Initial Investment of $100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drawing>
          <wp:inline distT="0" distB="0" distL="0" distR="0">
            <wp:extent cx="2493645" cy="10140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93645" cy="1014095"/>
                    </a:xfrm>
                    <a:prstGeom prst="rect">
                      <a:avLst/>
                    </a:prstGeom>
                  </pic:spPr>
                </pic:pic>
              </a:graphicData>
            </a:graphic>
          </wp:inline>
        </w:drawing>
      </w:r>
    </w:p>
    <w:p>
      <w:pPr>
        <w:pStyle w:val="TextBody"/>
        <w:bidi w:val="0"/>
        <w:spacing w:before="0" w:after="0"/>
        <w:ind w:left="0" w:right="0" w:hanging="0"/>
        <w:jc w:val="center"/>
        <w:rPr/>
      </w:pPr>
      <w:r>
        <w:rPr/>
        <w:t xml:space="preserve">  </w:t>
      </w:r>
    </w:p>
    <w:tbl>
      <w:tblPr>
        <w:tblW w:w="10205" w:type="dxa"/>
        <w:jc w:val="center"/>
        <w:tblInd w:w="0" w:type="dxa"/>
        <w:tblLayout w:type="fixed"/>
        <w:tblCellMar>
          <w:top w:w="0" w:type="dxa"/>
          <w:left w:w="0" w:type="dxa"/>
          <w:bottom w:w="0" w:type="dxa"/>
          <w:right w:w="0" w:type="dxa"/>
        </w:tblCellMar>
      </w:tblPr>
      <w:tblGrid>
        <w:gridCol w:w="4910"/>
        <w:gridCol w:w="125"/>
        <w:gridCol w:w="590"/>
        <w:gridCol w:w="60"/>
        <w:gridCol w:w="170"/>
        <w:gridCol w:w="590"/>
        <w:gridCol w:w="60"/>
        <w:gridCol w:w="60"/>
        <w:gridCol w:w="185"/>
        <w:gridCol w:w="590"/>
        <w:gridCol w:w="60"/>
        <w:gridCol w:w="60"/>
        <w:gridCol w:w="185"/>
        <w:gridCol w:w="590"/>
        <w:gridCol w:w="60"/>
        <w:gridCol w:w="60"/>
        <w:gridCol w:w="185"/>
        <w:gridCol w:w="590"/>
        <w:gridCol w:w="60"/>
        <w:gridCol w:w="60"/>
        <w:gridCol w:w="185"/>
        <w:gridCol w:w="695"/>
        <w:gridCol w:w="75"/>
      </w:tblGrid>
      <w:tr>
        <w:trPr/>
        <w:tc>
          <w:tcPr>
            <w:tcW w:w="4910" w:type="dxa"/>
            <w:tcBorders/>
            <w:vAlign w:val="center"/>
          </w:tcPr>
          <w:p>
            <w:pPr>
              <w:pStyle w:val="TableContents"/>
              <w:bidi w:val="0"/>
              <w:spacing w:before="0" w:after="283"/>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2020</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Bel Fuse Inc.</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r>
              <w:rPr>
                <w:rFonts w:ascii="Times New Roman;Times;serif" w:hAnsi="Times New Roman;Times;serif"/>
                <w:sz w:val="20"/>
              </w:rPr>
              <w:t>$</w:t>
            </w:r>
          </w:p>
        </w:tc>
        <w:tc>
          <w:tcPr>
            <w:tcW w:w="5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1185.10</w:t>
            </w:r>
          </w:p>
        </w:tc>
        <w:tc>
          <w:tcPr>
            <w:tcW w:w="7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Russell 2000 Index</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125.68</w:t>
            </w:r>
          </w:p>
        </w:tc>
        <w:tc>
          <w:tcPr>
            <w:tcW w:w="7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Stocks (SIC 3670-3679 US + Foreign) Electronic Components &amp; Accessories</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21, 2024, the Company’s Board of Directors authorized and the Company publicly announced a $25.0 million share repurchase program (the “Repurchase Program”). The Repurchase Program authorizes the repurchase of up to $25.0 million of shares of outstanding Class A Common Stock and Class B Common Stock. The aggregate $25.0 million available for repurchases under the Repurchase Program has been sub-allocated for purchases of Class A shares and Class B shares in portions of $4.0 million and $21.0 million, respectively, prorated to take into account the number of outstanding shares of each respective class at the time of such authorization. Shares of Common Stock may be repurchased pursuant to the Repurchase Program in open market, privately negotiated or block transactions or otherwise from time to time, depending upon market conditions and other factors, and in accordance with applicable law and regulations. The Repurchase Program has no expiration date. The Repurchase Program does not obligate the Company to repurchase any dollar amount or number of shares, and the Repurchase Program may be suspended or terminated at any time. As of December 31, 2025, the program-to-date repurchases amounted to 26,326 Class A shares at an aggregate purchase price of $1.9 million and 235,821 Class B shares at an aggregate purchase price of $14.1 million. There were no repurchases of our equity securities during the year ended December 31, 2025. Approximately $2.1 million of Class A shares and $6.9 million of Class B shares remain that may yet be purchased under this program.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14" w:name="item6"/>
      <w:bookmarkEnd w:id="14"/>
      <w:r>
        <w:rPr>
          <w:rFonts w:ascii="Times New Roman;Times;serif" w:hAnsi="Times New Roman;Times;serif"/>
          <w:b/>
          <w:sz w:val="20"/>
        </w:rPr>
        <w:t xml:space="preserve">Item 6.   </w:t>
      </w:r>
      <w:r>
        <w:rPr>
          <w:rFonts w:ascii="Times New Roman;Times;serif" w:hAnsi="Times New Roman;Times;serif"/>
          <w:b/>
          <w:i/>
          <w:sz w:val="20"/>
        </w:rPr>
        <w:t>[Reserved]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5" w:name="item7"/>
      <w:bookmarkEnd w:id="15"/>
      <w:r>
        <w:rPr>
          <w:rFonts w:ascii="Times New Roman;Times;serif" w:hAnsi="Times New Roman;Times;serif"/>
          <w:b/>
          <w:sz w:val="20"/>
        </w:rPr>
        <w:t xml:space="preserve">Item 7.   </w:t>
      </w:r>
      <w:r>
        <w:rPr>
          <w:rFonts w:ascii="Times New Roman;Times;serif" w:hAnsi="Times New Roman;Times;serif"/>
          <w:b/>
          <w:i/>
          <w:sz w:val="20"/>
        </w:rPr>
        <w:t>Management's Discussion and Analysis of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information in this Management’s Discussion and Analysis of Financial Condition and Results of Operations (“MD&amp;A") should be read in conjunction with the Company's consolidated financial statements and the notes related thereto. The discussion of results, causes and trends should not be construed to imply any conclusion that such results, causes or trends will necessarily continue in the future. See </w:t>
      </w:r>
      <w:r>
        <w:rPr>
          <w:rFonts w:ascii="Times New Roman;Times;serif" w:hAnsi="Times New Roman;Times;serif"/>
          <w:i/>
          <w:sz w:val="20"/>
        </w:rPr>
        <w:t>"Cautionary Notice Regarding Forward-Looking Information"</w:t>
      </w:r>
      <w:r>
        <w:rPr>
          <w:rFonts w:ascii="Times New Roman;Times;serif" w:hAnsi="Times New Roman;Times;serif"/>
          <w:sz w:val="20"/>
        </w:rPr>
        <w:t xml:space="preserve"> above for further information. Also, when we cross reference to a "Note," we are referring to our "Notes to Consolidated Financial Statements," unless the context indicates otherwise. All amounts and percentages are approximate due to rounding.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Company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design, manufacture and market a broad array of products that power, protect and connect electronic circuits. These products are primarily used in the defense, commercial aerospace, networking, telecommunications, computing, general industrial, high-speed data transmission, transportation and eMobility industries. Bel's portfolio of products also finds application in the automotive, medical, broadcasting and consumer electronics markets.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through three product group segments. In 2025, 53% of the Company's revenues were derived from Power Solutions and Protection, 34% from Connectivity Solutions and 13% from our Magnetic Solutions operating segment.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operating expenses are driven principally by the cost of labor where the factories that Bel uses are located, the cost of the materials that we use and our ability to effectively and efficiently manage overhead costs. As labor and material costs vary by product line and region, any significant shift in product mix can have an associated impact on our costs of sales. Costs are recorded as incurred for all products manufactured. Such amounts are determined based upon the estimated stage of production and include labor cost and fringes and related allocations of factory overhead. Our products are manufactured at various facilities in the U.S., Mexico, Israel, India, the Dominican Republic, the United Kingdom, Slovakia and the PRC.</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little visibility into the ordering habits of our customers and we can be subjected to large and unpredictable variations in demand for our products. Accordingly, we must continually recruit and train new workers to replace those lost to attrition and be able to address peaks in demand that may occur from time to time. These recruiting and training efforts and related inefficiencies, and overtime required to meet any increase in demand, can add volatility to the labor costs incurred by us.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Key Factors Affecting our Business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believes the key factors affecting Bel's 2025 and/or future results include the following: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Acquisition of Enercon</w:t>
            </w:r>
            <w:r>
              <w:rPr>
                <w:rFonts w:ascii="Times New Roman;Times;serif" w:hAnsi="Times New Roman;Times;serif"/>
                <w:sz w:val="20"/>
              </w:rPr>
              <w:t xml:space="preserve"> - In November 2024, Bel acquired an 80% stake in Enercon. As a result, we benefited from a full year of Enercon's sales in 2025 within our Power Solutions and Protection segment. Enercon is a leading supplier of highly customized power conversion and networking solutions to aerospace and defense markets globally, providing robust and reliable solutions across air, land and sea applications, and its sales and results of operations may vary depending on government spending on defense. Enercon's sales have been reflected in the accompanying consolidated statements of operations since November 1, 2024 and amounted to $136.6 million during the year ended December 31, 2025 and $20.8 million during the year ended December 31, 2024.</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Backlog</w:t>
            </w:r>
            <w:r>
              <w:rPr>
                <w:rFonts w:ascii="Times New Roman;Times;serif" w:hAnsi="Times New Roman;Times;serif"/>
                <w:sz w:val="20"/>
              </w:rPr>
              <w:t> – Our backlog of orders totaled $439.1 million at December 31, 2025, representing an increase of $57.5 million, or 15.1%, from December 31, 2024. From 2024 to the 2025 year-end, the backlog for our Power Solutions and Protection products increased by 9.4%, due to an increase in demand within the defense and networking end markets. Our Magnetic Solutions backlog increased by 52.3%, primarily due to increased order volume from a large networking customer. The backlog for our Connectivity Solutions products increased by $21.5 million (19.4%) in 2025 from the 2024 level, due to increased demand from our commercial aerospace and industrial customers, and strength seen in defense applications through the distribution channel.</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Product Mix</w:t>
            </w:r>
            <w:r>
              <w:rPr>
                <w:rFonts w:ascii="Times New Roman;Times;serif" w:hAnsi="Times New Roman;Times;serif"/>
                <w:sz w:val="20"/>
              </w:rPr>
              <w:t xml:space="preserve"> – Material and labor costs vary by product line and any significant shift in product mix between higher- and lower-margin product lines will have a corresponding impact on the Company’s gross margin percentage. In general, our Connectivity products have historically had the highest contribution margins due to the harsh environment, high-reliability end applications for these products. Our Power products have a higher-cost bill of materials and are impacted to a greater extent by changes in material costs. As our Magnetic Solutions products are more labor-intensive, margins on these products are impacted to a greater extent by minimum- and market-based wage increases in the PRC and fluctuations in foreign exchange rates between the U.S. dollar and the Chinese renminbi. Fluctuations in sales volume among our product groups will have a corresponding impact on Bel's profit margins. See Note 14, </w:t>
            </w:r>
            <w:r>
              <w:rPr>
                <w:rFonts w:ascii="Times New Roman;Times;serif" w:hAnsi="Times New Roman;Times;serif"/>
                <w:i/>
                <w:sz w:val="20"/>
              </w:rPr>
              <w:t>"Segments"</w:t>
            </w:r>
            <w:r>
              <w:rPr>
                <w:rFonts w:ascii="Times New Roman;Times;serif" w:hAnsi="Times New Roman;Times;serif"/>
                <w:sz w:val="20"/>
              </w:rPr>
              <w:t xml:space="preserve"> for profit margin information by product group.</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w:t>
            </w:r>
            <w:r>
              <w:rPr>
                <w:rFonts w:ascii="Times New Roman;Times;serif" w:hAnsi="Times New Roman;Times;serif"/>
                <w:sz w:val="20"/>
                <w:u w:val="single"/>
                <w:shd w:fill="FFFFFF" w:val="clear"/>
              </w:rPr>
              <w:t>ricing and Availability of Materials</w:t>
            </w:r>
            <w:r>
              <w:rPr>
                <w:rFonts w:ascii="Times New Roman;Times;serif" w:hAnsi="Times New Roman;Times;serif"/>
                <w:sz w:val="20"/>
                <w:shd w:fill="FFFFFF" w:val="clear"/>
              </w:rPr>
              <w:t> </w:t>
            </w:r>
            <w:r>
              <w:rPr>
                <w:rFonts w:ascii="Times New Roman;Times;serif" w:hAnsi="Times New Roman;Times;serif"/>
                <w:sz w:val="20"/>
              </w:rPr>
              <w:t xml:space="preserve">– Pricing for commodities with Gold (Au), Silver (Ag), and Copper (Cu), is increasing as cost of these metals continue rise to historical highs. Lead-times for certain integrated circuits (ICs) have increased we believe primarily driven by AI and the infrastructure necessary to support this technology. Regulatory changes including but not limited to trade restrictions affecting suppliers in the PRC have previously and could in future disrupt our supply chain, leading to limited access to certain parts and suppliers, increased costs, shortages, or other adverse impacts on our business and operating results. Additionally, tariffs imposed by the U.S. or foreign governments on imports and exports could result in reduced margins or increased prices, potentially decreasing customer demand. The preceding discussion about pricing and availability of materials contains Forward-Looking Statements. See </w:t>
            </w:r>
            <w:r>
              <w:rPr>
                <w:rFonts w:ascii="Times New Roman;Times;serif" w:hAnsi="Times New Roman;Times;serif"/>
                <w:i/>
                <w:sz w:val="20"/>
              </w:rPr>
              <w:t>"Cautionary Notice Regarding Forward-Looking Information."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pPr>
            <w:r>
              <w:rPr/>
              <w:t xml:space="preserve">● </w:t>
            </w:r>
          </w:p>
        </w:tc>
        <w:tc>
          <w:tcPr>
            <w:tcW w:w="99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Global Tariffs</w:t>
            </w:r>
            <w:r>
              <w:rPr>
                <w:rFonts w:ascii="Times New Roman;Times;serif" w:hAnsi="Times New Roman;Times;serif"/>
                <w:sz w:val="20"/>
              </w:rPr>
              <w:t xml:space="preserve"> – On April 5, 2025, the Trump Administration enacted reciprocal tariffs on U.S. imports from a number of countries in which Bel’s manufacturing sites and/or suppliers are located. To the extent all of these new tariffs were applicable and in force, based on information available and our sales patterns as of February 2025, our most recent estimates indicated that</w:t>
            </w:r>
            <w:r>
              <w:rPr>
                <w:rFonts w:ascii="Times New Roman;Times;serif" w:hAnsi="Times New Roman;Times;serif"/>
                <w:color w:val="000000"/>
                <w:sz w:val="20"/>
              </w:rPr>
              <w:t xml:space="preserve"> approximately 25% of our consolidated global sales </w:t>
            </w:r>
            <w:r>
              <w:rPr>
                <w:rFonts w:ascii="Times New Roman;Times;serif" w:hAnsi="Times New Roman;Times;serif"/>
                <w:sz w:val="20"/>
              </w:rPr>
              <w:t>had been subject to these recently-enacted U.S. tariffs. On February 20, 2026, the Supreme Court of the United States issued its decision in Learning Resources, Inc. v. Trump, striking down tariffs previously enacted by the Administration under the International Emergency Economic Powers Act (“IEEPA”) as invalid, and holding that IEEPA does not authorize the President to impose tariffs. However, the full impact and implications of the Court’s decision are not immediately clear amidst the rapidly-evolving regulatory landscape and the arena of international trade, and there remains great uncertainty as to what responses will emerge in light of the Court’s decision, including with respect to tariffs, international trade agreements, and international trade generally; Congress has the authority to codify tariffs in statute, and the Administration could act to impose duties or alternative tariffs under authority delegated by other laws. Please see Part I, Item IA, “Risk Factors, above, for additional information.</w:t>
            </w:r>
            <w:r>
              <w:rPr>
                <w:rFonts w:ascii="Times New Roman;Times;serif" w:hAnsi="Times New Roman;Times;serif"/>
                <w:color w:val="000000"/>
                <w:sz w:val="20"/>
              </w:rPr>
              <w:t> Im</w:t>
            </w:r>
            <w:r>
              <w:rPr>
                <w:rFonts w:ascii="Times New Roman;Times;serif" w:hAnsi="Times New Roman;Times;serif"/>
                <w:sz w:val="20"/>
              </w:rPr>
              <w:t>ports into the U.S. from Mexico are currently exempt from tariffs as our products fall within the scope of the USMCA as presently in force. While global tariffs did not have a material financial impact on our full year 2025 financial results, we continue to closely monitor the evolving tariff landscape and are assessing possible alternatives aimed at potentially mitigating the impact of tariffs on Bel and our customers. The imposition of tariffs on our U.S. imports could result in reduced demand for our products and/or higher material costs. Our future sales and/or gross margins could be impacted as a result. The preceding discussion of “</w:t>
            </w:r>
            <w:r>
              <w:rPr>
                <w:rFonts w:ascii="Times New Roman;Times;serif" w:hAnsi="Times New Roman;Times;serif"/>
                <w:i/>
                <w:sz w:val="20"/>
              </w:rPr>
              <w:t>Global Tariffs</w:t>
            </w:r>
            <w:r>
              <w:rPr>
                <w:rFonts w:ascii="Times New Roman;Times;serif" w:hAnsi="Times New Roman;Times;serif"/>
                <w:sz w:val="20"/>
              </w:rPr>
              <w:t>” contains Forward-Looking Statements, including statements about the possible effects and impacts of tariffs, and statements about our present plans and intentions in connection therewith or in response thereto. See "</w:t>
            </w:r>
            <w:r>
              <w:rPr>
                <w:rFonts w:ascii="Times New Roman;Times;serif" w:hAnsi="Times New Roman;Times;serif"/>
                <w:i/>
                <w:sz w:val="20"/>
              </w:rPr>
              <w:t>Cautionary Notice Regarding Forward-Looking Information</w:t>
            </w:r>
            <w:r>
              <w:rPr>
                <w:rFonts w:ascii="Times New Roman;Times;serif" w:hAnsi="Times New Roman;Times;serif"/>
                <w:sz w:val="20"/>
              </w:rPr>
              <w:t>."</w:t>
            </w:r>
          </w:p>
          <w:p>
            <w:pPr>
              <w:pStyle w:val="TableContents"/>
              <w:bidi w:val="0"/>
              <w:spacing w:before="0" w:after="0"/>
              <w:ind w:left="0" w:right="0" w:hanging="0"/>
              <w:jc w:val="both"/>
              <w:rPr/>
            </w:pPr>
            <w:r>
              <w:rPr/>
              <w:t>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Labor Costs</w:t>
            </w:r>
            <w:r>
              <w:rPr>
                <w:rFonts w:ascii="Times New Roman" w:hAnsi="Times New Roman"/>
                <w:sz w:val="20"/>
              </w:rPr>
              <w:t xml:space="preserve"> – Labor costs as a percentage of sales were relatively stable from 2025 to 2024, decreasing just slightly to 7.7% of sales in 2025 from 7.8% of sales in 2024. During 2025, minimum wage increases were enacted in Slovakia, the PRC, the Dominican Republic, and Mexico, which increased our annual labor costs by approximately $1.8 million in the aggregate. While the impact of these increases has been partially mitigated by higher consolidated revenues to date, these and any future wage increases are expected to exert upward pressure on labor costs and adversely affect profit margins. Labor costs as a percentage of sales fluctuate based on product mix. Sales in our Magnetic Solutions segment are comprised largely of labor-intensive ICM products, resulting in greater sensitivity to labor cost changes. Labor costs in the PRC, Mexico, and Israel are primarily denominated in local currencies. Accordingly, significant fluctuations in exchange rates versus the U.S. dollar may materially impact our labor costs. By segment, the Magnetic Solutions segment is most exposed to fluctuations in the exchange rate of the Chinese renminbi relative to the U.S. dollar; the Connectivity Solutions segment is most exposed to fluctuations in the exchange rate of the Mexican peso relative to the U.S. dollar; and the Power Solutions and Protection segment is most exposed to fluctuations in the exchange rates of the Chinese renminbi and the Israeli shekel relative to the U.S. dollar. In addition to foreign currency exchange rate exposure, our labor costs are subject to government-regulated minimum wage increases in the countries in which we operate. The preceding discussion about labor costs contains Forward-Looking Statements. See </w:t>
            </w:r>
            <w:r>
              <w:rPr>
                <w:rFonts w:ascii="Times New Roman" w:hAnsi="Times New Roman"/>
                <w:i/>
                <w:sz w:val="20"/>
              </w:rPr>
              <w:t>"Cautionary Notice Regarding Forward-Looking Information."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Inflationary Pressures</w:t>
            </w:r>
            <w:r>
              <w:rPr>
                <w:rFonts w:ascii="Times New Roman" w:hAnsi="Times New Roman"/>
                <w:sz w:val="20"/>
              </w:rPr>
              <w:t xml:space="preserve"> – Inflationary pressures could result in higher input costs, including those related to our raw materials, labor, freight, utilities, healthcare and other expenses. Our future operating results will depend, in part, on our continued ability to manage these fluctuations through pricing actions, cost savings initiatives and sourcing decisions. The preceding two sentences represent Forward-Looking Statements. See </w:t>
            </w:r>
            <w:r>
              <w:rPr>
                <w:rFonts w:ascii="Times New Roman" w:hAnsi="Times New Roman"/>
                <w:i/>
                <w:sz w:val="20"/>
              </w:rPr>
              <w:t>"Cautionary Notice Regarding Forward-Looking Information."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Restructuring</w:t>
            </w:r>
            <w:r>
              <w:rPr>
                <w:rFonts w:ascii="Times New Roman" w:hAnsi="Times New Roman"/>
                <w:sz w:val="20"/>
              </w:rPr>
              <w:t xml:space="preserve"> – In late 2025, we initiated a restructuring initiative within our Magnetic segment related to the transition of manufacturing from Bel's Pingguo, PRC facility to an outside subcontractor (the "Pingguo initiative"). In connection with the Pingguo initiative, we incurred $1.6 million of restructuring costs during the year ended December 31, 2025. We will continue to review our operations to optimize our business, which may result in restructuring costs being recognized in future periods. The preceding statements about restructuring initiatives contain Forward-Looking Statements. See </w:t>
            </w:r>
            <w:r>
              <w:rPr>
                <w:rFonts w:ascii="Times New Roman" w:hAnsi="Times New Roman"/>
                <w:i/>
                <w:sz w:val="20"/>
              </w:rPr>
              <w:t>"Cautionary Notice Regarding Forward-Looking Information."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Impact of Foreign Currency</w:t>
            </w:r>
            <w:r>
              <w:rPr>
                <w:rFonts w:ascii="Times New Roman" w:hAnsi="Times New Roman"/>
                <w:sz w:val="20"/>
              </w:rPr>
              <w:t> – During 2025, labor and overhead costs increased by $1.3 million compared to 2024, primarily due to unfavorable foreign exchange movements involving the Israeli shekel, Euro, and Chinese renminbi. These increases were partially offset by favorable fluctuations in the Mexican peso and Indian rupee relative to the prior year period. As further detailed in the section titled "</w:t>
            </w:r>
            <w:r>
              <w:rPr>
                <w:rFonts w:ascii="Times New Roman" w:hAnsi="Times New Roman"/>
                <w:i/>
                <w:sz w:val="20"/>
              </w:rPr>
              <w:t>Inflation and Foreign Currency Exchange,</w:t>
            </w:r>
            <w:r>
              <w:rPr>
                <w:rFonts w:ascii="Times New Roman" w:hAnsi="Times New Roman"/>
                <w:sz w:val="20"/>
              </w:rPr>
              <w:t xml:space="preserve">" the Company recognized a foreign exchange revaluation gain of $10.1 million in 2025. This gain was primarily attributable to fluctuations in spot rates of certain currencies when translating balance sheet accounts at December 31, 2025, compared to December 31, 2024. As a U.S.-domiciled company, Bel translates its foreign currency-denominated financial results into U.S. dollars. Changes in the value of foreign currencies relative to the U.S. dollar, including the revaluation of certain intercompany and third-party transactions, may result in either favorable or unfavorable impacts to our consolidated statements of operations and cash flows. In 2025, the Company experienced unfavorable transactional foreign exchange impacts due to the appreciation of the Israeli shekel, Euro, and Chinese renminbi against the U.S. dollar. These impacts were partially offset by the depreciation of the Mexican peso against the U.S. dollar, compared to exchange rates in effect during 2024. Bel maintains significant manufacturing operations in the PRC, Slovakia, Mexico, and Israel, where labor and overhead costs are denominated in local currencies. As a result, the U.S. dollar equivalent costs of these operations were approximately $1.9 million higher in Israel, $0.5 million higher in Europe, and $0.1 million higher in the PRC, offset by $1.1 million lower costs in Mexico in 2025 versus 2024. The Company actively monitors changes in foreign currency exchange rates and has historically utilized foreign currency forward contracts. Bel may continue to implement additional hedging strategies and pricing actions to mitigate the impact of currency fluctuations on its consolidated operating results. The preceding sentence represents a Forward-Looking Statement.  See </w:t>
            </w:r>
            <w:r>
              <w:rPr>
                <w:rFonts w:ascii="Times New Roman" w:hAnsi="Times New Roman"/>
                <w:i/>
                <w:sz w:val="20"/>
              </w:rPr>
              <w:t>"Cautionary Notice Regarding Forward-Looking Information."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u w:val="single"/>
              </w:rPr>
              <w:t>Effective Tax Rate</w:t>
            </w:r>
            <w:r>
              <w:rPr>
                <w:rFonts w:ascii="Times New Roman" w:hAnsi="Times New Roman"/>
                <w:sz w:val="20"/>
              </w:rPr>
              <w:t xml:space="preserve"> – </w:t>
            </w:r>
            <w:r>
              <w:rPr>
                <w:rFonts w:ascii="Times New Roman" w:hAnsi="Times New Roman"/>
                <w:sz w:val="20"/>
                <w:shd w:fill="FFFFFF" w:val="clear"/>
              </w:rPr>
              <w:t>The Company's effective tax rate will fluctuate based on the geographic region in which the pretax profits are earned. Of the jurisdictions in which the Company operates, t</w:t>
            </w:r>
            <w:r>
              <w:rPr>
                <w:rFonts w:ascii="Times New Roman" w:hAnsi="Times New Roman"/>
                <w:sz w:val="20"/>
              </w:rPr>
              <w:t>he U.S. and Europe's tax rates are generally equivalent; and Asia has the lowest tax rates of the Company's three geographic regions. See Note 10, </w:t>
            </w:r>
            <w:r>
              <w:rPr>
                <w:rFonts w:ascii="Times New Roman" w:hAnsi="Times New Roman"/>
                <w:i/>
                <w:sz w:val="20"/>
              </w:rPr>
              <w:t>"Income Taxes",</w:t>
            </w:r>
            <w:r>
              <w:rPr>
                <w:rFonts w:ascii="Times New Roman" w:hAnsi="Times New Roman"/>
                <w:sz w:val="20"/>
              </w:rPr>
              <w:t xml:space="preserve"> to the Company's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Results of Operations - Summary by Operating Segment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Net Sales and Gross Margin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net sales and gross margin by major product line for the years ended December 31, 2025, 2024 and 2023 were as follows (dollars in thousands):</w:t>
      </w:r>
    </w:p>
    <w:p>
      <w:pPr>
        <w:pStyle w:val="TextBody"/>
        <w:bidi w:val="0"/>
        <w:spacing w:before="0" w:after="0"/>
        <w:ind w:left="0" w:right="0" w:hanging="0"/>
        <w:jc w:val="left"/>
        <w:rPr/>
      </w:pPr>
      <w:r>
        <w:rPr/>
        <w:t> </w:t>
      </w:r>
    </w:p>
    <w:tbl>
      <w:tblPr>
        <w:tblW w:w="7415" w:type="dxa"/>
        <w:jc w:val="left"/>
        <w:tblInd w:w="0" w:type="dxa"/>
        <w:tblLayout w:type="fixed"/>
        <w:tblCellMar>
          <w:top w:w="0" w:type="dxa"/>
          <w:left w:w="0" w:type="dxa"/>
          <w:bottom w:w="0" w:type="dxa"/>
          <w:right w:w="0" w:type="dxa"/>
        </w:tblCellMar>
      </w:tblPr>
      <w:tblGrid>
        <w:gridCol w:w="2540"/>
        <w:gridCol w:w="60"/>
        <w:gridCol w:w="125"/>
        <w:gridCol w:w="695"/>
        <w:gridCol w:w="60"/>
        <w:gridCol w:w="60"/>
        <w:gridCol w:w="125"/>
        <w:gridCol w:w="695"/>
        <w:gridCol w:w="60"/>
        <w:gridCol w:w="60"/>
        <w:gridCol w:w="125"/>
        <w:gridCol w:w="695"/>
        <w:gridCol w:w="60"/>
        <w:gridCol w:w="60"/>
        <w:gridCol w:w="60"/>
        <w:gridCol w:w="380"/>
        <w:gridCol w:w="185"/>
        <w:gridCol w:w="60"/>
        <w:gridCol w:w="60"/>
        <w:gridCol w:w="380"/>
        <w:gridCol w:w="185"/>
        <w:gridCol w:w="60"/>
        <w:gridCol w:w="60"/>
        <w:gridCol w:w="380"/>
        <w:gridCol w:w="185"/>
      </w:tblGrid>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3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 Ended</w:t>
            </w:r>
          </w:p>
        </w:tc>
        <w:tc>
          <w:tcPr>
            <w:tcW w:w="185"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3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185" w:type="dxa"/>
            <w:tcBorders/>
            <w:shd w:fill="FFFF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Power solutions and protection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Connectivity solutions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Magnetic solutions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2025 as Compared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Power Solutions and Protection: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Power Solutions and Protection products increased by $111.3 million (45.3%) in 2025 compared to 2024. This growth was primarily attributable to strong demand in aerospace and defense applications, which contributed $136.6 million of incremental revenue in 2025. These sectors represent a new end market for Bel’s Power segment, introduced through the acquisition of Enercon in November 2024. Additional contributors to revenue growth included an $18.3 million (32.9%) increase in sales of front-end power products, driven by heightened demand in networking and datacenter applications. Further sales of Fuse products increased by $5.6 million (32.5%). These gains were partially offset by declines in other end markets, including a $9.9 million (23.6%) reduction in sales to the rail market, an $8.5 million (17.9%) decrease in sales to other industrial applications, and a $6.3 million (41.6%) decrease in the eMobility market in 2025 compared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for the Power segment improved slightly in 2025 compared to 2024, reflecting 42.7% of segment sales for 2025, representing an increase of 30bps compared to 2024. The improvement in gross margin was primarily driven by increased sales volume and a favorable product mix resulting from the Enercon acquisition. The shift in product mix toward higher-margin aerospace and defense applications contributed positively to overall profitability for the segment.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Connectivity Solutions: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Connectivity Solutions products increased by $11.9 million (5.4%) in 2025 compared to 2024. This growth was primarily driven by a significant increase in sales to the commercial aerospace end market, which rose by $13.5 million (23.7%) year-over-year. Sales to the military end market also contributed positively, increasing by $4.7 million (10.1%) in 2025 compared to 2024. These gains were partially offset by a $2.3 million (3.1%) decrease in the volume of Connectivity Solutions products sold through distribution channels, as well as a $1.3 million (8.7%) reduction in sales of passive connector and cabling products used in the industrial premise wiring and 5G/IoT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for the Connectivity Solutions segment improved in 2025 to 38.7% of segment sales, representing an increase of 160 bps compared to 2024. The improvement in gross margin was primarily attributable to an enhanced product mix, favorable exchange rate fluctuations between the U.S. dollar and Mexican peso, and operational efficiencies resulting from facility consolidations completed in 2024. These benefits were partially offset by higher wage rates in Mexico.</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Magnetic Solutions: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of our Magnetic Solutions products increased by $17.5 million (25.4%) during 2025 as compared to 2024. This growth was primarily driven by higher demand from networking customers. Gross margin improvements for this product group during 2025 were supported by higher sales, recent facility consolidations in the PRC, and effective cost management, partially offset by unfavorable exchange rates between the Chinese renminbi and the U.S. dollar.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2024 as Compared to 2023</w:t>
      </w:r>
    </w:p>
    <w:p>
      <w:pPr>
        <w:pStyle w:val="TextBody"/>
        <w:bidi w:val="0"/>
        <w:spacing w:before="0" w:after="0"/>
        <w:ind w:left="0" w:right="0" w:hanging="0"/>
        <w:jc w:val="both"/>
        <w:rPr/>
      </w:pPr>
      <w:r>
        <w:rPr/>
        <w:t> </w:t>
      </w:r>
    </w:p>
    <w:p>
      <w:pPr>
        <w:pStyle w:val="TextBody"/>
        <w:bidi w:val="0"/>
        <w:jc w:val="left"/>
        <w:rPr>
          <w:rFonts w:ascii="Times New Roman;Times;serif" w:hAnsi="Times New Roman;Times;serif"/>
          <w:sz w:val="20"/>
        </w:rPr>
      </w:pPr>
      <w:r>
        <w:rPr>
          <w:rFonts w:ascii="Times New Roman;Times;serif" w:hAnsi="Times New Roman;Times;serif"/>
          <w:i/>
          <w:sz w:val="20"/>
        </w:rPr>
        <w:t>Power Solutions and Protection:</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Sales of our Power Solutions and Protection products were lower by $68.6 million (21.8%) in 2024 as compared to 2023. This decrease was primarily due to lower sales of our front-end power products and board mount power products of $45.3 million and $9.5 million, respectively, both of which are used in networking and datacenter applications. Sales of our CUI products were down by $21.2 million in 2024 as compared to 2023 due to the loss of sales in connection with a trade restriction placed on one of our suppliers in the PRC. Further, sales of product into the eMobility end market decreased by $12.9 million as compared to 2023. These decreases were offset in part by an increase in sales of our rail products by $11.8 million as compared to 2023. Raw material expedite fee revenue for this segment totaled $0.1 million in 2024 as compared to $14.9 million in 2023. Enercon contributed $20.8 million of military, aerospace and defense applications sales in the last two months of 2024. Gross margin improved in 2024 as compared to 2023 as a result of the Enercon acquisition, favorable exchange rates with the Chinese renminbi versus the U.S. dollar, a lower volume of low-margin expedite fees and a favorable shift in product mix.  </w:t>
      </w:r>
    </w:p>
    <w:p>
      <w:pPr>
        <w:pStyle w:val="TextBody"/>
        <w:bidi w:val="0"/>
        <w:spacing w:before="0" w:after="0"/>
        <w:ind w:left="0" w:right="0" w:hanging="0"/>
        <w:jc w:val="left"/>
        <w:rPr/>
      </w:pPr>
      <w:r>
        <w:rPr/>
        <w:t> </w:t>
      </w:r>
    </w:p>
    <w:p>
      <w:pPr>
        <w:pStyle w:val="TextBody"/>
        <w:bidi w:val="0"/>
        <w:jc w:val="left"/>
        <w:rPr>
          <w:rFonts w:ascii="Times New Roman;Times;serif" w:hAnsi="Times New Roman;Times;serif"/>
          <w:sz w:val="20"/>
        </w:rPr>
      </w:pPr>
      <w:r>
        <w:rPr>
          <w:rFonts w:ascii="Times New Roman;Times;serif" w:hAnsi="Times New Roman;Times;serif"/>
          <w:i/>
          <w:sz w:val="20"/>
        </w:rPr>
        <w:t>Connectivity Solutions: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Sales of our Connectivity Solutions products increased by $9.8 million (4.7%) in 2024 as compared to 2023. This increase was primarily due to an increase in sales into the commercial aerospace end market of $3.6 million (6.8%) in 2024 as compared to 2023. Sales into our military end market also grew by $2.3 million (5.2%) in 2024 as compared to 2023. We also experienced an increased volume of Connectivity Solutions products sold through our distribution channels in 2024 of $2.3 million (2.9%) compared to 2023. Gross margin for 2024 was favorably impacted by pricing actions on certain contract renewals, operational efficiencies from the facility consolidations completed in 2023 and a favorable fluctuation in exchange rates between the U.S. dollar and Mexican peso in 2024 versus 2023. These factors were partially offset by higher wage rates in Mexico in 2024 as compared to 2023.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Magnetic Solutions: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of our Magnetic Solutions products declined by $46.3 million (40.2%) during 2024 as compared to 2023. Reduced demand for our ICM products from our networking customers and through our distribution channels was the primary driver as we believe these customers continue to work through inventory on hand. Recent facility consolidations in the PRC, diligent cost management, product mix and a favorable exchange rate with the Chinese renminbi versus the U.S. dollar, were the primary drivers of gross margin expansion for this product group in 2024 as compared with 2023, despite the decline in revenue.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Cost of Sales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sales as a percentage of net sales for the years ended December 31, 2025, 2024 and 2023 consisted of the following:</w:t>
      </w:r>
    </w:p>
    <w:p>
      <w:pPr>
        <w:pStyle w:val="TextBody"/>
        <w:bidi w:val="0"/>
        <w:spacing w:before="0" w:after="0"/>
        <w:ind w:left="0" w:right="0" w:hanging="0"/>
        <w:jc w:val="left"/>
        <w:rPr/>
      </w:pPr>
      <w:r>
        <w:rPr/>
        <w:t> </w:t>
      </w:r>
    </w:p>
    <w:tbl>
      <w:tblPr>
        <w:tblW w:w="3530" w:type="dxa"/>
        <w:jc w:val="left"/>
        <w:tblInd w:w="0" w:type="dxa"/>
        <w:tblLayout w:type="fixed"/>
        <w:tblCellMar>
          <w:top w:w="0" w:type="dxa"/>
          <w:left w:w="0" w:type="dxa"/>
          <w:bottom w:w="0" w:type="dxa"/>
          <w:right w:w="0" w:type="dxa"/>
        </w:tblCellMar>
      </w:tblPr>
      <w:tblGrid>
        <w:gridCol w:w="1475"/>
        <w:gridCol w:w="60"/>
        <w:gridCol w:w="60"/>
        <w:gridCol w:w="380"/>
        <w:gridCol w:w="185"/>
        <w:gridCol w:w="60"/>
        <w:gridCol w:w="60"/>
        <w:gridCol w:w="380"/>
        <w:gridCol w:w="185"/>
        <w:gridCol w:w="60"/>
        <w:gridCol w:w="60"/>
        <w:gridCol w:w="380"/>
        <w:gridCol w:w="185"/>
      </w:tblGrid>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 Ended</w:t>
            </w:r>
          </w:p>
        </w:tc>
        <w:tc>
          <w:tcPr>
            <w:tcW w:w="185" w:type="dxa"/>
            <w:tcBorders/>
            <w:shd w:fill="FFFF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sz w:val="20"/>
        </w:rPr>
      </w:pPr>
      <w:r>
        <w:rPr>
          <w:rFonts w:ascii="Times New Roman;Times;serif" w:hAnsi="Times New Roman;Times;serif"/>
          <w:sz w:val="20"/>
          <w:u w:val="single"/>
        </w:rPr>
        <w:t>2025 as Compared to 2024</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Material costs as a percentage of sales increased in 2025 compared to 2024, primarily due to a shift in production mix driven by higher sales of Power products, which typically have greater material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Labor costs as a percentage of sales declined slightly for full year 2025, relative to 2024. This decrease reflects increased sales and favorable exchange rate fluctuations in the Mexican peso versus the U.S. dollar, partially offset by higher minimum wage rates and unfavorable exchange rate fluctuations in the Israeli shekel versus the U.S.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expenses, including fixed costs such as support labor and benefits, depreciation and amortization, and facility costs (rent, utilities, insurance), remained relatively stable from a dollar amount perspective, aside from the inclusion of Enercon’s overhead expenses in 2025. However, as a percentage of sales, these expenses decreased in 2025 compared to 2024, benefiting from higher sales volumes during the year.</w:t>
      </w:r>
    </w:p>
    <w:p>
      <w:pPr>
        <w:pStyle w:val="TextBody"/>
        <w:bidi w:val="0"/>
        <w:jc w:val="both"/>
        <w:rPr/>
      </w:pPr>
      <w:r>
        <w:rPr/>
        <w:t xml:space="preserve">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2024 as Compared to 2023</w:t>
      </w:r>
    </w:p>
    <w:p>
      <w:pPr>
        <w:pStyle w:val="TextBody"/>
        <w:bidi w:val="0"/>
        <w:spacing w:before="0" w:after="0"/>
        <w:ind w:left="0" w:right="0" w:hanging="0"/>
        <w:jc w:val="left"/>
        <w:rPr/>
      </w:pPr>
      <w:r>
        <w:rPr/>
        <w:t> </w:t>
      </w:r>
    </w:p>
    <w:p>
      <w:pPr>
        <w:pStyle w:val="TextBody"/>
        <w:bidi w:val="0"/>
        <w:spacing w:before="0" w:after="0"/>
        <w:jc w:val="both"/>
        <w:rPr>
          <w:rFonts w:ascii="Times New Roman;Times;serif" w:hAnsi="Times New Roman;Times;serif"/>
        </w:rPr>
      </w:pPr>
      <w:r>
        <w:rPr>
          <w:rFonts w:ascii="Times New Roman;Times;serif" w:hAnsi="Times New Roman;Times;serif"/>
        </w:rPr>
        <w:t xml:space="preserve">Material costs as a percentage of sales during 2024 were lower compared to 2023, due to a shift in product mix, the stabilization of raw material pricing, shorter lead times, and better procurement efforts. Labor costs in 2024 as a percentage of sales increased compared to 2023 due to lower sales volume, a shift in product mix in 2024 compared to the previous year, and the increase in statutory minimum wage rate in Mexico. This increase in labor cost was partially offset by lower labor costs in the PRC due to the favorable fluctuation in the Chinese renminbi exchange rate versus the U.S. dollar. </w:t>
      </w:r>
    </w:p>
    <w:p>
      <w:pPr>
        <w:pStyle w:val="TextBody"/>
        <w:bidi w:val="0"/>
        <w:spacing w:before="0" w:after="0"/>
        <w:jc w:val="both"/>
        <w:rPr/>
      </w:pPr>
      <w:r>
        <w:rPr/>
        <w:t xml:space="preserve">  </w:t>
      </w:r>
    </w:p>
    <w:p>
      <w:pPr>
        <w:pStyle w:val="TextBody"/>
        <w:bidi w:val="0"/>
        <w:jc w:val="both"/>
        <w:rPr>
          <w:rFonts w:ascii="Times New Roman;Times;serif" w:hAnsi="Times New Roman;Times;serif"/>
        </w:rPr>
      </w:pPr>
      <w:r>
        <w:rPr>
          <w:rFonts w:ascii="Times New Roman;Times;serif" w:hAnsi="Times New Roman;Times;serif"/>
        </w:rPr>
        <w:t xml:space="preserve">The other expenses noted in the table above include fixed cost items such as support labor and fringe, depreciation and amortization, and facility costs (i.e. rent, utilities, insurance). In total, these other expenses within cost of sales decreased by $1.5 million in 2024 as compared to 2023. As a percentage of sales, other expenses increased due to the lower sales volume in 2024 as compared to 2023.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Research and Development ("R&amp;D")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R&amp;D expenses were $30.9 million, $23.6 million and $22.5 million for the years ended December 31, 2025, 2024 and 2023, respectively. The increase in R&amp;D expenses in 2025 compared to 2024 was primarily due to the inclusion of a full year of Enercon-related salaries, benefits, product development costs, and other R&amp;D expenses, whereas 2024 reflected only two months of Enercon’s R&amp;D activity following its November 2024 acquisition. The increase noted in R&amp;D expenses during 2024 compared to 2023 is largely due to higher salaries, benefits, and product development costs and R&amp;D expense resulting from the November 2024 Enercon acquisition, which have been included in Bel's results since its acquisition date.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Selling, General and Administrative Expenses ("SG&amp;A")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2025 as Compared to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SG&amp;A expenses were $125.8 million in 2025, compared to $110.6 million in 2024. The increase was primarily due to the incremental increase in Enercon’s SG&amp;A expense by $20.8 million in 2025, versus inclusion of only two months of Enercon SG&amp;A activity in 2024 after its acquisition. Excluding Enercon, legacy Bel SG&amp;A expenses declined $5.6 million, driven by lower legal fees in 2025 compared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2024 as Compared to 2023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S</w:t>
      </w:r>
      <w:r>
        <w:rPr>
          <w:rFonts w:ascii="Times New Roman;Times;serif" w:hAnsi="Times New Roman;Times;serif"/>
          <w:sz w:val="20"/>
        </w:rPr>
        <w:t>G&amp;A expenses were $110.6 million in 2024 as compared with $99.1 million in 2023. The primary drivers for the increase in SG&amp;A during 2024 related to acquisition-related costs within SG&amp;A of $10.9 million in connection with the acquisition of Enercon, and $2.5 million of SG&amp;A expenses attributable to the acquired business for the two months of 2024 under Bel ownership. Excluding these items related to Enercon, legacy-Bel SG&amp;A expenses declined due to lower legal fees, as well as lower incentive compensation, commissions and business promotion expenses in 2024, as compared to 2023 due to the lower sales base in the 2024 period.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Restructuring Charges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2025, new restructuring charges totaled $2.4 million, primarily consisting of $1.6 million in severance and other costs associated to the transition of manufacturing from Bel's Pingguo, PRC facility to an outside subcontractor (the "Pingguo initiative"), and $0.4 million in charges related to the transition of certain manufacturing operations from Glen Rock, Pennsylvania to other existing Bel sites. These charges were partially offset by a $3.2 million reversal, resulting from a non-cash settlement of liabilities associated with the prior consolidation of two Magnetic Solutions manufacturing sites into a single new facility.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$3.5 million of restructuring charges in 2024 largely in connection with the Glen Rock initiative and the Fuse initiative. In 2023, the Company recorded $10.1 million of restructuring charges largely in connection with its four facility consolidation projects in the U.S., the United Kingdom and the PRC.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Gain on Sale of Properties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2025, the Company recognized gains on sales of assets totaling $5.7 million, primarily attributable to the sale of multiple buildings in Zhongshan, PRC and the sale of property in Glen Rock, Pennsylvania. During 2023, the Company recorded a gain of $3.8 million related to the sale of one of its properties in Jersey City, New Jersey.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Interest Expense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2025 as Compared to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Interest expense was $14.8 million in 2025, compared to $4.1 million in 2024. The increase in 2025 was primarily driven by higher outstanding borrowings under the Company's Credit Agreement, including amounts incurred to finance the Enercon acquisition and related costs. For further information on the Company's outstanding debt, refer to "Liquidity and Capital Resources" below and Note 11, "</w:t>
      </w:r>
      <w:r>
        <w:rPr>
          <w:rFonts w:ascii="Times New Roman;Times;serif" w:hAnsi="Times New Roman;Times;serif"/>
          <w:i/>
          <w:sz w:val="20"/>
        </w:rPr>
        <w:t>Debt</w:t>
      </w:r>
      <w:r>
        <w:rPr>
          <w:rFonts w:ascii="Times New Roman;Times;serif" w:hAnsi="Times New Roman;Times;serif"/>
          <w:sz w:val="20"/>
        </w:rPr>
        <w:t>". Additional details related to the Enercon acquisition are provided in Note 3, "</w:t>
      </w:r>
      <w:r>
        <w:rPr>
          <w:rFonts w:ascii="Times New Roman;Times;serif" w:hAnsi="Times New Roman;Times;serif"/>
          <w:i/>
          <w:sz w:val="20"/>
        </w:rPr>
        <w:t>Acquisition</w:t>
      </w:r>
      <w:r>
        <w:rPr>
          <w:rFonts w:ascii="Times New Roman;Times;serif" w:hAnsi="Times New Roman;Times;serif"/>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2024 as Compared to 2023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incurred interest expense of $4.1 million in 2024 and $2.9 million in 2023 primarily due to its outstanding borrowings under the Company's Credit Agreement. The increase in interest expense during 2024 related to an increase in debt balance in the fourth quarter of 2024 due to Enercon acquisition (see Note 3, “</w:t>
      </w:r>
      <w:r>
        <w:rPr>
          <w:rFonts w:ascii="Times New Roman;Times;serif" w:hAnsi="Times New Roman;Times;serif"/>
          <w:i/>
          <w:sz w:val="20"/>
        </w:rPr>
        <w:t>Acquisition</w:t>
      </w:r>
      <w:r>
        <w:rPr>
          <w:rFonts w:ascii="Times New Roman;Times;serif" w:hAnsi="Times New Roman;Times;serif"/>
          <w:sz w:val="20"/>
        </w:rPr>
        <w:t xml:space="preserve">” for additional details). See </w:t>
      </w:r>
      <w:r>
        <w:rPr>
          <w:rFonts w:ascii="Times New Roman;Times;serif" w:hAnsi="Times New Roman;Times;serif"/>
          <w:i/>
          <w:sz w:val="20"/>
        </w:rPr>
        <w:t>"Liquidity and Capital Resources"</w:t>
      </w:r>
      <w:r>
        <w:rPr>
          <w:rFonts w:ascii="Times New Roman;Times;serif" w:hAnsi="Times New Roman;Times;serif"/>
          <w:sz w:val="20"/>
        </w:rPr>
        <w:t xml:space="preserve"> and Note 11, </w:t>
      </w:r>
      <w:r>
        <w:rPr>
          <w:rFonts w:ascii="Times New Roman;Times;serif" w:hAnsi="Times New Roman;Times;serif"/>
          <w:i/>
          <w:sz w:val="20"/>
        </w:rPr>
        <w:t>"Debt"</w:t>
      </w:r>
      <w:r>
        <w:rPr>
          <w:rFonts w:ascii="Times New Roman;Times;serif" w:hAnsi="Times New Roman;Times;serif"/>
          <w:sz w:val="20"/>
        </w:rPr>
        <w:t> for further information on the Company's outstanding debt.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Interest Income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income was $1.0 million for the year ended December 31, 2025, representing a decrease of $3.7 million, or 78.2%, compared to $4.8 million for the year ended December 31, 2024. The decrease was primarily attributable to lower average balances of U.S. Treasury Bills held during 2025 as compared to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income for the year ended December 31, 2024 increased to $4.8 million, compared to $1.7 million for the year ended December 31, 2023. The increase was primarily driven by higher levels of investment in U.S. Treasury Bills during 2024, which resulted in higher interest income relative to the prior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Impairment of Innolectric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26, 2025, management concluded that an impairment charge was required in connection with the Company’s noncontrolling minority investment in innolectric, a Germany-based e-Mobility technology company, and related party notes receivable. Bel acquired a one-third (1/3) noncontrolling equity interest in innolectric in February 2023. Based on management’s assessment of the carrying value of the investment and the recoverability of the related party notes receivable, the Company recorded a pre-tax impairment charge of $13.1 million in the fourth quarter of 2025. This charge represents the full impairment of Bel’s investment in innolectric and the related notes receivable, and the Company does not expect any future recovery through the insolvency process. The impairment was determined based on indicators of impairment including the cessation of financial support from the majority owner, recent financial performance, changes in market conditions, and other relevant factors affecting innolectric’s business.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Other Income (Expense), Net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2025 as Compared to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income (expense), net was income of $10.9 million for the year ended December 31, 2025, compared to expense of $3.2 million for the year ended December 31, 2024, representing an increase of $14.1 million year-over-year. The increase in other income (expense), net for 2025 was primarily attributable to a foreign exchange gain of $10.8 million, which was an improvement of $12.8 million compared to the prior year. Additionally, gains from the Company's Supplemental Executive Retirement Plan ("SERP") investments increased by $0.1 million to $1.4 million, and stamp duty tax expense decreased by $2.0 million in 2025 as compared to 2024.</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2024 as Compared to 2023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income (expense), net was a net expense of $3.2 million in 2024 compared to a net expense of $4.5 million in 2023. The net expense in 2024 was comprised of a foreign exchange loss of $1.9 million, $0.6 million of losses associated with Bel's investment in innolectric and $2.0 million of stamp duty fees related to Enercon; partially offset by a gain of $1.3 million related to the Company's SERP investments. The net expense in 2023 was comprised of a foreign exchange loss of $1.4 million, the loss on liquidation of a foreign subsidiary of $2.7 million, $0.8 million of losses associated with Bel's investment in innolectric and $0.8 million of other expense; partially offset by a gain of $1.2 million related to the Company's SERP investments.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Income Taxes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effective tax rate will fluctuate based on the geographic regions in which the pretax profits are earned. Of the jurisdictions in which the Company operates, the U.S. and Europe’s tax rates are generally equivalent; and Asia has the lowest tax rates of the Company’s three geographic regions. See Note 10, “</w:t>
      </w:r>
      <w:r>
        <w:rPr>
          <w:rFonts w:ascii="Times New Roman;Times;serif" w:hAnsi="Times New Roman;Times;serif"/>
          <w:i/>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2025 as Compared to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 for income taxes increased by $8.3 million for the year ended December 31, 2025, compared to the year ended December 31, 2024. This increase was primarily attributable to a higher level of worldwide income before income taxes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effective tax rate increased to 22.0% for the year ended December 31, 2025, from 20.5% for the prior year. The increase in the effective tax rate was primarily driven by the following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pPr>
            <w:r>
              <w:rPr/>
              <w:t xml:space="preserve">● </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mix of jurisdictional earnings: A greater proportion of earnings was generated in jurisdictions with higher statutory tax rates, resulting in an increased overall tax rate.</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pPr>
            <w:r>
              <w:rPr/>
              <w:t xml:space="preserve">● </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Higher U.S. taxes on foreign subsidiary income: There was an increase in taxes related to income from foreign subsidiaries that is subject to U.S. taxation under the provisions of the Tax Cuts and Jobs Act.</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pPr>
            <w:r>
              <w:rPr/>
              <w:t xml:space="preserve">● </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in tax benefit from reversal of uncertain tax positions: The tax benefit recognized in connection with the reversal of previously recorded uncertain tax positions declined, as certain statutes of limitations expired during the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2024 as Compared to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 for income taxes increased by $3.1 million for the year ended December 31, 2024, compared to the year ended December 31, 2023.  The Company’s effective tax rate increased to 20.5% for the year ended December 31, 2024, from 11.4% for the prior year. The increase in the effective tax rate was primarily driven by the following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pPr>
            <w:r>
              <w:rPr/>
              <w:t xml:space="preserve">● </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Higher U.S. taxes resulting from an adjustment for non-deductible tax expenses in the prior year.</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pPr>
            <w:r>
              <w:rPr/>
              <w:t xml:space="preserve">● </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Higher foreign taxes resulting from valuation allowances on foreign net operating losses.</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pPr>
            <w:r>
              <w:rPr/>
              <w:t xml:space="preserve">● </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 in tax benefit from reversal of uncertain tax positions: The tax benefit recognized in connection with the reversal of previously recorded uncertain tax positions declined, as certain statutes of limitations expired during the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Other Tax Matters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 portion of its products manufactured on the mainland of the PRC where Bel is not subject to corporate income tax on manufacturing services provided by third parties. Hong Kong has a territorial tax system which imposes corporate income tax at a rate of 16.5% on incom</w:t>
      </w:r>
      <w:r>
        <w:rPr>
          <w:rFonts w:ascii="Times New Roman;Times;serif" w:hAnsi="Times New Roman;Times;serif"/>
          <w:sz w:val="20"/>
          <w:shd w:fill="FFFFFF" w:val="clear"/>
        </w:rPr>
        <w:t xml:space="preserve">e from </w:t>
      </w:r>
      <w:r>
        <w:rPr>
          <w:rFonts w:ascii="Times New Roman;Times;serif" w:hAnsi="Times New Roman;Times;serif"/>
          <w:sz w:val="20"/>
        </w:rPr>
        <w:t>activities solely conducted in Hong Kong.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holds an offshore business license from the government of Macao. With this license, a Macao offshore company named Bel Fuse (Macao Commercial Offshore) Limited ("Bel Fuse Macao") has been established to handle the Company’s sales to third-party customers in Asia. Sales by this company primarily consist of products manufactured in the PRC. Bel Fuse Macao is subject to Macao's corporate tax rate of 12% on income from activities solely conducted in Macao.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the practicality of determining the deferred taxes on outside basis differences in our investments in our foreign subsidiaries, management has not provided for deferred taxes on outside basis differences at December 31, 2025 and deemed that these basis differences will be indefinitely reinvested.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Inflation and Foreign Currency Exchange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past three years, we do not believe the effect of inflation was material to our consolidated financial position or our consolidated results of operations. We are ex</w:t>
      </w:r>
      <w:r>
        <w:rPr>
          <w:rFonts w:ascii="Times New Roman;Times;serif" w:hAnsi="Times New Roman;Times;serif"/>
          <w:sz w:val="20"/>
          <w:shd w:fill="FFFFFF" w:val="clear"/>
        </w:rPr>
        <w:t>posed to market risk from changes in foreign currency exchange rates. Fluctuations of the U.S. dollar against other major currencies have not significantly affected our foreign operations as most sales continue to be denominated in U.S. dollars or currencies directly or indirectly linked to the U.S. dollar. Most significant expenses, including raw materials, labor and manufacturing expenses, are incurred primarily in U.S. dollars, Mexican pesos, the Chinese renminbi or the Israeli shekel, and to a lesser extent in British pounds,</w:t>
      </w:r>
      <w:r>
        <w:rPr>
          <w:rFonts w:ascii="Times New Roman;Times;serif" w:hAnsi="Times New Roman;Times;serif"/>
          <w:color w:val="000000"/>
          <w:sz w:val="20"/>
        </w:rPr>
        <w:t xml:space="preserve"> or I</w:t>
      </w:r>
      <w:r>
        <w:rPr>
          <w:rFonts w:ascii="Times New Roman;Times;serif" w:hAnsi="Times New Roman;Times;serif"/>
          <w:sz w:val="20"/>
          <w:shd w:fill="FFFFFF" w:val="clear"/>
        </w:rPr>
        <w:t>ndian ru</w:t>
      </w:r>
      <w:r>
        <w:rPr>
          <w:rFonts w:ascii="Times New Roman;Times;serif" w:hAnsi="Times New Roman;Times;serif"/>
          <w:color w:val="000000"/>
          <w:sz w:val="20"/>
        </w:rPr>
        <w:t>pees. The Mexican</w:t>
      </w:r>
      <w:r>
        <w:rPr>
          <w:rFonts w:ascii="Times New Roman;Times;serif" w:hAnsi="Times New Roman;Times;serif"/>
          <w:sz w:val="20"/>
        </w:rPr>
        <w:t xml:space="preserve"> peso depreciated by 5%, the Euro appreciated by 4%, the British pound appreciated by 3%, the Israeli shekel appreciated by 6% and the Chinese renminbi remained flat versus the U.S. dollar in 2025 compared to 2024. To the extent the renminbi, peso or shekel appreciate in future periods, it could result in the Company's incurring higher costs for most expenses incurred in the PRC, Mexico and Israel. The Company periodically uses foreign currency forward contracts to manage its short-term exposures to fluctuations in operational cash flows resulting from changes in foreign currency exchange rates as further described in </w:t>
      </w:r>
      <w:r>
        <w:rPr>
          <w:rFonts w:ascii="Times New Roman;Times;serif" w:hAnsi="Times New Roman;Times;serif"/>
          <w:sz w:val="20"/>
          <w:shd w:fill="FFFFFF" w:val="clear"/>
        </w:rPr>
        <w:t>Note 13</w:t>
      </w:r>
      <w:r>
        <w:rPr>
          <w:rFonts w:ascii="Times New Roman;Times;serif" w:hAnsi="Times New Roman;Times;serif"/>
          <w:sz w:val="20"/>
        </w:rPr>
        <w:t xml:space="preserve">, </w:t>
      </w:r>
      <w:r>
        <w:rPr>
          <w:rFonts w:ascii="Times New Roman;Times;serif" w:hAnsi="Times New Roman;Times;serif"/>
          <w:i/>
          <w:sz w:val="20"/>
        </w:rPr>
        <w:t>"Derivative Instruments and Hedging Activities"</w:t>
      </w:r>
      <w:r>
        <w:rPr>
          <w:rFonts w:ascii="Times New Roman;Times;serif" w:hAnsi="Times New Roman;Times;serif"/>
          <w:sz w:val="20"/>
        </w:rPr>
        <w:t>. The Company's European entities, whose functional currencies are Euros and British pounds, enter into transactions which include sales that are denominated principally in Euros, British pounds and various other European currencies, and purchases that are denominated principally in U.S. dollars and British pounds. Such transactions, as well as those related to our multi-currency intercompany payable and receivable transactions, resulted in a net realized and unrealized currency exchange gain of $10.1 million in 2025, a loss of $1.9 million i</w:t>
      </w:r>
      <w:r>
        <w:rPr>
          <w:rFonts w:ascii="Times New Roman;Times;serif" w:hAnsi="Times New Roman;Times;serif"/>
          <w:sz w:val="20"/>
          <w:shd w:fill="FFFFFF" w:val="clear"/>
        </w:rPr>
        <w:t>n 2024 and a loss of $1.4 million in 2023 which were included in other income (expense), net on the consolidated statements of operations. Translation of subsidiaries' foreign currency financial statements into U.S. dollars resulted in translation adjustments, net of taxes, of $</w:t>
      </w:r>
      <w:r>
        <w:rPr>
          <w:rFonts w:ascii="Times New Roman;Times;serif" w:hAnsi="Times New Roman;Times;serif"/>
          <w:sz w:val="20"/>
        </w:rPr>
        <w:t>2.5 m</w:t>
      </w:r>
      <w:r>
        <w:rPr>
          <w:rFonts w:ascii="Times New Roman;Times;serif" w:hAnsi="Times New Roman;Times;serif"/>
          <w:sz w:val="20"/>
          <w:shd w:fill="FFFFFF" w:val="clear"/>
        </w:rPr>
        <w:t>illion and ($5.5) million for the years ended December 3</w:t>
      </w:r>
      <w:r>
        <w:rPr>
          <w:rFonts w:ascii="Times New Roman;Times;serif" w:hAnsi="Times New Roman;Times;serif"/>
          <w:sz w:val="20"/>
        </w:rPr>
        <w:t>1, 2025 and 2024, respectively, which are included in accumulated other comprehensive loss on the consolidated balance sheets.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Liquidity and Capital Resources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principal sources of liquidity include $57.8 million of cash and cash equivalents at December 31, 2025, cash provided by operating activities and borrowings available under our credit facility. We expect to use this liquidity for operating expenses, investments in working capital, capital expenditures, interest, taxes, lease and purchase obligations, pension benefit obligations, dividends, purchases of common stock under our Repurchase Program, and dividends, debt obligations and other long-term liabilities. Our liquidity may also be utilized to fund potential acquisitions in future periods, as well as potential future cash requirements related to the Enercon acquisition, including potential Earnout Payments that may become due and the put-call options under the Enercon shareholders’ agreement, pursuant to which Bel has the current intention to purchase the remaining 20% interest by early 2027. We believe that our current liquidity position and future cash flows from operations will enable us to fund our operations, both in the next twelve months and in the longer term.</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Cash Flow Summary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 ended December 31, 2025, the Company's cash and cash equivalents decreased by $10.5 million.  This decrease was primarily due to the following:</w:t>
      </w:r>
    </w:p>
    <w:p>
      <w:pPr>
        <w:pStyle w:val="TextBody"/>
        <w:bidi w:val="0"/>
        <w:spacing w:before="0" w:after="0"/>
        <w:ind w:left="0" w:right="0" w:hanging="0"/>
        <w:jc w:val="left"/>
        <w:rPr/>
      </w:pPr>
      <w:r>
        <w:rPr/>
        <w:t> </w:t>
      </w:r>
    </w:p>
    <w:tbl>
      <w:tblPr>
        <w:tblW w:w="5405" w:type="dxa"/>
        <w:jc w:val="left"/>
        <w:tblInd w:w="0" w:type="dxa"/>
        <w:tblLayout w:type="fixed"/>
        <w:tblCellMar>
          <w:top w:w="0" w:type="dxa"/>
          <w:left w:w="0" w:type="dxa"/>
          <w:bottom w:w="0" w:type="dxa"/>
          <w:right w:w="0" w:type="dxa"/>
        </w:tblCellMar>
      </w:tblPr>
      <w:tblGrid>
        <w:gridCol w:w="75"/>
        <w:gridCol w:w="240"/>
        <w:gridCol w:w="50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caps/>
                <w:sz w:val="20"/>
              </w:rPr>
              <w:t>n</w:t>
            </w:r>
            <w:r>
              <w:rPr>
                <w:rFonts w:ascii="Times New Roman;Times;serif" w:hAnsi="Times New Roman;Times;serif"/>
                <w:sz w:val="20"/>
              </w:rPr>
              <w:t>et repayments of long-term debt of $90.0 million;</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caps/>
                <w:sz w:val="20"/>
              </w:rPr>
              <w:t>p</w:t>
            </w:r>
            <w:r>
              <w:rPr>
                <w:rFonts w:ascii="Times New Roman;Times;serif" w:hAnsi="Times New Roman;Times;serif"/>
                <w:sz w:val="20"/>
              </w:rPr>
              <w:t>urchases of property, plant and equipment of $12.0 million;</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caps/>
                <w:sz w:val="20"/>
              </w:rPr>
              <w:t>d</w:t>
            </w:r>
            <w:r>
              <w:rPr>
                <w:rFonts w:ascii="Times New Roman;Times;serif" w:hAnsi="Times New Roman;Times;serif"/>
                <w:sz w:val="20"/>
              </w:rPr>
              <w:t>ividend payments of $3.5 million; and</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caps/>
                <w:sz w:val="20"/>
              </w:rPr>
              <w:t>d</w:t>
            </w:r>
            <w:r>
              <w:rPr>
                <w:rFonts w:ascii="Times New Roman;Times;serif" w:hAnsi="Times New Roman;Times;serif"/>
                <w:sz w:val="20"/>
              </w:rPr>
              <w:t xml:space="preserve">eferred financing costs of $0.7 million; partially offset by </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ind w:left="0" w:right="0" w:hanging="0"/>
              <w:jc w:val="left"/>
              <w:rPr/>
            </w:pPr>
            <w:r>
              <w:rPr/>
              <w:t> </w:t>
            </w:r>
          </w:p>
        </w:tc>
        <w:tc>
          <w:tcPr>
            <w:tcW w:w="5090" w:type="dxa"/>
            <w:tcBorders/>
            <w:vAlign w:val="center"/>
          </w:tcPr>
          <w:p>
            <w:pPr>
              <w:pStyle w:val="TableContents"/>
              <w:bidi w:val="0"/>
              <w:spacing w:before="0" w:after="283"/>
              <w:jc w:val="left"/>
              <w:rPr/>
            </w:pPr>
            <w:r>
              <w:rPr/>
              <w:t>● </w:t>
            </w:r>
            <w:r>
              <w:rPr>
                <w:rFonts w:ascii="Times New Roman;Times;serif" w:hAnsi="Times New Roman;Times;serif"/>
                <w:caps/>
                <w:sz w:val="20"/>
              </w:rPr>
              <w:t>n</w:t>
            </w:r>
            <w:r>
              <w:rPr>
                <w:rFonts w:ascii="Times New Roman;Times;serif" w:hAnsi="Times New Roman;Times;serif"/>
                <w:sz w:val="20"/>
              </w:rPr>
              <w:t>et cash provided by operating activities of $80.6 million;</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ind w:left="0" w:right="0" w:firstLine="180"/>
              <w:jc w:val="left"/>
              <w:rPr/>
            </w:pPr>
            <w:r>
              <w:rPr/>
              <w:t> </w:t>
            </w:r>
          </w:p>
        </w:tc>
        <w:tc>
          <w:tcPr>
            <w:tcW w:w="5090" w:type="dxa"/>
            <w:tcBorders/>
            <w:vAlign w:val="center"/>
          </w:tcPr>
          <w:p>
            <w:pPr>
              <w:pStyle w:val="TableContents"/>
              <w:bidi w:val="0"/>
              <w:spacing w:before="0" w:after="283"/>
              <w:jc w:val="left"/>
              <w:rPr/>
            </w:pPr>
            <w:r>
              <w:rPr/>
              <w:t>● </w:t>
            </w:r>
            <w:r>
              <w:rPr>
                <w:rFonts w:ascii="Times New Roman;Times;serif" w:hAnsi="Times New Roman;Times;serif"/>
                <w:caps/>
                <w:sz w:val="20"/>
              </w:rPr>
              <w:t>p</w:t>
            </w:r>
            <w:r>
              <w:rPr>
                <w:rFonts w:ascii="Times New Roman;Times;serif" w:hAnsi="Times New Roman;Times;serif"/>
                <w:sz w:val="20"/>
              </w:rPr>
              <w:t>roceeds from the sale of property of $7.8 million; and</w:t>
            </w:r>
          </w:p>
        </w:tc>
      </w:tr>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090" w:type="dxa"/>
            <w:tcBorders/>
            <w:vAlign w:val="center"/>
          </w:tcPr>
          <w:p>
            <w:pPr>
              <w:pStyle w:val="TableContents"/>
              <w:bidi w:val="0"/>
              <w:spacing w:before="0" w:after="0"/>
              <w:ind w:left="0" w:right="0" w:firstLine="180"/>
              <w:jc w:val="both"/>
              <w:rPr>
                <w:caps w:val="false"/>
                <w:smallCaps w:val="false"/>
              </w:rPr>
            </w:pPr>
            <w:r>
              <w:rPr>
                <w:caps w:val="false"/>
                <w:smallCaps w:val="false"/>
              </w:rPr>
              <w:t>● </w:t>
            </w:r>
            <w:r>
              <w:rPr>
                <w:rFonts w:ascii="Times New Roman;Times;serif" w:hAnsi="Times New Roman;Times;serif"/>
                <w:caps/>
                <w:sz w:val="20"/>
              </w:rPr>
              <w:t>p</w:t>
            </w:r>
            <w:r>
              <w:rPr>
                <w:rFonts w:ascii="Times New Roman;Times;serif" w:hAnsi="Times New Roman;Times;serif"/>
                <w:caps w:val="false"/>
                <w:smallCaps w:val="false"/>
                <w:sz w:val="20"/>
              </w:rPr>
              <w:t>roceeds from held to maturity securities of $1.0 million;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2025, the Company’s operating activities demonstrated continued growth and operational efficiency, supported by strong cash generation and disciplined working capital management. Accounts receivable increased by $8.6 million, primarily due to higher sales volume compared to 2024. Notably, the Company improved its collection efficiency, as reflected by a decrease in days sales outstanding (DSO) to 64 days at December 31, 2025, from 68 days at December 31, 2024. This improvement underscores enhanced cash conversion from sales and effective receivables management. Inventories increased by $2.4 million over the prior year, primarily due to higher sales volumes and increased purchasing activity to support customer demand. The Company’s inventory turns improved to 2.5 times in 2025 from 2.1 times in 2024, indicating more efficient inventory utilization and stronger demand for products. Other operating cash flow line items, such as changes in accounts payable and accrued expenses, contributed positively to liquidity, as the Company maintained disciplined expense management and optimized payment cycles.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2024, accounts receivable decreased by $6.8 million primarily due to the lower sales volume in 2024 as compared to 2023. Days sales outstanding (DSO) increased to 68 days at December 31, 2024 from 55 days at December 31, 2023. Inventories increased by $24.8 million from the December 31, 2023 level primarily due to the inclusion of Enercon's inventory balance at December 31, 2024 of $42.7 million. Inventory turns were 2.1 times for the year ended December 31, 2024 and 3.1 times for the year ended December 31, 2023. Given the nature of Enercon’s manufacturing process and low unit quantity per order, a higher value of inventory is kept on hand for longer periods of time, with Enercon’s inventory turns being 1.6 times, bringing Bel’s consolidated inventory turn level down substantially.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year ended December 31, 2023, the Company's cash and cash equivalents increased by $19.1 million. This increas</w:t>
      </w:r>
      <w:r>
        <w:rPr>
          <w:rFonts w:ascii="Times New Roman;Times;serif" w:hAnsi="Times New Roman;Times;serif"/>
          <w:sz w:val="20"/>
          <w:shd w:fill="FFFFFF" w:val="clear"/>
        </w:rPr>
        <w:t>e was primarily due to</w:t>
      </w:r>
      <w:r>
        <w:rPr>
          <w:rFonts w:ascii="Times New Roman;Times;serif" w:hAnsi="Times New Roman;Times;serif"/>
          <w:sz w:val="20"/>
        </w:rPr>
        <w:t xml:space="preserve"> cash provided by operating activities of $108.3 million, proceeds from the sale of property, plant and equipment of $6.0 million, proceeds from held to maturity securities of $19.9 million, and proceeds from the sale of our business in the Czech Republic of $5.1 million; partially offset by the purchases of held to maturity and marketable securities of $60.0 million, payments for our equity method investment in innolectric of $10.3 million, purchases of property, plant and equipment of $12.1 million, dividend payments of $3.5 million, and net repayments under our revolving credit line of $35.0 million. During the year ended December 31, 2023, accounts receivable decreased $22.5 million primarily due to the lower sales volume in the second half of 2023 as compared to the same period of 2022. DSO decreased to 55 days at December 31, 2023 from 58 days at December 31, 2022. Inventories decreased by $33.6 million from the December 31, 2022 level. Inventory turns were 3.1 times for the year ended December 31, 2023 and 2.7 times for the year ended December 31, 2022.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Cash and cash equivalents, held to maturity U.S. Treasury securities and accounts receivable comprised approxima</w:t>
      </w:r>
      <w:r>
        <w:rPr>
          <w:rFonts w:ascii="Times New Roman;Times;serif" w:hAnsi="Times New Roman;Times;serif"/>
          <w:sz w:val="20"/>
        </w:rPr>
        <w:t xml:space="preserve">tely 19.2% and </w:t>
      </w:r>
      <w:r>
        <w:rPr>
          <w:rFonts w:ascii="Times New Roman;Times;serif" w:hAnsi="Times New Roman;Times;serif"/>
          <w:color w:val="000000"/>
          <w:sz w:val="20"/>
        </w:rPr>
        <w:t>19.0</w:t>
      </w:r>
      <w:r>
        <w:rPr>
          <w:rFonts w:ascii="Times New Roman;Times;serif" w:hAnsi="Times New Roman;Times;serif"/>
          <w:sz w:val="20"/>
        </w:rPr>
        <w:t>% of the Company's total assets at December 31, 2025 and December 31, 2024, respectively. The Company's current ratio (i.e., the ratio of current assets to current liabilities) was 3.0 to 1 and 2.9 to 1 at December 31, 2025 and December 31, 2024, respectively. At December 31, 2025 and 2024, $43.4 million and $48.4 million, respectively (or 75% and 71%, respectively), of cash and cash equivalents was held by foreign subsidiaries of the Company. During 2025, the Company repatriated $26.0 million of funds from outside of the U.S., with minimal incremental tax liability. We continue to analyze our global working capital and cash requirements and the potential tax liabilities attributable to further repatriation, and we have yet to make any further determination regarding repatriation of funds from outside the U.S. to fund the Company's U.S. operations in the future. In the event these funds were needed for Bel's U.S. operations, the Company would be required to accrue and pay U.S. state taxes and any applicable foreign withholding taxes to repatriate these funds.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shd w:fill="FFFFFF" w:val="clear"/>
        </w:rPr>
      </w:pPr>
      <w:r>
        <w:rPr>
          <w:rFonts w:ascii="Times New Roman;Times;serif" w:hAnsi="Times New Roman;Times;serif"/>
          <w:sz w:val="20"/>
          <w:u w:val="single"/>
          <w:shd w:fill="FFFFFF" w:val="clear"/>
        </w:rPr>
        <w:t>Future Cash Requirements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expects foreseeable liquidity and capital resource requirements to be met through its existing cash and cash equivalents, and anticipated cash flows from operations, as well as borrowings available under its revolving credit facility, if needed. The Company's material cash requirements arising in the normal course of business primarily include: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Debt Obligations and Interest Payments</w:t>
      </w:r>
      <w:r>
        <w:rPr>
          <w:rFonts w:ascii="Times New Roman;Times;serif" w:hAnsi="Times New Roman;Times;serif"/>
          <w:sz w:val="20"/>
        </w:rPr>
        <w:t xml:space="preserve"> - The Company had $197.5 million outstanding under its revolving credit facility at December 31, 2025, as further described below and in Note 11, </w:t>
      </w:r>
      <w:r>
        <w:rPr>
          <w:rFonts w:ascii="Times New Roman;Times;serif" w:hAnsi="Times New Roman;Times;serif"/>
          <w:i/>
          <w:sz w:val="20"/>
        </w:rPr>
        <w:t>"Debt"</w:t>
      </w:r>
      <w:r>
        <w:rPr>
          <w:rFonts w:ascii="Times New Roman;Times;serif" w:hAnsi="Times New Roman;Times;serif"/>
          <w:sz w:val="20"/>
        </w:rPr>
        <w:t>. There were no mandatory principal payments due on the credit facility borrowings during 2025. The current balance of $197.5 million is due upon expiration of the credit facility on September 1, 2028. Anticipated interest payments due amount to $26.8 million, of which $10.0 million is expected to be paid in 2026 based on our debt balance and interest rate in place at December 31, 2025.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Lease Obligations</w:t>
      </w:r>
      <w:r>
        <w:rPr>
          <w:rFonts w:ascii="Times New Roman;Times;serif" w:hAnsi="Times New Roman;Times;serif"/>
          <w:sz w:val="20"/>
        </w:rPr>
        <w:t xml:space="preserve"> - The Company has operating leases for its facilities used for manufacturing, research and development, sales and administration. There are also operating and finance leases related to manufacturing equipment, office equipment and vehicles. As of December 31, 2025, the Company was contractually obligated to pay future operating lease payments of $26.9 million, of which $9.2 million is expected to be paid in 2026, and future financing lease obligations of $1.3 million, of which $0.5 million is expected to be paid in 2026. See Note 18, </w:t>
      </w:r>
      <w:r>
        <w:rPr>
          <w:rFonts w:ascii="Times New Roman;Times;serif" w:hAnsi="Times New Roman;Times;serif"/>
          <w:i/>
          <w:sz w:val="20"/>
        </w:rPr>
        <w:t>"Leases,"</w:t>
      </w:r>
      <w:r>
        <w:rPr>
          <w:rFonts w:ascii="Times New Roman;Times;serif" w:hAnsi="Times New Roman;Times;serif"/>
          <w:sz w:val="20"/>
        </w:rPr>
        <w:t xml:space="preserve"> for further information.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Purchase Obligations</w:t>
      </w:r>
      <w:r>
        <w:rPr>
          <w:rFonts w:ascii="Times New Roman;Times;serif" w:hAnsi="Times New Roman;Times;serif"/>
          <w:sz w:val="20"/>
        </w:rPr>
        <w:t xml:space="preserve"> - The Company submits purchase orders for raw materials to various vend</w:t>
      </w:r>
      <w:r>
        <w:rPr>
          <w:rFonts w:ascii="Times New Roman;Times;serif" w:hAnsi="Times New Roman;Times;serif"/>
          <w:sz w:val="20"/>
          <w:shd w:fill="FFFFFF" w:val="clear"/>
        </w:rPr>
        <w:t>ors throughout the year for current production requirements, as well as forecasted requirements. Certain of these purchase orders relate to special purpose material and, as such, the Company may incur penalties if an order is cancelled. The Company had outstanding purchase orders related to raw materials in the am</w:t>
      </w:r>
      <w:r>
        <w:rPr>
          <w:rFonts w:ascii="Times New Roman;Times;serif" w:hAnsi="Times New Roman;Times;serif"/>
          <w:sz w:val="20"/>
        </w:rPr>
        <w:t>ount of $81.5 million at December 31, 2025, of which $79.5 million is expected to be paid in 2026. The Company also had outstanding purchase orders related to capital expenditures which totaled $2.0 million at December 31, 2025, of which $1.4 million is expected to be paid in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Pension Benefit Obligations</w:t>
      </w:r>
      <w:r>
        <w:rPr>
          <w:rFonts w:ascii="Times New Roman;Times;serif" w:hAnsi="Times New Roman;Times;serif"/>
          <w:sz w:val="20"/>
        </w:rPr>
        <w:t xml:space="preserve"> - As further described in</w:t>
      </w:r>
      <w:r>
        <w:rPr>
          <w:rFonts w:ascii="Times New Roman;Times;serif" w:hAnsi="Times New Roman;Times;serif"/>
          <w:sz w:val="20"/>
          <w:shd w:fill="FFFFFF" w:val="clear"/>
        </w:rPr>
        <w:t xml:space="preserve"> Note 15, </w:t>
      </w:r>
      <w:r>
        <w:rPr>
          <w:rFonts w:ascii="Times New Roman;Times;serif" w:hAnsi="Times New Roman;Times;serif"/>
          <w:i/>
          <w:sz w:val="20"/>
          <w:shd w:fill="FFFFFF" w:val="clear"/>
        </w:rPr>
        <w:t>"Re</w:t>
      </w:r>
      <w:r>
        <w:rPr>
          <w:rFonts w:ascii="Times New Roman;Times;serif" w:hAnsi="Times New Roman;Times;serif"/>
          <w:i/>
          <w:sz w:val="20"/>
        </w:rPr>
        <w:t>tirement Fund and Profit Sharing Plan"</w:t>
      </w:r>
      <w:r>
        <w:rPr>
          <w:rFonts w:ascii="Times New Roman;Times;serif" w:hAnsi="Times New Roman;Times;serif"/>
          <w:sz w:val="20"/>
        </w:rPr>
        <w:t>, the Company maintains a Supplemental Executive Retirement Plan ("SERP"). At December 31, 2025, estimated future obligations under the plan amounted to $18.9 million. It is expected that the Company will pay $1.1 million in benefit payments in connection with the SERP during 2026. Included in other assets at December 31, 2025 is the cash surrender value of company-owned life insurance and marketable securities held in a rabbi trust with an aggregate value of $18.4 million, which has been designated by the Company to be utilized to fund the Company's SERP obligations.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Dividends</w:t>
      </w:r>
      <w:r>
        <w:rPr>
          <w:rFonts w:ascii="Times New Roman;Times;serif" w:hAnsi="Times New Roman;Times;serif"/>
          <w:sz w:val="20"/>
        </w:rPr>
        <w:t xml:space="preserve"> - The Company has historically paid quarterly dividends on its two classes of common stock, which am</w:t>
      </w:r>
      <w:r>
        <w:rPr>
          <w:rFonts w:ascii="Times New Roman;Times;serif" w:hAnsi="Times New Roman;Times;serif"/>
          <w:sz w:val="20"/>
          <w:shd w:fill="FFFFFF" w:val="clear"/>
        </w:rPr>
        <w:t xml:space="preserve">ounted to </w:t>
      </w:r>
      <w:r>
        <w:rPr>
          <w:rFonts w:ascii="Times New Roman;Times;serif" w:hAnsi="Times New Roman;Times;serif"/>
          <w:sz w:val="20"/>
        </w:rPr>
        <w:t>$3.5 million in each of  2025 and 2024. Consistent with the dividend rates declared in prior years, Bel's Board of Directors declared dividends on October 31, 2025 and again on February 17, 2026 on each of our two classes of common stock. These two quarterly payments, the first made in January 2026 and the second scheduled for later in the first half of 2026, comprise a total anticipated amount of $1.7 million.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Share Repurchase Program</w:t>
      </w:r>
      <w:r>
        <w:rPr>
          <w:rFonts w:ascii="Times New Roman;Times;serif" w:hAnsi="Times New Roman;Times;serif"/>
          <w:sz w:val="20"/>
        </w:rPr>
        <w:t xml:space="preserve"> - In February 2024, Bel's Board of Directors authorized the repurchase of up to $25 million of the Company's common stock. The Repurchase Program does not obligate the Company to repurchase any dollar amount or number of shares, and the Repurchase Program may be suspended or terminated at any time. The timing and actual number of shares repurchased will depend on a variety of factors including price, market conditions, corporate and regulatory requirements and the consideration of other uses of cash including other investment opportunities. At December 31, 2025, the Company had an aggregate amount of $9.0 million of authorized repurchases under the program that had not yet been executed upon.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Tax Payments</w:t>
      </w:r>
      <w:r>
        <w:rPr>
          <w:rFonts w:ascii="Times New Roman;Times;serif" w:hAnsi="Times New Roman;Times;serif"/>
          <w:sz w:val="20"/>
        </w:rPr>
        <w:t xml:space="preserve"> - At December 31, 2025, we had liabilities for unrecognized tax benefits and related interest and penalties of $17.5 million, all of which is included in other liabilities on our consolidated balance sheet. At December 31, 2025, we cannot reasonably estimate the future period or periods of cash settlement of these liabilities. See Note 10, </w:t>
      </w:r>
      <w:r>
        <w:rPr>
          <w:rFonts w:ascii="Times New Roman;Times;serif" w:hAnsi="Times New Roman;Times;serif"/>
          <w:i/>
          <w:sz w:val="20"/>
        </w:rPr>
        <w:t>"Income Taxes",</w:t>
      </w:r>
      <w:r>
        <w:rPr>
          <w:rFonts w:ascii="Times New Roman;Times;serif" w:hAnsi="Times New Roman;Times;serif"/>
          <w:sz w:val="20"/>
        </w:rPr>
        <w:t xml:space="preserve"> for further discussion.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333333"/>
          <w:sz w:val="20"/>
        </w:rPr>
        <w:t>In addition to its cash requirements arising in the normal course of business described above, the Company has potential future cash requirements related to its acquisition of Enercon, whereby the Company has recorded earnout liabilities having a fair value as of December 31, 2025 in the amount of $6.6 million that would be paid in early 2026 and early 2027 in the event certain financial thresholds are achieved by the acquired business </w:t>
      </w:r>
      <w:r>
        <w:rPr>
          <w:rFonts w:ascii="Times New Roman;Times;serif" w:hAnsi="Times New Roman;Times;serif"/>
          <w:sz w:val="20"/>
        </w:rPr>
        <w:t xml:space="preserve">based on the Purchase Agreement provision which provides for potential earnout payments of up to $5.0 million for each of the fiscal 2025 and fiscal 2026 earnout periods subject to the achievement of the financial thresholds. </w:t>
      </w:r>
      <w:r>
        <w:rPr>
          <w:rFonts w:ascii="Times New Roman;Times;serif" w:hAnsi="Times New Roman;Times;serif"/>
          <w:color w:val="333333"/>
          <w:sz w:val="20"/>
        </w:rPr>
        <w:t xml:space="preserve">Further, there are put-call options associated with the redeemable noncontrolling interest in early 2027. As described elsewhere in this Annual Report, we have the current intention to purchase the remaining 20% interest in Enercon by early 2027 in accordance with the terms and subject to the conditions of the shareholders' agreement. At December 31, 2025, the redemption value related to the redeemable noncontrolling interest was $93.2 million. See Note 3, </w:t>
      </w:r>
      <w:r>
        <w:rPr>
          <w:rFonts w:ascii="Times New Roman;Times;serif" w:hAnsi="Times New Roman;Times;serif"/>
          <w:i/>
          <w:color w:val="333333"/>
          <w:sz w:val="20"/>
        </w:rPr>
        <w:t>"Acquisition"</w:t>
      </w:r>
      <w:r>
        <w:rPr>
          <w:rFonts w:ascii="Times New Roman;Times;serif" w:hAnsi="Times New Roman;Times;serif"/>
          <w:color w:val="333333"/>
          <w:sz w:val="20"/>
        </w:rPr>
        <w:t xml:space="preserve"> and Note 6, </w:t>
      </w:r>
      <w:r>
        <w:rPr>
          <w:rFonts w:ascii="Times New Roman;Times;serif" w:hAnsi="Times New Roman;Times;serif"/>
          <w:i/>
          <w:color w:val="333333"/>
          <w:sz w:val="20"/>
        </w:rPr>
        <w:t>"Fair Value Measurements"</w:t>
      </w:r>
      <w:r>
        <w:rPr>
          <w:rFonts w:ascii="Times New Roman;Times;serif" w:hAnsi="Times New Roman;Times;serif"/>
          <w:color w:val="333333"/>
          <w:sz w:val="20"/>
        </w:rPr>
        <w:t xml:space="preserve"> for further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at December 31, 2025 the amounts of payments due under specific types of contractual obligations, aggregated by category of contractual obligation, for the time periods described below.</w:t>
      </w:r>
    </w:p>
    <w:p>
      <w:pPr>
        <w:pStyle w:val="TextBody"/>
        <w:bidi w:val="0"/>
        <w:spacing w:before="0" w:after="0"/>
        <w:ind w:left="0" w:right="0" w:hanging="0"/>
        <w:jc w:val="both"/>
        <w:rPr/>
      </w:pPr>
      <w:r>
        <w:rPr/>
        <w:t> </w:t>
      </w:r>
    </w:p>
    <w:tbl>
      <w:tblPr>
        <w:tblW w:w="9952" w:type="dxa"/>
        <w:jc w:val="left"/>
        <w:tblInd w:w="0" w:type="dxa"/>
        <w:tblLayout w:type="fixed"/>
        <w:tblCellMar>
          <w:top w:w="0" w:type="dxa"/>
          <w:left w:w="0" w:type="dxa"/>
          <w:bottom w:w="0" w:type="dxa"/>
          <w:right w:w="0" w:type="dxa"/>
        </w:tblCellMar>
      </w:tblPr>
      <w:tblGrid>
        <w:gridCol w:w="4160"/>
        <w:gridCol w:w="60"/>
        <w:gridCol w:w="125"/>
        <w:gridCol w:w="695"/>
        <w:gridCol w:w="60"/>
        <w:gridCol w:w="60"/>
        <w:gridCol w:w="201"/>
        <w:gridCol w:w="1123"/>
        <w:gridCol w:w="60"/>
        <w:gridCol w:w="60"/>
        <w:gridCol w:w="125"/>
        <w:gridCol w:w="695"/>
        <w:gridCol w:w="60"/>
        <w:gridCol w:w="60"/>
        <w:gridCol w:w="154"/>
        <w:gridCol w:w="600"/>
        <w:gridCol w:w="60"/>
        <w:gridCol w:w="60"/>
        <w:gridCol w:w="302"/>
        <w:gridCol w:w="1172"/>
        <w:gridCol w:w="60"/>
      </w:tblGrid>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672"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due by period (dollars in thousands)</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Less than 1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3-5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More than 5 years</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obligations(1)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payments due on long-term debt(2)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1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ind w:left="0" w:right="0" w:hanging="0"/>
              <w:jc w:val="left"/>
              <w:rPr/>
            </w:pPr>
            <w:r>
              <w:rPr/>
              <w:t> </w:t>
            </w:r>
          </w:p>
        </w:tc>
        <w:tc>
          <w:tcPr>
            <w:tcW w:w="11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 purchase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1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ind w:left="0" w:right="0" w:hanging="0"/>
              <w:jc w:val="left"/>
              <w:rPr/>
            </w:pPr>
            <w:r>
              <w:rPr/>
              <w:t> </w:t>
            </w:r>
          </w:p>
        </w:tc>
        <w:tc>
          <w:tcPr>
            <w:tcW w:w="1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quarter 2026 quarterly cash dividend declared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99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Represents the principal amount of the debt required to be repaid in each period.</w:t>
            </w:r>
          </w:p>
        </w:tc>
      </w:tr>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c>
          <w:tcPr>
            <w:tcW w:w="99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Includes interest payments required under our CSA related to our revolver balance.  The interest rate in place under our Credit and Security Agreement on December 31, 2025 was utilized and this calculation assumes obligations are repaid when due.</w:t>
            </w:r>
          </w:p>
        </w:tc>
      </w:tr>
    </w:tbl>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Represents estimated future minimum annual rental commitments primarily under non-cancelable real and personal property leases as of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sz w:val="20"/>
        </w:rPr>
      </w:pPr>
      <w:r>
        <w:rPr>
          <w:rFonts w:ascii="Times New Roman;Times;serif" w:hAnsi="Times New Roman;Times;serif"/>
          <w:sz w:val="20"/>
          <w:u w:val="single"/>
        </w:rPr>
        <w:t>Credit Facility</w:t>
      </w:r>
      <w:r>
        <w:rPr>
          <w:rFonts w:ascii="Times New Roman;Times;serif" w:hAnsi="Times New Roman;Times;serif"/>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shd w:fill="FFFFFF" w:val="clear"/>
        </w:rPr>
        <w:t xml:space="preserve">The Company is a party to a credit agreement, as further described in Note 11, </w:t>
      </w:r>
      <w:r>
        <w:rPr>
          <w:rFonts w:ascii="Times New Roman;Times;serif" w:hAnsi="Times New Roman;Times;serif"/>
          <w:i/>
          <w:sz w:val="20"/>
          <w:shd w:fill="FFFFFF" w:val="clear"/>
        </w:rPr>
        <w:t>"Debt"</w:t>
      </w:r>
      <w:r>
        <w:rPr>
          <w:rFonts w:ascii="Times New Roman;Times;serif" w:hAnsi="Times New Roman;Times;serif"/>
          <w:sz w:val="20"/>
        </w:rPr>
        <w:t xml:space="preserve"> </w:t>
      </w:r>
      <w:r>
        <w:rPr>
          <w:rFonts w:ascii="Times New Roman;Times;serif" w:hAnsi="Times New Roman;Times;serif"/>
          <w:sz w:val="20"/>
          <w:shd w:fill="FFFFFF" w:val="clear"/>
        </w:rPr>
        <w:t>. The Credit Agreement contains customary representations and warranties, covenants and events of default. In addition, the Credit Agreement contains financial covenants that measure (i) the ratio of the Company’s total funded indebtedness, on a consolidated basis, less the aggregate amount of all unencumbered cash and cash equivalents, to the amount of the Company’s consolidated EBITDA (“Leverage Ratio”) and (ii) the ratio of the amount of the Company’s consolidated EBITDA to the Company’s consolidated fixed charges (“Fixed Charge Coverage Ratio”). If an event of default occurs, the lenders under the Credit Agreement would be entitled to take various actions, including the acceleration of amounts due thereunder and all actions permitted to be taken by a secured creditor. </w:t>
      </w:r>
      <w:r>
        <w:rPr>
          <w:rFonts w:ascii="Times New Roman;Times;serif" w:hAnsi="Times New Roman;Times;serif"/>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At December 31, 2025, the Company had $197.5 million outstanding under its Credit Agreement. The unused credit available under the credit facility at  December 31, 2025 was $202.5 million, of which we had the ability to borrow the full amount without violating our Leverage Ratio covenant based on the Company's existing consolidated EBITDA. At December 31, 2025, the Company was in compliance with its debt covenants, including its most restrictive covenant, the Leverage Ratio.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At December 31, 2025, the Company was also a party to two pay-fixed, receive-variable interest rate swap agreements in the aggregate amount of $60 million through August 2026. See Note 13, </w:t>
      </w:r>
      <w:r>
        <w:rPr>
          <w:rFonts w:ascii="Times New Roman;Times;serif" w:hAnsi="Times New Roman;Times;serif"/>
          <w:i/>
          <w:sz w:val="20"/>
        </w:rPr>
        <w:t>"Derivative Instruments and Hedging Activities"</w:t>
      </w:r>
      <w:r>
        <w:rPr>
          <w:rFonts w:ascii="Times New Roman;Times;serif" w:hAnsi="Times New Roman;Times;serif"/>
          <w:sz w:val="20"/>
        </w:rPr>
        <w:t xml:space="preserve"> for further details. </w:t>
      </w:r>
    </w:p>
    <w:p>
      <w:pPr>
        <w:pStyle w:val="TextBody"/>
        <w:bidi w:val="0"/>
        <w:spacing w:before="0" w:after="0"/>
        <w:jc w:val="both"/>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bidi w:val="0"/>
        <w:jc w:val="both"/>
        <w:rPr/>
      </w:pPr>
      <w:r>
        <w:rPr/>
      </w:r>
    </w:p>
    <w:p>
      <w:pPr>
        <w:pStyle w:val="TextBody"/>
        <w:bidi w:val="0"/>
        <w:jc w:val="left"/>
        <w:rPr/>
      </w:pPr>
      <w:hyperlink w:anchor="toc">
        <w:r>
          <w:rPr>
            <w:rStyle w:val="InternetLink"/>
            <w:rFonts w:ascii="Times New Roman;Times;serif" w:hAnsi="Times New Roman;Times;serif"/>
            <w:sz w:val="20"/>
          </w:rPr>
          <w:t>Table of Contents</w:t>
        </w:r>
      </w:hyperlink>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Critical Accounting Estimates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consolidated financial statements include certain amounts that are based on management's best estimates and judgments. The Company bases its estimates on historical experience and on various other assumptions, including in some cases future projections, that are believed to be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or conditions. Different assumptions and judgments could change the estimates used in the preparation of the consolidated financial statements, which, in turn, could change the results from those reported. Management evaluates its estimates, assumptions and judgments on an ongoing basis.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 above, we have determined that our most critical accounting estimates are those related to business combinations, inventory valuation, goodwill and other indefinite-lived intangible assets, and those related to our pension benefit obligations.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 business combination, we allocate the fair value of purchase price consideration to the identifiable assets acquired, the liabilities assumed, and any noncontrolling interest in the acquiree based on their estimated fair values. The excess of the fair value of purchase price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or earned through the use of acquired trademarks, estimated royalty rates, acquired technology, useful lives and discount rates. Management’s estimates of fair value are based upon assumptions believed to be reasonable, but which are inherently uncertain and unpredictable and, as a result, actual results may differ from estimates.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Inventory Valuation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Inventories consist of raw materials and purchased components and are stated at the lower of cost and net realizable value. Material costs are principally determined by standard cost or the weighted moving average method, both of which approximate actual cost. The Company reduces the carrying value of its inventory for estimated obsolescence or unmarketable inventory by an amount equal to the difference between the cost of inventory and the estimated market value based on the aforementioned assumptions. Our reserve calculations are based on historical experience related to slow-moving inventory in addition to specific known concerns in the case of products going end-of-life or customer cancellations. As of December 31, 2025 and 2024, the Company had reserves for excess or obsolete inventory of $18.0 million</w:t>
      </w:r>
      <w:r>
        <w:rPr>
          <w:rFonts w:ascii="Times New Roman;Times;serif" w:hAnsi="Times New Roman;Times;serif"/>
          <w:sz w:val="20"/>
          <w:shd w:fill="FFFFFF" w:val="clear"/>
        </w:rPr>
        <w:t xml:space="preserve"> and $1</w:t>
      </w:r>
      <w:r>
        <w:rPr>
          <w:rFonts w:ascii="Times New Roman;Times;serif" w:hAnsi="Times New Roman;Times;serif"/>
          <w:sz w:val="20"/>
        </w:rPr>
        <w:t>4.5 million, respectively. In the event of a sudden decrease in demand for our products, or a higher incidence of inventory obsolescence, the Company could be required to increase its inventory reserve, which would have an unfavorable impact on our gross margin.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Goodwill</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use a fair value approach to test goodwill for impairment. We must recognize a non-cash impairment charge for the amount, if any, by which the carrying amount of goodwill exceeds its implied fair value. We derive an estimate of fair values for each of our reporting units using a combination of an income approach and an appropriate market approach, each based on an applicable weighting. We assess the applicable weighting based on such factors as current market conditions and the quality and reliability of the data. Absent an indication of fair value from a potential buyer or similar specific transactions, we believe that the use of these methods provides a reasonable estimate of a reporting unit's fair value.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Fair value computed by these methods is arrived at using a number of factors, including projected future operating results, anticipated future cash flows, effective income tax rates, comparable marketplace data within a consistent industry grouping, and the cost of capital. There are inherent uncertainties, however, related to these factors and to our judgment in applying them to this analysis. Nonetheless, we believe that the combination of these methods provides a reasonable approach to estimate the fair value of our reporting units. Assumptions for sales, net earnings and cash flows for each reporting unit were consistent among these methods.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Income Approach Used to Determine Fair Values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income approach is based upon the present value of expected cash flows. Expected cash flows are converted to present value using factors that consider the timing and risk of the future cash flows. The estimate of cash flows used is prepared on an unleveraged debt-free basis. We use a discount rate that reflects a market-derived weighted average cost of capital. We believe that this approach is appropriate because it provides a fair value estimate based upon the reporting unit's expected long-term operating and cash flow performance. The projections are based upon our best estimates of projected economic and market conditions over the related period including growth rates, estimates of future expected changes in operating margins and cash expenditures. Other significant estimates and assumptions include terminal value long-term growth rates, provisions for income taxes, future capital expenditures and changes in future cashless, debt-free working capital. We applied a combined weighting of 75% to the income approach when determining the fair value of our reporting units.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Market Approach Used to Determine Fair Values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market approach estimates the fair value of the reporting unit by applying multiples of operating performance measures to the reporting unit's operating performance (the "Guideline Publicly Traded Company Method"). These multiples are derived from comparable publicly traded companies with similar investment characteristics to the reporting unit, and such comparables are reviewed and updated as needed annually. We believe that this approach is appropriate because it provides a fair value estimate using multiples from entities with operations and economic characteristics comparable to our reporting units and the Company as a whole. The key estimates and assumptions that are used to determine fair value under this market approach include current and forward 12-month operating performance results and the selection of the relevant multiples to be applied. Under the Guideline Publicly Traded Company Method, a control premium, or an amount that a buyer is usually willing to pay over the current market price of a publicly traded company, is applied to the calculated equity values to adjust the public trading value upward for a 100% ownership interest, where applicable.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order to assess the reasonableness of the calculated fair values of our reporting units, we also compare the sum of the reporting units' fair values to our market capitalization and calculate an implied control premium (the excess of the sum of the reporting units' fair values over the market capitalization). We evaluate the control premium by comparing it to control premiums of recent comparable market transactions. If the implied control premium is not reasonable in light of these recent transactions, we will reevaluate our fair value estimates of the reporting units by adjusting the discount rates and/or other assumptions.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applied a combined weighting of 25% to the market approach when determining the fair value of our reporting units.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indicated in Note 5, </w:t>
      </w:r>
      <w:r>
        <w:rPr>
          <w:rFonts w:ascii="Times New Roman;Times;serif" w:hAnsi="Times New Roman;Times;serif"/>
          <w:i/>
          <w:sz w:val="20"/>
        </w:rPr>
        <w:t>"Goodwill and Other Intangible Assets"</w:t>
      </w:r>
      <w:r>
        <w:rPr>
          <w:rFonts w:ascii="Times New Roman;Times;serif" w:hAnsi="Times New Roman;Times;serif"/>
          <w:sz w:val="20"/>
        </w:rPr>
        <w:t>, the fair value of each of our four reporting units exceeded their respective carrying values by a very large margin (ranging from</w:t>
      </w:r>
      <w:r>
        <w:rPr>
          <w:rFonts w:ascii="Times New Roman;Times;serif" w:hAnsi="Times New Roman;Times;serif"/>
          <w:sz w:val="20"/>
          <w:shd w:fill="FFFFFF" w:val="clear"/>
        </w:rPr>
        <w:t xml:space="preserve"> 56% to 540%)</w:t>
      </w:r>
      <w:r>
        <w:rPr>
          <w:rFonts w:ascii="Times New Roman;Times;serif" w:hAnsi="Times New Roman;Times;serif"/>
          <w:sz w:val="20"/>
        </w:rPr>
        <w:t>. If market factors change and the discount rate utilized in the fair value calculation changes, it would result in a higher or lower fair value of our reporting units. The discount rates utilized in our October 1, 2025 impairment test ranged from</w:t>
      </w:r>
      <w:r>
        <w:rPr>
          <w:rFonts w:ascii="Times New Roman;Times;serif" w:hAnsi="Times New Roman;Times;serif"/>
          <w:color w:val="000000"/>
          <w:sz w:val="20"/>
        </w:rPr>
        <w:t xml:space="preserve"> 10.0% to 12.0%. An</w:t>
      </w:r>
      <w:r>
        <w:rPr>
          <w:rFonts w:ascii="Times New Roman;Times;serif" w:hAnsi="Times New Roman;Times;serif"/>
          <w:sz w:val="20"/>
        </w:rPr>
        <w:t xml:space="preserve"> increase in the discount rate assumption of 50 basis points would have impacted the fair values of our reporting units, and would have reduced the excess of fair value over carrying value to a revised range of 51% to 517%. Further, if we are unable to achieve the projected revenue growth rates or margins assumed in our projections, this would also impact the fair value of our reporting units. If we were to change our reporting unit structure again or if other events and circumstances change (such as a sustained decrease in the price of our common stock, a decline in current market multiples, a significant adverse change in legal factors or business climates, an adverse action or assessment by a regulator, heightened competition, strategic decisions made in response to economic or competitive conditions or a more-likely-than-not expectation that a reporting unit or a significant portion of a reporting unit will be sold or disposed of), we may be required to record impairment charges in future periods. Any impairment charges that we may take in the future could be material to our consolidated results of operations and consolidated financial condition.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The Company conducted its annual goodwill impairment test as of October 1, 2025, and no impairment was identified at that time. </w:t>
      </w:r>
      <w:r>
        <w:rPr>
          <w:rFonts w:ascii="Times New Roman;Times;serif" w:hAnsi="Times New Roman;Times;serif"/>
          <w:sz w:val="20"/>
        </w:rPr>
        <w:t>Management has also concluded that the fair value of its goodwill exceeded the associated carrying value at December 31, 2025 and that no impairment exists as of that date. S</w:t>
      </w:r>
      <w:r>
        <w:rPr>
          <w:rFonts w:ascii="Times New Roman;Times;serif" w:hAnsi="Times New Roman;Times;serif"/>
          <w:sz w:val="20"/>
          <w:shd w:fill="FFFFFF" w:val="clear"/>
        </w:rPr>
        <w:t xml:space="preserve">ee Note 5, </w:t>
      </w:r>
      <w:r>
        <w:rPr>
          <w:rFonts w:ascii="Times New Roman;Times;serif" w:hAnsi="Times New Roman;Times;serif"/>
          <w:i/>
          <w:sz w:val="20"/>
          <w:shd w:fill="FFFFFF" w:val="clear"/>
        </w:rPr>
        <w:t>"Goodwill and Other Intangible Assets,"</w:t>
      </w:r>
      <w:r>
        <w:rPr>
          <w:rFonts w:ascii="Times New Roman;Times;serif" w:hAnsi="Times New Roman;Times;serif"/>
          <w:sz w:val="20"/>
          <w:shd w:fill="FFFFFF" w:val="clear"/>
        </w:rPr>
        <w:t xml:space="preserve"> for details of our goodwill balance and the goodwill review performed in </w:t>
      </w:r>
      <w:r>
        <w:rPr>
          <w:rFonts w:ascii="Times New Roman;Times;serif" w:hAnsi="Times New Roman;Times;serif"/>
          <w:sz w:val="20"/>
        </w:rPr>
        <w:t>2025</w:t>
      </w:r>
      <w:r>
        <w:rPr>
          <w:rFonts w:ascii="Times New Roman;Times;serif" w:hAnsi="Times New Roman;Times;serif"/>
          <w:sz w:val="20"/>
          <w:shd w:fill="FFFFFF" w:val="clear"/>
        </w:rPr>
        <w:t>. We will continue to monitor goodwill on an annual basis and whenever events or changes in circumstances, such as significant adverse changes in business climate or operating results, changes in management's business strategy or significant declines in our stock price, indicate that there may be a potential indicator of impairment.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Indefinite-Lived Intangible Assets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tests indefinite-lived intangible assets for impairment annually on October 1, or upon a triggering event, using a fair value approach, the relief-from-royalty method (a form of the income approach). The Company conducted its annual impairment tests as of October 1, 2025 and in connection with its analysis, did not identify any impairment as of that date. Management has also concluded that the fair value of its trademarks exceeds the associated carrying values at December 31, 2025 and that no impairment existed as of that date. At December 31, 2025, the Company's indefinite-lived intangible assets related solely to trademarks.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Pension Benefit Obligations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periodic benefit cost for the Company's SERP totaled $1.1 mi</w:t>
      </w:r>
      <w:r>
        <w:rPr>
          <w:rFonts w:ascii="Times New Roman;Times;serif" w:hAnsi="Times New Roman;Times;serif"/>
          <w:sz w:val="20"/>
          <w:shd w:fill="FFFFFF" w:val="clear"/>
        </w:rPr>
        <w:t>llion in 2</w:t>
      </w:r>
      <w:r>
        <w:rPr>
          <w:rFonts w:ascii="Times New Roman;Times;serif" w:hAnsi="Times New Roman;Times;serif"/>
          <w:sz w:val="20"/>
        </w:rPr>
        <w:t>025, $1.4 million in 2024, and $1.3 million in 2023. Benefit plan information for financial reporting purposes is calculated using actuarial assumptions including a discount rate for plan benefit obligations. The changes in net periodic benefit cost year-over-year are attributable to demographic changes within the plan, as well as any changes to the discount rate or the assumption around the future annual increases in compensation. The discount rate utilized for the net periodic benefit cost was 5.50% at December 31, 2025 and 4.75% at December 31, 2024. An increase or decrease in this 2025 discount rate assumption of 25 basis points would have increased/decreased the 2025 periodic benefit cost by less than $0.1 million.</w:t>
      </w:r>
      <w:r>
        <w:rPr>
          <w:rFonts w:ascii="Times New Roman;Times;serif" w:hAnsi="Times New Roman;Times;serif"/>
          <w:sz w:val="20"/>
          <w:shd w:fill="FFFFFF" w:val="clear"/>
        </w:rPr>
        <w:t> T</w:t>
      </w:r>
      <w:r>
        <w:rPr>
          <w:rFonts w:ascii="Times New Roman;Times;serif" w:hAnsi="Times New Roman;Times;serif"/>
          <w:sz w:val="20"/>
        </w:rPr>
        <w:t>he discount rate utilized for the pension benefit obligation was 5.25</w:t>
      </w:r>
      <w:r>
        <w:rPr>
          <w:rFonts w:ascii="Times New Roman;Times;serif" w:hAnsi="Times New Roman;Times;serif"/>
          <w:sz w:val="20"/>
          <w:shd w:fill="FFFFFF" w:val="clear"/>
        </w:rPr>
        <w:t>%</w:t>
      </w:r>
      <w:r>
        <w:rPr>
          <w:rFonts w:ascii="Times New Roman;Times;serif" w:hAnsi="Times New Roman;Times;serif"/>
          <w:sz w:val="20"/>
        </w:rPr>
        <w:t xml:space="preserve"> at December 31, 2025 and 5.50% at December 31, 2024. An increase in this 2025 discount rate assumption of 25 basis points would have reduced the pension benefit obligation by $0.4 million at December 31, 2025. A decrease in this 2025 discount rate assumption of 25 basis points would have increased the pension benefit obligation by $0.5 million at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Other Matters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believes that it has sufficient cash reserves to fund its foreseeable working capital needs. It may, however, seek to expand such resources through bank borrowings, at favorable lending rates, from time to time. If the Company were to undertake another substantial acquisition for cash, the acquisition would either be funded with cash on hand or would be financed through cash on hand and through bank borrowings or the issuance of public or private debt or equity. If the Company borrows additional money to finance acquisitions, this would further decrease the Company's ratio of earnings to fixed charges, and could further impact the Company's material restrictive covenants, depending on the size of the borrowing and the nature of the target company. Under its existing credit facility, the Company is required to obtain its lender's consent for certain additional debt financing and to comply with other covenants, including the application of specific financial ratios, which may limit the Company’s ability to pay cash dividends on its common stock and/or the amounts thereof, including to the extent that payment of any such dividend would cause noncompliance with any such financial ratio. Depending on the nature of the transaction, the Company cannot assure investors that the necessary acquisition financing would be available to it on acceptable terms, or at all, when required. If the Company issues a substantial amount of stock either as consideration in an acquisition or to finance an acquisition, such issuance may dilute existing shareholders and may take the form of capital stock having preferences over its existing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New Financial Accounting Standards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discussion of new financial accounting standards applicable to the Company is incorporated herein by reference to </w:t>
      </w:r>
      <w:r>
        <w:rPr>
          <w:rFonts w:ascii="Times New Roman;Times;serif" w:hAnsi="Times New Roman;Times;serif"/>
          <w:sz w:val="20"/>
          <w:shd w:fill="FFFFFF" w:val="clear"/>
        </w:rPr>
        <w:t xml:space="preserve">Note </w:t>
      </w:r>
      <w:r>
        <w:rPr>
          <w:rFonts w:ascii="Times New Roman;Times;serif" w:hAnsi="Times New Roman;Times;serif"/>
          <w:sz w:val="20"/>
        </w:rPr>
        <w:t xml:space="preserve">1, </w:t>
      </w:r>
      <w:r>
        <w:rPr>
          <w:rFonts w:ascii="Times New Roman;Times;serif" w:hAnsi="Times New Roman;Times;serif"/>
          <w:i/>
          <w:sz w:val="20"/>
        </w:rPr>
        <w:t>"Description of Business and Summary of Significant Accounting Policies."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6" w:name="item7a"/>
      <w:bookmarkEnd w:id="16"/>
      <w:r>
        <w:rPr>
          <w:rFonts w:ascii="Times New Roman;Times;serif" w:hAnsi="Times New Roman;Times;serif"/>
          <w:b/>
          <w:sz w:val="20"/>
        </w:rPr>
        <w:t xml:space="preserve">Item 7A.  </w:t>
      </w:r>
      <w:r>
        <w:rPr>
          <w:rFonts w:ascii="Times New Roman;Times;serif" w:hAnsi="Times New Roman;Times;serif"/>
          <w:b/>
          <w:i/>
          <w:sz w:val="20"/>
        </w:rPr>
        <w:t>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various risks in its business activities, including market risks related to interest rates, foreign currency exchange rates, and fluctuations in commodity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 2025, Bel entered into a Fourth Amendment Agreement (the “Fourth Amendment”) to the Credit Agreement, which made certain amendments to the Credit Agreement including: (i) increasing the maximum revolving amount from $325 million to $400 million pursuant to Section 2.10(b)(i)(A) of the Credit Agreement; (ii) extending the commitment period (and the final maturity for revolving loans borrowed under the credit agreement) to September 1, 2028; and (iii) providing an incremental extension of credit to the Company of $75 million concurrently with the effectiveness of the Fourth Amendment, consisting of (x) a $50 million commitment from Wells Fargo Bank, N.A., which joined the Credit Agreement as a new revolving lender pursuant to the Fourth Amendment, and (y) an aggregate $25 million commitment increase, on a pro rata basis, from the existing lenders party to the Credit Agreement. As of December 31, 2025, outstanding borrowings under the revolving credit facility amounted to $197.5 million, with unused credit available of $202.5 million. The Company incurred $14.8 million in interest expense during the year ended December 31, 2025, related to interest due on its outstanding borrowings under the Credit Agreement. An interest rate swap with a notional value of $60 million was designated as a cash flow hedge to mitigate the variability of cash flows associated with the Company's SOFR-based loans scheduled to mature on September 1, 2028. This cash flow hedge partially reduces the Company's exposure to future interest rate fluctuations. After accounting for the aforementioned hedge, the remaining borrowings of $137.5 million, which represents approximately 69.6% of the Company's total debt, are still subject to future interest rate changes that could adversely affect the Company's cash flows. A prospective increase of 100 basis points in the interest rate applicable to the Company's outstanding borrowings under its credit facility would lead to an estimated increase of $1.4 million in annual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Foreign Exchange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operates globally, exposing it to foreign exchange risks stemming from currency fluctuations that can impact sales, margins, and equity. To manage this risk, the Company strategically locates factories near sales regions, utilizes hedging contracts, and carefully manages costs and working capital. However, these strategies may not completely shield the Company from sudden declines in foreign currencies. Key currencies involved include the euro and British pound, Chinese renminbi, Mexican peso and Israeli shekel. As of December 31, 2025, the Company faced significant exposure to foreign currencies, particularly the euro, Chinese renminbi, Mexican peso, Israeli shekel and Indian rupee. The carrying value of intercompany loans at risk was approximately $112 million, with potential losses of $11.2 million projected from a hypothetical 10% decline in currency rates. Some exposures may offset others, reducing the overall risk. In the PRC, Mexico and Israel, the Company's labor costs are incurred in the respective local currency. Any fluctuations in related exchange rates could result in the Company incurring higher expenses in those countries. The Company employs foreign exchange forward contracts for hedging, which, as of December 31, 2025, had a fair value that was not material. A 10% change in exchange rates would not significantly impact this value. The Company does not engage in speculative trading and maintains strong relationships with financial institutions to minimize exposure risks. See the </w:t>
      </w:r>
      <w:r>
        <w:rPr>
          <w:rFonts w:ascii="Times New Roman" w:hAnsi="Times New Roman"/>
          <w:i/>
          <w:caps w:val="false"/>
          <w:smallCaps w:val="false"/>
          <w:sz w:val="20"/>
        </w:rPr>
        <w:t>"Inflation and Foreign Currency Exchange"</w:t>
      </w:r>
      <w:r>
        <w:rPr>
          <w:rFonts w:ascii="Times New Roman" w:hAnsi="Times New Roman"/>
          <w:caps w:val="false"/>
          <w:smallCaps w:val="false"/>
          <w:sz w:val="20"/>
        </w:rPr>
        <w:t xml:space="preserve"> section above for additional information related to the Company's foreign exchange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Commodity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utilizes various metals in the production of its products, including gold, silver, copper, zinc, and tin. Fluctuations in the prices of these and other commodities can lead to significantly higher production costs. The Company believes it has adequate primary and secondary sources for each of its key materials. While facing potential volatility in metal prices and anticipating increased material costs, the Company actively monitors these risks. To mitigate any possible negative impacts from these changes, it has implemented and may continue to implement various strategies, including price adjustments and productivity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bookmarkStart w:id="17" w:name="item8"/>
      <w:bookmarkEnd w:id="17"/>
      <w:r>
        <w:rPr>
          <w:rFonts w:ascii="Times New Roman;Times;serif" w:hAnsi="Times New Roman;Times;serif"/>
          <w:b/>
          <w:sz w:val="20"/>
        </w:rPr>
        <w:t>Item 8.</w:t>
      </w:r>
      <w:r>
        <w:rPr>
          <w:rFonts w:ascii="Times New Roman;Times;serif" w:hAnsi="Times New Roman;Times;serif"/>
          <w:sz w:val="20"/>
        </w:rPr>
        <w:t xml:space="preserve">     </w:t>
      </w:r>
      <w:r>
        <w:rPr>
          <w:rFonts w:ascii="Times New Roman;Times;serif" w:hAnsi="Times New Roman;Times;serif"/>
          <w:b/>
          <w:i/>
          <w:sz w:val="20"/>
        </w:rPr>
        <w:t>Financial Statements and Supplementary Data</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the consolidated financial statements listed in the accompanying Index to Consolidated Financial Statements for the information required by this item.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675"/>
        <w:gridCol w:w="60"/>
        <w:gridCol w:w="410"/>
        <w:gridCol w:w="60"/>
      </w:tblGrid>
      <w:tr>
        <w:trPr/>
        <w:tc>
          <w:tcPr>
            <w:tcW w:w="10205"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BEL FUSE INC. AND SUBSIDIARIES</w:t>
            </w:r>
          </w:p>
        </w:tc>
      </w:tr>
      <w:tr>
        <w:trPr/>
        <w:tc>
          <w:tcPr>
            <w:tcW w:w="10205"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INDEX TO CONSOLIDATED FINANCIAL STATEMENTS</w:t>
            </w:r>
          </w:p>
        </w:tc>
      </w:tr>
      <w:tr>
        <w:trPr/>
        <w:tc>
          <w:tcPr>
            <w:tcW w:w="967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96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60" w:type="dxa"/>
            <w:tcBorders/>
            <w:vAlign w:val="center"/>
          </w:tcPr>
          <w:p>
            <w:pPr>
              <w:pStyle w:val="TableContents"/>
              <w:bidi w:val="0"/>
              <w:spacing w:before="0" w:after="0"/>
              <w:ind w:left="0" w:right="0" w:hanging="0"/>
              <w:jc w:val="left"/>
              <w:rPr/>
            </w:pPr>
            <w:r>
              <w:rPr/>
              <w:t> </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c>
          <w:tcPr>
            <w:tcW w:w="60" w:type="dxa"/>
            <w:tcBorders/>
            <w:vAlign w:val="center"/>
          </w:tcPr>
          <w:p>
            <w:pPr>
              <w:pStyle w:val="TableContents"/>
              <w:bidi w:val="0"/>
              <w:spacing w:before="0" w:after="0"/>
              <w:ind w:left="0" w:right="0" w:hanging="0"/>
              <w:jc w:val="left"/>
              <w:rPr/>
            </w:pPr>
            <w:r>
              <w:rPr/>
              <w:t> </w:t>
            </w:r>
          </w:p>
        </w:tc>
      </w:tr>
      <w:tr>
        <w:trPr/>
        <w:tc>
          <w:tcPr>
            <w:tcW w:w="967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967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1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9675" w:type="dxa"/>
            <w:tcBorders/>
            <w:shd w:fill="CCEEFF" w:val="clear"/>
            <w:vAlign w:val="center"/>
          </w:tcPr>
          <w:p>
            <w:pPr>
              <w:pStyle w:val="TableContents"/>
              <w:bidi w:val="0"/>
              <w:spacing w:before="0" w:after="0"/>
              <w:ind w:left="0" w:right="0" w:hanging="0"/>
              <w:jc w:val="left"/>
              <w:rPr/>
            </w:pPr>
            <w:hyperlink w:anchor="rprt">
              <w:r>
                <w:rPr>
                  <w:rStyle w:val="InternetLink"/>
                  <w:rFonts w:ascii="Times New Roman;Times;serif" w:hAnsi="Times New Roman;Times;serif"/>
                  <w:sz w:val="20"/>
                </w:rPr>
                <w:t>Reports of Independent Registered Public Accounting Firm</w:t>
              </w:r>
            </w:hyperlink>
            <w:r>
              <w:rPr>
                <w:rFonts w:ascii="Times New Roman;Times;serif" w:hAnsi="Times New Roman;Times;serif"/>
                <w:sz w:val="20"/>
              </w:rPr>
              <w:t> (Grant Thornton LLP, Iselin, New Jersey, PCAOB #248)</w:t>
            </w:r>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283"/>
              <w:jc w:val="right"/>
              <w:rPr/>
            </w:pPr>
            <w:hyperlink w:anchor="rprt">
              <w:r>
                <w:rPr>
                  <w:rStyle w:val="InternetLink"/>
                  <w:u w:val="single"/>
                </w:rPr>
                <w:t>37</w:t>
              </w:r>
            </w:hyperlink>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9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9675" w:type="dxa"/>
            <w:tcBorders/>
            <w:shd w:fill="CCEEFF" w:val="clear"/>
            <w:vAlign w:val="center"/>
          </w:tcPr>
          <w:p>
            <w:pPr>
              <w:pStyle w:val="TableContents"/>
              <w:bidi w:val="0"/>
              <w:spacing w:before="0" w:after="0"/>
              <w:ind w:left="0" w:right="0" w:hanging="0"/>
              <w:jc w:val="left"/>
              <w:rPr/>
            </w:pPr>
            <w:hyperlink w:anchor="bal">
              <w:r>
                <w:rPr>
                  <w:rStyle w:val="InternetLink"/>
                  <w:rFonts w:ascii="Times New Roman;Times;serif" w:hAnsi="Times New Roman;Times;serif"/>
                  <w:sz w:val="20"/>
                </w:rPr>
                <w:t>Consolidated Balance Sheets - December 31, 2025 and 2024</w:t>
              </w:r>
            </w:hyperlink>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283"/>
              <w:jc w:val="right"/>
              <w:rPr/>
            </w:pPr>
            <w:hyperlink w:anchor="bal">
              <w:r>
                <w:rPr>
                  <w:rStyle w:val="InternetLink"/>
                  <w:u w:val="single"/>
                </w:rPr>
                <w:t>39</w:t>
              </w:r>
            </w:hyperlink>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96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9675" w:type="dxa"/>
            <w:tcBorders/>
            <w:shd w:fill="CCEEFF" w:val="clear"/>
            <w:vAlign w:val="center"/>
          </w:tcPr>
          <w:p>
            <w:pPr>
              <w:pStyle w:val="TableContents"/>
              <w:bidi w:val="0"/>
              <w:spacing w:before="0" w:after="0"/>
              <w:ind w:left="0" w:right="0" w:hanging="0"/>
              <w:jc w:val="left"/>
              <w:rPr/>
            </w:pPr>
            <w:hyperlink w:anchor="inc">
              <w:r>
                <w:rPr>
                  <w:rStyle w:val="InternetLink"/>
                  <w:rFonts w:ascii="Times New Roman;Times;serif" w:hAnsi="Times New Roman;Times;serif"/>
                  <w:sz w:val="20"/>
                </w:rPr>
                <w:t>Consolidated Statements of Operations for the Three Years Ended December 31, 2025</w:t>
              </w:r>
            </w:hyperlink>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283"/>
              <w:jc w:val="right"/>
              <w:rPr/>
            </w:pPr>
            <w:hyperlink w:anchor="inc">
              <w:r>
                <w:rPr>
                  <w:rStyle w:val="InternetLink"/>
                  <w:u w:val="single"/>
                </w:rPr>
                <w:t>40</w:t>
              </w:r>
            </w:hyperlink>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96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9675" w:type="dxa"/>
            <w:tcBorders/>
            <w:shd w:fill="CCEEFF" w:val="clear"/>
            <w:vAlign w:val="center"/>
          </w:tcPr>
          <w:p>
            <w:pPr>
              <w:pStyle w:val="TableContents"/>
              <w:bidi w:val="0"/>
              <w:spacing w:before="0" w:after="0"/>
              <w:ind w:left="0" w:right="0" w:hanging="0"/>
              <w:jc w:val="left"/>
              <w:rPr/>
            </w:pPr>
            <w:hyperlink w:anchor="coninc">
              <w:r>
                <w:rPr>
                  <w:rStyle w:val="InternetLink"/>
                  <w:rFonts w:ascii="Times New Roman;Times;serif" w:hAnsi="Times New Roman;Times;serif"/>
                  <w:sz w:val="20"/>
                </w:rPr>
                <w:t>Consolidated Statements of Comprehensive Income for the Three Years Ended December 31, 2025</w:t>
              </w:r>
            </w:hyperlink>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283"/>
              <w:jc w:val="right"/>
              <w:rPr/>
            </w:pPr>
            <w:hyperlink w:anchor="coninc">
              <w:r>
                <w:rPr>
                  <w:rStyle w:val="InternetLink"/>
                  <w:u w:val="single"/>
                </w:rPr>
                <w:t>41</w:t>
              </w:r>
            </w:hyperlink>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96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9675" w:type="dxa"/>
            <w:tcBorders/>
            <w:shd w:fill="CCEEFF" w:val="clear"/>
            <w:vAlign w:val="center"/>
          </w:tcPr>
          <w:p>
            <w:pPr>
              <w:pStyle w:val="TableContents"/>
              <w:bidi w:val="0"/>
              <w:spacing w:before="0" w:after="0"/>
              <w:ind w:left="0" w:right="0" w:hanging="0"/>
              <w:jc w:val="left"/>
              <w:rPr/>
            </w:pPr>
            <w:hyperlink w:anchor="eq">
              <w:r>
                <w:rPr>
                  <w:rStyle w:val="InternetLink"/>
                  <w:rFonts w:ascii="Times New Roman;Times;serif" w:hAnsi="Times New Roman;Times;serif"/>
                  <w:sz w:val="20"/>
                </w:rPr>
                <w:t>Consolidated Statements of Shareholders' Equity and Redeemable Noncontrolling Interest for the Three Years Ended December 31, 2025</w:t>
              </w:r>
            </w:hyperlink>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283"/>
              <w:jc w:val="right"/>
              <w:rPr/>
            </w:pPr>
            <w:hyperlink w:anchor="eq">
              <w:r>
                <w:rPr>
                  <w:rStyle w:val="InternetLink"/>
                  <w:u w:val="single"/>
                </w:rPr>
                <w:t>42</w:t>
              </w:r>
            </w:hyperlink>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96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9675" w:type="dxa"/>
            <w:tcBorders/>
            <w:shd w:fill="CCEEFF" w:val="clear"/>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Consolidated Statements of Cash Flows for the Three Years Ended December 31, 2025</w:t>
              </w:r>
            </w:hyperlink>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283"/>
              <w:jc w:val="right"/>
              <w:rPr/>
            </w:pPr>
            <w:hyperlink w:anchor="cf">
              <w:r>
                <w:rPr>
                  <w:rStyle w:val="InternetLink"/>
                  <w:u w:val="single"/>
                </w:rPr>
                <w:t>43</w:t>
              </w:r>
            </w:hyperlink>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96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9675" w:type="dxa"/>
            <w:tcBorders/>
            <w:shd w:fill="CCEEFF" w:val="clear"/>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Consolidated Financial Statements</w:t>
              </w:r>
            </w:hyperlink>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283"/>
              <w:jc w:val="right"/>
              <w:rPr/>
            </w:pPr>
            <w:hyperlink w:anchor="notes">
              <w:r>
                <w:rPr>
                  <w:rStyle w:val="InternetLink"/>
                  <w:u w:val="single"/>
                </w:rPr>
                <w:t>45</w:t>
              </w:r>
            </w:hyperlink>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8" w:name="rprt"/>
      <w:bookmarkEnd w:id="18"/>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Board of Directors and Shareholders</w:t>
      </w:r>
    </w:p>
    <w:p>
      <w:pPr>
        <w:pStyle w:val="TextBody"/>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Bel Fuse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color w:val="000000"/>
          <w:sz w:val="20"/>
        </w:rPr>
      </w:pPr>
      <w:r>
        <w:rPr>
          <w:rFonts w:ascii="Times New Roman" w:hAnsi="Times New Roman"/>
          <w:b/>
          <w:caps w:val="false"/>
          <w:smallCaps w:val="false"/>
          <w:color w:val="000000"/>
          <w:sz w:val="20"/>
        </w:rPr>
        <w:t xml:space="preserve">Opinion on the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Bel Fuse Inc. (a New Jersey corporation) and subsidiaries (the “Company”) as of December 31, 2025 and 2024, the related consolidated statements of operations, comprehensive income, shareholders’ equity and redeemable noncontrolling interest, and cash flows for each of the three years in the period ended December 31, 2025,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Times New Roman" w:hAnsi="Times New Roman"/>
          <w:i/>
          <w:caps w:val="false"/>
          <w:smallCaps w:val="false"/>
          <w:sz w:val="20"/>
        </w:rPr>
        <w:t>Internal Control</w:t>
      </w:r>
      <w:r>
        <w:rPr>
          <w:rFonts w:ascii="Times New Roman" w:hAnsi="Times New Roman"/>
          <w:caps w:val="false"/>
          <w:smallCaps w:val="false"/>
          <w:sz w:val="20"/>
        </w:rPr>
        <w:t>—</w:t>
      </w:r>
      <w:r>
        <w:rPr>
          <w:rFonts w:ascii="Times New Roman" w:hAnsi="Times New Roman"/>
          <w:i/>
          <w:caps w:val="false"/>
          <w:smallCaps w:val="false"/>
          <w:sz w:val="20"/>
        </w:rPr>
        <w:t>Integrated Framework</w:t>
      </w:r>
      <w:r>
        <w:rPr>
          <w:rFonts w:ascii="Times New Roman" w:hAnsi="Times New Roman"/>
          <w:caps w:val="false"/>
          <w:smallCaps w:val="false"/>
          <w:sz w:val="20"/>
        </w:rPr>
        <w:t xml:space="preserve"> issued by the Committee of Sponsoring Organizations of the Treadway Commission (“COSO”), and our report dated February 24, 2026, expressed an unqualified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color w:val="000000"/>
          <w:sz w:val="20"/>
        </w:rPr>
      </w:pPr>
      <w:r>
        <w:rPr>
          <w:rFonts w:ascii="Times New Roman" w:hAnsi="Times New Roman"/>
          <w:b/>
          <w:caps w:val="false"/>
          <w:smallCaps w:val="false"/>
          <w:color w:val="000000"/>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color w:val="000000"/>
          <w:sz w:val="20"/>
        </w:rPr>
      </w:pPr>
      <w:r>
        <w:rPr>
          <w:rFonts w:ascii="Times New Roman" w:hAnsi="Times New Roman"/>
          <w:b/>
          <w:caps w:val="false"/>
          <w:smallCaps w:val="false"/>
          <w:color w:val="000000"/>
          <w:sz w:val="20"/>
        </w:rPr>
        <w:t>Critical audit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judgements.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Goodwill and indefinite-lived intangible assets impairment assessment: Enercon reporting unit, Enercon Technologies Trademark and Milpower Source Trademark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described further in Notes 1 and 5 to the consolidated financial statements, the Company performed a quantitative goodwill impairment assessment and an impairment assessment of indefinite</w:t>
        <w:noBreakHyphen/>
        <w:t>lived intangible assets as of October 1, 2025. We identified the goodwill impairment assessment for the Enercon reporting unit and the impairment assessment of the Enercon Technologies and Milpower Source indefinite-lived trademarks as a critical audit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considerations for our determination that the quantitative goodwill impairment assessment for the Enercon reporting unit and the impairment assessment of Enercon Technologies and Milpower Source indefinite-lived trademarks are a critical audit matter are (i) the assessments required management to make significant estimates and assumptions in determining fair value, (ii) the high degree of auditor judgement and subjectivity in performing procedures and evaluating management’s significant assumptions relating to the revenue growth rate, and weighted average cost of capital (“WACC”) and (iii) the audit effort involved the use of professionals with specialized skills and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 procedures related to the quantitative goodwill impairment assessment for the Enercon reporting unit and the impairment assessment of Enercon Technologies and Milpower Source indefinite-lived trademarks included the following,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We tested the design and operating effectiveness of relevant controls over management’s impairment assessment process, including controls over the development and review of key valuation assumptions and the appropriateness of the valuation models used.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We tested the forecasted revenue growth rate, by assessing the reasonableness of management’s forecasts compared to historical results and forecasted industry trends.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9975" w:type="dxa"/>
            <w:tcBorders/>
            <w:vAlign w:val="center"/>
          </w:tcPr>
          <w:p>
            <w:pPr>
              <w:pStyle w:val="TableContents"/>
              <w:bidi w:val="0"/>
              <w:spacing w:before="0" w:after="283"/>
              <w:jc w:val="both"/>
              <w:rPr>
                <w:color w:val="000000"/>
              </w:rPr>
            </w:pPr>
            <w:r>
              <w:rPr>
                <w:color w:val="000000"/>
              </w:rPr>
              <w:t>With the assistance of professionals with specialized skills and knowledge, we assessed the assumptions and methodologies used in developing the WACC by developing a range of independent estimates and comparing those to the rate selected by management.</w:t>
            </w:r>
          </w:p>
        </w:tc>
      </w:tr>
    </w:tbl>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We have served as the Company’s auditor since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Iselin, New Jersey</w:t>
      </w:r>
    </w:p>
    <w:p>
      <w:pPr>
        <w:pStyle w:val="TextBody"/>
        <w:bidi w:val="0"/>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February 24,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Board of Directors and Shareholders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 Fuse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audited the internal control over financial reporting of Bel Fuse Inc. (a New Jersey corporation and subsidiaries (the “Company”) as of December 31, 2025, based on criteria established in the 2013 </w:t>
      </w:r>
      <w:r>
        <w:rPr>
          <w:rFonts w:ascii="Times New Roman" w:hAnsi="Times New Roman"/>
          <w:i/>
          <w:caps w:val="false"/>
          <w:smallCaps w:val="false"/>
          <w:sz w:val="20"/>
        </w:rPr>
        <w:t>Internal Control—Integrated Framework</w:t>
      </w:r>
      <w:r>
        <w:rPr>
          <w:rFonts w:ascii="Times New Roman" w:hAnsi="Times New Roman"/>
          <w:caps w:val="false"/>
          <w:smallCaps w:val="false"/>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 w:hAnsi="Times New Roman"/>
          <w:i/>
          <w:caps w:val="false"/>
          <w:smallCaps w:val="false"/>
          <w:sz w:val="20"/>
        </w:rPr>
        <w:t>Internal Control—Integrated Framework</w:t>
      </w:r>
      <w:r>
        <w:rPr>
          <w:rFonts w:ascii="Times New Roman" w:hAnsi="Times New Roman"/>
          <w:caps w:val="false"/>
          <w:smallCaps w:val="false"/>
          <w:sz w:val="20"/>
        </w:rPr>
        <w:t xml:space="preserve"> issued by COSO.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financial statements of the Company as of and for the year ended December 31, 2025, and our report dated February 24, 2026 expressed an unqualified opinion on those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Iselin, New Jersey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24, 2026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0"/>
              <w:ind w:left="0" w:right="0" w:hanging="0"/>
              <w:jc w:val="center"/>
              <w:rPr>
                <w:rFonts w:ascii="Times New Roman;Times;serif" w:hAnsi="Times New Roman;Times;serif"/>
                <w:b/>
                <w:sz w:val="20"/>
              </w:rPr>
            </w:pPr>
            <w:bookmarkStart w:id="19" w:name="bal"/>
            <w:bookmarkEnd w:id="19"/>
            <w:r>
              <w:rPr>
                <w:rFonts w:ascii="Times New Roman;Times;serif" w:hAnsi="Times New Roman;Times;serif"/>
                <w:b/>
                <w:sz w:val="20"/>
              </w:rPr>
              <w:t>BEL FUSE INC. AND SUBSIDIARIES</w:t>
            </w:r>
          </w:p>
        </w:tc>
      </w:tr>
      <w:tr>
        <w:trPr/>
        <w:tc>
          <w:tcPr>
            <w:tcW w:w="45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tc>
      </w:tr>
      <w:tr>
        <w:trPr/>
        <w:tc>
          <w:tcPr>
            <w:tcW w:w="45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 except share and per share data)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868"/>
        <w:gridCol w:w="60"/>
        <w:gridCol w:w="143"/>
        <w:gridCol w:w="804"/>
        <w:gridCol w:w="80"/>
        <w:gridCol w:w="60"/>
        <w:gridCol w:w="143"/>
        <w:gridCol w:w="804"/>
        <w:gridCol w:w="243"/>
      </w:tblGrid>
      <w:tr>
        <w:trPr/>
        <w:tc>
          <w:tcPr>
            <w:tcW w:w="7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68,253</w:t>
            </w:r>
          </w:p>
        </w:tc>
        <w:tc>
          <w:tcPr>
            <w:tcW w:w="243" w:type="dxa"/>
            <w:tcBorders/>
            <w:shd w:fill="CCEEFF" w:val="clear"/>
            <w:vAlign w:val="center"/>
          </w:tcPr>
          <w:p>
            <w:pPr>
              <w:pStyle w:val="TableContents"/>
              <w:bidi w:val="0"/>
              <w:spacing w:before="0" w:after="283"/>
              <w:ind w:left="0" w:right="0" w:firstLine="180"/>
              <w:jc w:val="left"/>
              <w:rPr/>
            </w:pPr>
            <w:r>
              <w:rPr/>
              <w:t> </w:t>
            </w:r>
          </w:p>
        </w:tc>
      </w:tr>
      <w:tr>
        <w:trPr/>
        <w:tc>
          <w:tcPr>
            <w:tcW w:w="7868"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Held to maturity U.S. Treasury securities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Accounts receivable, net of credit losses of $671 and $1,336, at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111,376</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161,370</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Unbilled receivables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4,994</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Assets held for sale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2,062</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24,525</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373,530</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47,879</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25,125</w:t>
            </w:r>
          </w:p>
        </w:tc>
        <w:tc>
          <w:tcPr>
            <w:tcW w:w="243" w:type="dxa"/>
            <w:tcBorders/>
            <w:shd w:fill="CCEEFF" w:val="clear"/>
            <w:vAlign w:val="center"/>
          </w:tcPr>
          <w:p>
            <w:pPr>
              <w:pStyle w:val="TableContents"/>
              <w:bidi w:val="0"/>
              <w:spacing w:before="0" w:after="283"/>
              <w:ind w:left="0" w:right="0" w:firstLine="180"/>
              <w:jc w:val="left"/>
              <w:rPr/>
            </w:pPr>
            <w:r>
              <w:rPr/>
              <w:t> </w:t>
            </w:r>
          </w:p>
        </w:tc>
      </w:tr>
      <w:tr>
        <w:trPr/>
        <w:tc>
          <w:tcPr>
            <w:tcW w:w="786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Related-party note receivable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2,937</w:t>
            </w:r>
          </w:p>
        </w:tc>
        <w:tc>
          <w:tcPr>
            <w:tcW w:w="243" w:type="dxa"/>
            <w:tcBorders/>
            <w:shd w:fill="FFFFFF" w:val="clear"/>
            <w:vAlign w:val="center"/>
          </w:tcPr>
          <w:p>
            <w:pPr>
              <w:pStyle w:val="TableContents"/>
              <w:bidi w:val="0"/>
              <w:spacing w:before="0" w:after="283"/>
              <w:ind w:left="0" w:right="0" w:firstLine="180"/>
              <w:jc w:val="left"/>
              <w:rPr/>
            </w:pPr>
            <w:r>
              <w:rPr/>
              <w:t> </w:t>
            </w:r>
          </w:p>
        </w:tc>
      </w:tr>
      <w:tr>
        <w:trPr/>
        <w:tc>
          <w:tcPr>
            <w:tcW w:w="7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9,265</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231,948</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208,036</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16,430</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34,639</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949,789</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REDEEMABLE NONCONTROLLING INTEREST AND SHAREHOLDERS'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49,182</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53,031</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Operating lease liability, current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7,954</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17,902</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128,069</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Long-term debt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Operating lease liability, long-term</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17,763</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Liability for uncertain tax positions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18,127</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Minimum pension obligation and unfunded pension liability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18,431</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28,916</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Related-party note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4,995</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4,826</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508,627</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 (see Note 19)</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80,586</w:t>
            </w:r>
          </w:p>
        </w:tc>
        <w:tc>
          <w:tcPr>
            <w:tcW w:w="243" w:type="dxa"/>
            <w:tcBorders/>
            <w:shd w:fill="FFFFFF" w:val="clear"/>
            <w:vAlign w:val="center"/>
          </w:tcPr>
          <w:p>
            <w:pPr>
              <w:pStyle w:val="TableContents"/>
              <w:bidi w:val="0"/>
              <w:spacing w:before="0" w:after="0"/>
              <w:jc w:val="left"/>
              <w:rPr/>
            </w:pPr>
            <w:r>
              <w:rPr/>
              <w:t> </w:t>
            </w:r>
          </w:p>
        </w:tc>
      </w:tr>
      <w:tr>
        <w:trPr/>
        <w:tc>
          <w:tcPr>
            <w:tcW w:w="7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Preferred stock, no par value, 1,000,000 shares authorized; none issued</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Class A common stock, par value $.10 per share, 10,000,000 shares authorized; 2,115,263 shares outstanding at each date (net of 1,072,769 restricted treasury shares)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Class B common stock, par value $.10 per share, 30,000,000 shares authorized; 10,543,368 shares and 10,425,175 shares outstanding at December 31, 2025 and December 31, 2024, respectively (net of 3,218,307 restricted treasury shares)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Treasury stock (unrestricted; none outstanding at December 31, 2025, and at December 31, 2024)</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31,514</w:t>
            </w:r>
          </w:p>
        </w:tc>
        <w:tc>
          <w:tcPr>
            <w:tcW w:w="24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345,031</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(17,227</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68"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360,576</w:t>
            </w:r>
          </w:p>
        </w:tc>
        <w:tc>
          <w:tcPr>
            <w:tcW w:w="24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Total liabilities, redeemable noncontrolling interest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949,789</w:t>
            </w:r>
          </w:p>
        </w:tc>
        <w:tc>
          <w:tcPr>
            <w:tcW w:w="243"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0"/>
              <w:ind w:left="0" w:right="0" w:hanging="0"/>
              <w:jc w:val="center"/>
              <w:rPr>
                <w:rFonts w:ascii="Times New Roman;Times;serif" w:hAnsi="Times New Roman;Times;serif"/>
                <w:b/>
                <w:sz w:val="20"/>
              </w:rPr>
            </w:pPr>
            <w:bookmarkStart w:id="20" w:name="inc"/>
            <w:bookmarkEnd w:id="20"/>
            <w:r>
              <w:rPr>
                <w:rFonts w:ascii="Times New Roman;Times;serif" w:hAnsi="Times New Roman;Times;serif"/>
                <w:b/>
                <w:sz w:val="20"/>
              </w:rPr>
              <w:t>BEL FUSE INC. AND SUBSIDIARIES</w:t>
            </w:r>
          </w:p>
        </w:tc>
      </w:tr>
      <w:tr>
        <w:trPr/>
        <w:tc>
          <w:tcPr>
            <w:tcW w:w="45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w:t>
            </w:r>
          </w:p>
        </w:tc>
      </w:tr>
      <w:tr>
        <w:trPr/>
        <w:tc>
          <w:tcPr>
            <w:tcW w:w="45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r>
    </w:tbl>
    <w:p>
      <w:pPr>
        <w:pStyle w:val="TextBody"/>
        <w:bidi w:val="0"/>
        <w:spacing w:before="0" w:after="283"/>
        <w:jc w:val="left"/>
        <w:rPr/>
      </w:pPr>
      <w:r>
        <w:rPr/>
        <w:t> </w:t>
      </w:r>
    </w:p>
    <w:tbl>
      <w:tblPr>
        <w:tblW w:w="8465" w:type="dxa"/>
        <w:jc w:val="left"/>
        <w:tblInd w:w="0" w:type="dxa"/>
        <w:tblLayout w:type="fixed"/>
        <w:tblCellMar>
          <w:top w:w="0" w:type="dxa"/>
          <w:left w:w="0" w:type="dxa"/>
          <w:bottom w:w="0" w:type="dxa"/>
          <w:right w:w="0" w:type="dxa"/>
        </w:tblCellMar>
      </w:tblPr>
      <w:tblGrid>
        <w:gridCol w:w="5585"/>
        <w:gridCol w:w="60"/>
        <w:gridCol w:w="125"/>
        <w:gridCol w:w="695"/>
        <w:gridCol w:w="80"/>
        <w:gridCol w:w="60"/>
        <w:gridCol w:w="125"/>
        <w:gridCol w:w="695"/>
        <w:gridCol w:w="80"/>
        <w:gridCol w:w="60"/>
        <w:gridCol w:w="125"/>
        <w:gridCol w:w="695"/>
        <w:gridCol w:w="80"/>
      </w:tblGrid>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639,813</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411,037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423,964</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215,849</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22,487</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99,091</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CUI tradename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(credits)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10,114</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liability adjustments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0"/>
              <w:jc w:val="left"/>
              <w:rPr/>
            </w:pPr>
            <w:r>
              <w:rPr/>
              <w:t> </w:t>
            </w:r>
          </w:p>
        </w:tc>
      </w:tr>
      <w:tr>
        <w:trPr/>
        <w:tc>
          <w:tcPr>
            <w:tcW w:w="5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87,976</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Czech Republic business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equity method investment and related party notes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83,300</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9,469</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73,831</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earnings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Redemption value adjustment attributable to noncontrolling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0"/>
              <w:jc w:val="left"/>
              <w:rPr/>
            </w:pPr>
            <w:r>
              <w:rPr/>
              <w:t> </w:t>
            </w:r>
          </w:p>
        </w:tc>
      </w:tr>
      <w:tr>
        <w:trPr/>
        <w:tc>
          <w:tcPr>
            <w:tcW w:w="5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Bel Fuse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73,831</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shares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common shares - basic</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CCEEFF" w:val="clear"/>
            <w:vAlign w:val="center"/>
          </w:tcPr>
          <w:p>
            <w:pPr>
              <w:pStyle w:val="TableContents"/>
              <w:bidi w:val="0"/>
              <w:spacing w:before="0" w:after="0"/>
              <w:jc w:val="left"/>
              <w:rPr/>
            </w:pPr>
            <w:r>
              <w:rPr/>
              <w:t> </w:t>
            </w:r>
          </w:p>
        </w:tc>
      </w:tr>
      <w:tr>
        <w:trPr/>
        <w:tc>
          <w:tcPr>
            <w:tcW w:w="5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shares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shares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common shares - basic</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10,634</w:t>
            </w:r>
          </w:p>
        </w:tc>
        <w:tc>
          <w:tcPr>
            <w:tcW w:w="80" w:type="dxa"/>
            <w:tcBorders/>
            <w:shd w:fill="FFFFFF" w:val="clear"/>
            <w:vAlign w:val="center"/>
          </w:tcPr>
          <w:p>
            <w:pPr>
              <w:pStyle w:val="TableContents"/>
              <w:bidi w:val="0"/>
              <w:spacing w:before="0" w:after="0"/>
              <w:jc w:val="left"/>
              <w:rPr/>
            </w:pPr>
            <w:r>
              <w:rPr/>
              <w:t> </w:t>
            </w:r>
          </w:p>
        </w:tc>
      </w:tr>
      <w:tr>
        <w:trPr/>
        <w:tc>
          <w:tcPr>
            <w:tcW w:w="5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shares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0"/>
              <w:ind w:left="0" w:right="0" w:hanging="0"/>
              <w:jc w:val="center"/>
              <w:rPr>
                <w:rFonts w:ascii="Times New Roman;Times;serif" w:hAnsi="Times New Roman;Times;serif"/>
                <w:b/>
                <w:sz w:val="20"/>
              </w:rPr>
            </w:pPr>
            <w:bookmarkStart w:id="21" w:name="coninc"/>
            <w:bookmarkEnd w:id="21"/>
            <w:r>
              <w:rPr>
                <w:rFonts w:ascii="Times New Roman;Times;serif" w:hAnsi="Times New Roman;Times;serif"/>
                <w:b/>
                <w:sz w:val="20"/>
              </w:rPr>
              <w:t>BEL FUSE INC. AND SUBSIDIARIES</w:t>
            </w:r>
          </w:p>
        </w:tc>
      </w:tr>
      <w:tr>
        <w:trPr/>
        <w:tc>
          <w:tcPr>
            <w:tcW w:w="590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tc>
      </w:tr>
      <w:tr>
        <w:trPr/>
        <w:tc>
          <w:tcPr>
            <w:tcW w:w="590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640"/>
        <w:gridCol w:w="60"/>
        <w:gridCol w:w="125"/>
        <w:gridCol w:w="590"/>
        <w:gridCol w:w="80"/>
        <w:gridCol w:w="60"/>
        <w:gridCol w:w="125"/>
        <w:gridCol w:w="590"/>
        <w:gridCol w:w="80"/>
        <w:gridCol w:w="60"/>
        <w:gridCol w:w="125"/>
        <w:gridCol w:w="590"/>
        <w:gridCol w:w="80"/>
      </w:tblGrid>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73,831</w:t>
            </w:r>
          </w:p>
        </w:tc>
        <w:tc>
          <w:tcPr>
            <w:tcW w:w="80" w:type="dxa"/>
            <w:tcBorders/>
            <w:shd w:fill="CCEEFF" w:val="clear"/>
            <w:vAlign w:val="center"/>
          </w:tcPr>
          <w:p>
            <w:pPr>
              <w:pStyle w:val="TableContents"/>
              <w:bidi w:val="0"/>
              <w:spacing w:before="0" w:after="283"/>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76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translation adjustment, net of taxes of $0, $36 and ($93)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76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losses on interest rate swap cash flow hedge, net of taxes of $0 in all periods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w:t>
            </w:r>
          </w:p>
        </w:tc>
        <w:tc>
          <w:tcPr>
            <w:tcW w:w="80"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holding gains on marketable securities arising during the period, net of taxes of $0 in all periods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76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unfunded SERP liability, net of taxes of ($179), ($465) and ($161)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78,340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Bel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78,340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center"/>
              <w:rPr>
                <w:rFonts w:ascii="Times New Roman;Times;serif" w:hAnsi="Times New Roman;Times;serif"/>
                <w:b/>
                <w:sz w:val="20"/>
              </w:rPr>
            </w:pPr>
            <w:bookmarkStart w:id="22" w:name="eq"/>
            <w:bookmarkEnd w:id="22"/>
            <w:r>
              <w:rPr>
                <w:rFonts w:ascii="Times New Roman;Times;serif" w:hAnsi="Times New Roman;Times;serif"/>
                <w:b/>
                <w:sz w:val="20"/>
              </w:rPr>
              <w:t>BEL FUSE INC. AND SUBSIDIARIES</w:t>
            </w:r>
          </w:p>
        </w:tc>
      </w:tr>
      <w:tr>
        <w:trPr/>
        <w:tc>
          <w:tcPr>
            <w:tcW w:w="102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SHAREHOLDERS' EQUITY AND REDEEMABLE NONCONTROLLING INTEREST</w:t>
            </w:r>
          </w:p>
        </w:tc>
      </w:tr>
      <w:tr>
        <w:trPr/>
        <w:tc>
          <w:tcPr>
            <w:tcW w:w="102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48"/>
        <w:gridCol w:w="60"/>
        <w:gridCol w:w="111"/>
        <w:gridCol w:w="610"/>
        <w:gridCol w:w="80"/>
        <w:gridCol w:w="60"/>
        <w:gridCol w:w="175"/>
        <w:gridCol w:w="921"/>
        <w:gridCol w:w="80"/>
        <w:gridCol w:w="60"/>
        <w:gridCol w:w="176"/>
        <w:gridCol w:w="468"/>
        <w:gridCol w:w="80"/>
        <w:gridCol w:w="60"/>
        <w:gridCol w:w="61"/>
        <w:gridCol w:w="433"/>
        <w:gridCol w:w="80"/>
        <w:gridCol w:w="60"/>
        <w:gridCol w:w="132"/>
        <w:gridCol w:w="513"/>
        <w:gridCol w:w="80"/>
        <w:gridCol w:w="60"/>
        <w:gridCol w:w="60"/>
        <w:gridCol w:w="522"/>
        <w:gridCol w:w="80"/>
        <w:gridCol w:w="60"/>
        <w:gridCol w:w="110"/>
        <w:gridCol w:w="578"/>
        <w:gridCol w:w="80"/>
        <w:gridCol w:w="60"/>
        <w:gridCol w:w="123"/>
        <w:gridCol w:w="644"/>
        <w:gridCol w:w="80"/>
        <w:gridCol w:w="60"/>
        <w:gridCol w:w="144"/>
        <w:gridCol w:w="800"/>
        <w:gridCol w:w="80"/>
        <w:gridCol w:w="60"/>
        <w:gridCol w:w="190"/>
        <w:gridCol w:w="895"/>
        <w:gridCol w:w="71"/>
      </w:tblGrid>
      <w:tr>
        <w:trPr/>
        <w:tc>
          <w:tcPr>
            <w:tcW w:w="11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Retained 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Accumulated Other Comprehensive (Loss)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A 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A #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B 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B #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Additional Paid-In 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 shareholders' equity</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Redeemable Noncontrolling Interest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(16,546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262,346</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earnings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73,831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73,831</w:t>
            </w:r>
          </w:p>
        </w:tc>
        <w:tc>
          <w:tcPr>
            <w:tcW w:w="80" w:type="dxa"/>
            <w:tcBorders/>
            <w:shd w:fill="FFFF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A Common Stock, $0.24/share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Class B Common Stock, $0.28/share</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(2,997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common stock</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common stock</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Repurchase of treasury stock</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 including writeoff of $2,724 related to liquidation of foreign subsidiary, net of taxes of ($93)</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6,684</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gains on interest rate swap cashflow hedge, net of taxes of $0</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holding gains on marketable securities, net of taxes of $0</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3,486</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unfunded SERP liability, net of taxes of ($161)</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December 31, 2023</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307,510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340,558</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resulting in redeemable noncontrolling interest ("NCI")</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72,354</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value adjustment on redeemable NCI</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7,748</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40,960</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484</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Common Stock, $0.24/share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B Common Stock, $0.28/share</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common stock</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common stock</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Purchase of common stock</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(16,053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(16,053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Cancellation of treasury shares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16,507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(16,507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 net of taxes of $36</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losses on interest rate swap cash flow hedge, net of taxes of $0</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holding gains on marketable securities, net of taxes of $0</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3,740</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unfunded SERP liability, net of taxes of ($465)</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1,582</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December 31, 2024</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360,576</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80,586</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Redemption value adjustment on redeemable NCI</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9,123</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61,536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61,536</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3,452</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13"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8"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rStyle w:val="Emphasis"/>
              </w:rPr>
              <w:t> </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Common Stock, $0.24/share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B Common Stock, $0.28/share</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common stock</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common stock</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 net of taxes of $0</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2,476</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losses on interest rate swap cash flow hedge, net of taxes of $0</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2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1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2"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1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2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46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1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2"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6,813</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FFFFFF" w:val="clear"/>
            <w:vAlign w:val="center"/>
          </w:tcPr>
          <w:p>
            <w:pPr>
              <w:pStyle w:val="TableContents"/>
              <w:bidi w:val="0"/>
              <w:spacing w:before="0" w:after="283"/>
              <w:jc w:val="left"/>
              <w:rPr/>
            </w:pPr>
            <w:r>
              <w:rPr/>
              <w:t> </w:t>
            </w:r>
          </w:p>
        </w:tc>
      </w:tr>
      <w:tr>
        <w:trPr/>
        <w:tc>
          <w:tcPr>
            <w:tcW w:w="114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unfunded SERP liability, net of taxes of ($179)</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71" w:type="dxa"/>
            <w:tcBorders/>
            <w:shd w:fill="CCEEFF" w:val="clear"/>
            <w:vAlign w:val="center"/>
          </w:tcPr>
          <w:p>
            <w:pPr>
              <w:pStyle w:val="TableContents"/>
              <w:bidi w:val="0"/>
              <w:spacing w:before="0" w:after="283"/>
              <w:jc w:val="left"/>
              <w:rPr/>
            </w:pPr>
            <w:r>
              <w:rPr/>
              <w:t> </w:t>
            </w:r>
          </w:p>
        </w:tc>
      </w:tr>
      <w:tr>
        <w:trPr/>
        <w:tc>
          <w:tcPr>
            <w:tcW w:w="114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December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425,513</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93,161</w:t>
            </w:r>
          </w:p>
        </w:tc>
        <w:tc>
          <w:tcPr>
            <w:tcW w:w="7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0"/>
              <w:ind w:left="0" w:right="0" w:hanging="0"/>
              <w:jc w:val="center"/>
              <w:rPr>
                <w:rFonts w:ascii="Times New Roman;Times;serif" w:hAnsi="Times New Roman;Times;serif"/>
                <w:b/>
                <w:sz w:val="20"/>
              </w:rPr>
            </w:pPr>
            <w:bookmarkStart w:id="23" w:name="cf"/>
            <w:bookmarkEnd w:id="23"/>
            <w:r>
              <w:rPr>
                <w:rFonts w:ascii="Times New Roman;Times;serif" w:hAnsi="Times New Roman;Times;serif"/>
                <w:b/>
                <w:sz w:val="20"/>
              </w:rPr>
              <w:t>BEL FUSE INC. AND SUBSIDIARIES</w:t>
            </w:r>
          </w:p>
        </w:tc>
      </w:tr>
      <w:tr>
        <w:trPr/>
        <w:tc>
          <w:tcPr>
            <w:tcW w:w="45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tc>
      </w:tr>
      <w:tr>
        <w:trPr/>
        <w:tc>
          <w:tcPr>
            <w:tcW w:w="459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before="0" w:after="283"/>
        <w:jc w:val="left"/>
        <w:rPr/>
      </w:pPr>
      <w:r>
        <w:rPr/>
        <w:t> </w:t>
      </w:r>
    </w:p>
    <w:tbl>
      <w:tblPr>
        <w:tblW w:w="9605" w:type="dxa"/>
        <w:jc w:val="left"/>
        <w:tblInd w:w="0" w:type="dxa"/>
        <w:tblLayout w:type="fixed"/>
        <w:tblCellMar>
          <w:top w:w="0" w:type="dxa"/>
          <w:left w:w="0" w:type="dxa"/>
          <w:bottom w:w="0" w:type="dxa"/>
          <w:right w:w="0" w:type="dxa"/>
        </w:tblCellMar>
      </w:tblPr>
      <w:tblGrid>
        <w:gridCol w:w="6710"/>
        <w:gridCol w:w="60"/>
        <w:gridCol w:w="125"/>
        <w:gridCol w:w="650"/>
        <w:gridCol w:w="80"/>
        <w:gridCol w:w="60"/>
        <w:gridCol w:w="125"/>
        <w:gridCol w:w="755"/>
        <w:gridCol w:w="80"/>
        <w:gridCol w:w="60"/>
        <w:gridCol w:w="125"/>
        <w:gridCol w:w="695"/>
        <w:gridCol w:w="80"/>
      </w:tblGrid>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73,831</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Impairment of equity method investment and related party notes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13,312</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3,486</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benefit/(expense)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unrealized (gains)/losses on foreign currency revaluation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(12,703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Gains on sale/disposal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Czech Republic business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22,500</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Unbilled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5,451</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33,613</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5,356</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restructuring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108,349</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held to maturity U.S. Treasury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held to maturity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19,918</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equity method investment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related party notes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6,036</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business, net of cash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business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5,063</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(297,893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tbl>
      <w:tblPr>
        <w:tblW w:w="965" w:type="dxa"/>
        <w:jc w:val="left"/>
        <w:tblInd w:w="0" w:type="dxa"/>
        <w:tblLayout w:type="fixed"/>
        <w:tblCellMar>
          <w:top w:w="0" w:type="dxa"/>
          <w:left w:w="0" w:type="dxa"/>
          <w:bottom w:w="0" w:type="dxa"/>
          <w:right w:w="0" w:type="dxa"/>
        </w:tblCellMar>
      </w:tblPr>
      <w:tblGrid>
        <w:gridCol w:w="965"/>
      </w:tblGrid>
      <w:tr>
        <w:trPr/>
        <w:tc>
          <w:tcPr>
            <w:tcW w:w="9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(continued)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630" w:type="dxa"/>
        <w:jc w:val="left"/>
        <w:tblInd w:w="0" w:type="dxa"/>
        <w:tblLayout w:type="fixed"/>
        <w:tblCellMar>
          <w:top w:w="0" w:type="dxa"/>
          <w:left w:w="0" w:type="dxa"/>
          <w:bottom w:w="0" w:type="dxa"/>
          <w:right w:w="0" w:type="dxa"/>
        </w:tblCellMar>
      </w:tblPr>
      <w:tblGrid>
        <w:gridCol w:w="5630"/>
      </w:tblGrid>
      <w:tr>
        <w:trPr/>
        <w:tc>
          <w:tcPr>
            <w:tcW w:w="563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BEL FUSE INC. AND SUBSIDIARIES</w:t>
            </w:r>
          </w:p>
        </w:tc>
      </w:tr>
      <w:tr>
        <w:trPr/>
        <w:tc>
          <w:tcPr>
            <w:tcW w:w="563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 (Continued)</w:t>
            </w:r>
          </w:p>
        </w:tc>
      </w:tr>
      <w:tr>
        <w:trPr/>
        <w:tc>
          <w:tcPr>
            <w:tcW w:w="563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before="0" w:after="283"/>
        <w:jc w:val="left"/>
        <w:rPr/>
      </w:pPr>
      <w:r>
        <w:rPr/>
        <w:t> </w:t>
      </w:r>
    </w:p>
    <w:tbl>
      <w:tblPr>
        <w:tblW w:w="9335" w:type="dxa"/>
        <w:jc w:val="left"/>
        <w:tblInd w:w="0" w:type="dxa"/>
        <w:tblLayout w:type="fixed"/>
        <w:tblCellMar>
          <w:top w:w="0" w:type="dxa"/>
          <w:left w:w="0" w:type="dxa"/>
          <w:bottom w:w="0" w:type="dxa"/>
          <w:right w:w="0" w:type="dxa"/>
        </w:tblCellMar>
      </w:tblPr>
      <w:tblGrid>
        <w:gridCol w:w="6545"/>
        <w:gridCol w:w="60"/>
        <w:gridCol w:w="125"/>
        <w:gridCol w:w="650"/>
        <w:gridCol w:w="80"/>
        <w:gridCol w:w="60"/>
        <w:gridCol w:w="125"/>
        <w:gridCol w:w="695"/>
        <w:gridCol w:w="80"/>
        <w:gridCol w:w="60"/>
        <w:gridCol w:w="125"/>
        <w:gridCol w:w="650"/>
        <w:gridCol w:w="80"/>
      </w:tblGrid>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5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5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common shareholders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(3,492</w:t>
            </w:r>
          </w:p>
        </w:tc>
        <w:tc>
          <w:tcPr>
            <w:tcW w:w="80"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6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treasury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65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financing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revolving line of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54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Proceeds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under revolving line of credit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80" w:type="dxa"/>
            <w:tcBorders/>
            <w:shd w:fill="CCEEFF" w:val="clear"/>
            <w:vAlign w:val="center"/>
          </w:tcPr>
          <w:p>
            <w:pPr>
              <w:pStyle w:val="TableContents"/>
              <w:bidi w:val="0"/>
              <w:spacing w:before="0" w:after="283"/>
              <w:ind w:left="540" w:right="0" w:hanging="0"/>
              <w:jc w:val="left"/>
              <w:rPr>
                <w:rFonts w:ascii="Times New Roman;Times;serif" w:hAnsi="Times New Roman;Times;serif"/>
                <w:sz w:val="20"/>
              </w:rPr>
            </w:pPr>
            <w:r>
              <w:rPr>
                <w:rFonts w:ascii="Times New Roman;Times;serif" w:hAnsi="Times New Roman;Times;serif"/>
                <w:sz w:val="20"/>
              </w:rPr>
              <w:t>)</w:t>
            </w:r>
          </w:p>
        </w:tc>
      </w:tr>
      <w:tr>
        <w:trPr/>
        <w:tc>
          <w:tcPr>
            <w:tcW w:w="654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(38,597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2,888</w:t>
            </w:r>
          </w:p>
        </w:tc>
        <w:tc>
          <w:tcPr>
            <w:tcW w:w="80"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 beginning of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70,266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 end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89,371</w:t>
            </w:r>
          </w:p>
        </w:tc>
        <w:tc>
          <w:tcPr>
            <w:tcW w:w="80"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year for: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65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net of refunds received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65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5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 assumed in exchange for acquired net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 assets obtained in exchange for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5,999</w:t>
            </w:r>
          </w:p>
        </w:tc>
        <w:tc>
          <w:tcPr>
            <w:tcW w:w="80"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45" w:type="dxa"/>
        <w:jc w:val="left"/>
        <w:tblInd w:w="0" w:type="dxa"/>
        <w:tblLayout w:type="fixed"/>
        <w:tblCellMar>
          <w:top w:w="0" w:type="dxa"/>
          <w:left w:w="0" w:type="dxa"/>
          <w:bottom w:w="0" w:type="dxa"/>
          <w:right w:w="0" w:type="dxa"/>
        </w:tblCellMar>
      </w:tblPr>
      <w:tblGrid>
        <w:gridCol w:w="5045"/>
      </w:tblGrid>
      <w:tr>
        <w:trPr/>
        <w:tc>
          <w:tcPr>
            <w:tcW w:w="50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24" w:name="notes"/>
      <w:bookmarkEnd w:id="24"/>
      <w:r>
        <w:rPr>
          <w:rFonts w:ascii="Times New Roman;Times;serif" w:hAnsi="Times New Roman;Times;serif"/>
          <w:sz w:val="20"/>
        </w:rPr>
        <w:t>BEL FUSE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caps/>
          <w:sz w:val="20"/>
        </w:rPr>
        <w:t xml:space="preserve">AS OF AND FOR THE YEARS ENDED DECEMBER 31, </w:t>
      </w:r>
      <w:r>
        <w:rPr>
          <w:rFonts w:ascii="Times New Roman;Times;serif" w:hAnsi="Times New Roman;Times;serif"/>
          <w:sz w:val="20"/>
        </w:rPr>
        <w:t>2025, 2024 AND 2023</w:t>
      </w:r>
    </w:p>
    <w:p>
      <w:pPr>
        <w:pStyle w:val="TextBody"/>
        <w:bidi w:val="0"/>
        <w:spacing w:before="0" w:after="0"/>
        <w:ind w:left="0" w:right="0" w:hanging="0"/>
        <w:jc w:val="center"/>
        <w:rPr/>
      </w:pPr>
      <w:r>
        <w:rPr/>
        <w:t> </w:t>
      </w:r>
    </w:p>
    <w:p>
      <w:pPr>
        <w:pStyle w:val="TextBody"/>
        <w:bidi w:val="0"/>
        <w:spacing w:before="0" w:after="0"/>
        <w:jc w:val="left"/>
        <w:rPr/>
      </w:pPr>
      <w:r>
        <w:rPr/>
        <w:t xml:space="preserve">  </w:t>
      </w:r>
    </w:p>
    <w:tbl>
      <w:tblPr>
        <w:tblW w:w="10165" w:type="dxa"/>
        <w:jc w:val="left"/>
        <w:tblInd w:w="0" w:type="dxa"/>
        <w:tblLayout w:type="fixed"/>
        <w:tblCellMar>
          <w:top w:w="0" w:type="dxa"/>
          <w:left w:w="0" w:type="dxa"/>
          <w:bottom w:w="0" w:type="dxa"/>
          <w:right w:w="0" w:type="dxa"/>
        </w:tblCellMar>
      </w:tblPr>
      <w:tblGrid>
        <w:gridCol w:w="260"/>
        <w:gridCol w:w="9905"/>
      </w:tblGrid>
      <w:tr>
        <w:trPr/>
        <w:tc>
          <w:tcPr>
            <w:tcW w:w="260" w:type="dxa"/>
            <w:tcBorders/>
            <w:vAlign w:val="center"/>
          </w:tcPr>
          <w:p>
            <w:pPr>
              <w:pStyle w:val="TableContents"/>
              <w:bidi w:val="0"/>
              <w:spacing w:before="0" w:after="283"/>
              <w:jc w:val="left"/>
              <w:rPr/>
            </w:pPr>
            <w:r>
              <w:rPr>
                <w:rStyle w:val="Emphasis"/>
              </w:rPr>
              <w:t>1.</w:t>
            </w:r>
            <w:r>
              <w:rPr/>
              <w:t> </w:t>
            </w:r>
          </w:p>
        </w:tc>
        <w:tc>
          <w:tcPr>
            <w:tcW w:w="9905" w:type="dxa"/>
            <w:tcBorders/>
            <w:vAlign w:val="center"/>
          </w:tcPr>
          <w:p>
            <w:pPr>
              <w:pStyle w:val="TableContents"/>
              <w:bidi w:val="0"/>
              <w:spacing w:before="0" w:after="283"/>
              <w:jc w:val="left"/>
              <w:rPr/>
            </w:pPr>
            <w:r>
              <w:rPr/>
              <w:t>DESCRIPTION OF BUSINESS AND SUMMARY OF SIGNIFICANT ACCOUNTING POLICIES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 Fuse Inc. and subsidiaries ("Bel," the "Company," "we," "us," and "our") design, manufacture and market a broad array of products that power, protect and connect electronic circuits. These products are used around the world, primarily in the defense, commercial aerospace, networking, telecommunications, computing, general industrial, high-speed data transmission, transportation and eMobility industries. Bel's portfolio of products also finds application in the automotive, medical, broadcasting and consumer electronics markets. We manage our operations by product group through our reportable operating segments, Power Solutions and Protection, Connectivity Solutions and Magnetic Solutions.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amounts included in the tables to these notes to consolidated financial statements, except per share amounts, are in thousands.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Principles of Consolidation</w:t>
      </w:r>
      <w:r>
        <w:rPr>
          <w:rFonts w:ascii="Times New Roman;Times;serif" w:hAnsi="Times New Roman;Times;serif"/>
          <w:sz w:val="20"/>
        </w:rPr>
        <w:t xml:space="preserve"> - The consolidated financial statements include all of the accounts of the Company and its wholly owned subsidiaries. In accordance with the guidance under ASC Topic </w:t>
      </w:r>
      <w:r>
        <w:rPr>
          <w:rStyle w:val="Emphasis"/>
          <w:rFonts w:ascii="Times New Roman;Times;serif" w:hAnsi="Times New Roman;Times;serif"/>
          <w:sz w:val="20"/>
        </w:rPr>
        <w:t>810</w:t>
      </w:r>
      <w:r>
        <w:rPr>
          <w:rFonts w:ascii="Times New Roman;Times;serif" w:hAnsi="Times New Roman;Times;serif"/>
          <w:sz w:val="20"/>
        </w:rPr>
        <w:t> </w:t>
      </w:r>
      <w:r>
        <w:rPr>
          <w:rFonts w:ascii="Times New Roman;Times;serif" w:hAnsi="Times New Roman;Times;serif"/>
          <w:i/>
          <w:sz w:val="20"/>
        </w:rPr>
        <w:t>"Consolidations"</w:t>
      </w:r>
      <w:r>
        <w:rPr>
          <w:rFonts w:ascii="Times New Roman;Times;serif" w:hAnsi="Times New Roman;Times;serif"/>
          <w:sz w:val="20"/>
        </w:rPr>
        <w:t xml:space="preserve">, while the Company only owns an 80% interest in Enercon, the accompanying consolidated financial statements include </w:t>
      </w:r>
      <w:r>
        <w:rPr>
          <w:rStyle w:val="Emphasis"/>
          <w:rFonts w:ascii="Times New Roman;Times;serif" w:hAnsi="Times New Roman;Times;serif"/>
          <w:sz w:val="20"/>
        </w:rPr>
        <w:t>100%</w:t>
      </w:r>
      <w:r>
        <w:rPr>
          <w:rFonts w:ascii="Times New Roman;Times;serif" w:hAnsi="Times New Roman;Times;serif"/>
          <w:sz w:val="20"/>
        </w:rPr>
        <w:t xml:space="preserve"> of Enercon's financial activity since the effective date of the acquisition. The redeemable noncontrolling interest is reported in the mezzanine (temporary equity) section of the accompanying consolidated balance sheet at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December 31, 2024. </w:t>
      </w:r>
      <w:r>
        <w:rPr>
          <w:rFonts w:ascii="Times New Roman;Times;serif" w:hAnsi="Times New Roman;Times;serif"/>
          <w:sz w:val="20"/>
        </w:rPr>
        <w:t>All intercompany transactions and balances have been eliminated in consolidation.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u w:val="single"/>
        </w:rPr>
        <w:t>Estimates and Uncertainties</w:t>
      </w:r>
      <w:r>
        <w:rPr>
          <w:rFonts w:ascii="Times New Roman;Times;serif" w:hAnsi="Times New Roman;Times;serif"/>
          <w:sz w:val="20"/>
        </w:rPr>
        <w:t xml:space="preserve"> - The preparation of the consolidated financial statements in conformity with accounting principles generally accepted in the United States of America ("U.S. GAAP") requires us to make estimates and judgments that affect the reported amounts of assets, liabilities, revenues and expenses, and related disclosure of contingent assets and liabilities. On an ongoing basis, we evaluate our estimates, including but </w:t>
      </w:r>
      <w:r>
        <w:rPr>
          <w:rStyle w:val="Emphasis"/>
          <w:rFonts w:ascii="Times New Roman;Times;serif" w:hAnsi="Times New Roman;Times;serif"/>
          <w:sz w:val="20"/>
        </w:rPr>
        <w:t>not</w:t>
      </w:r>
      <w:r>
        <w:rPr>
          <w:rFonts w:ascii="Times New Roman;Times;serif" w:hAnsi="Times New Roman;Times;serif"/>
          <w:sz w:val="20"/>
        </w:rPr>
        <w:t xml:space="preserve"> limited to those related to product returns, provisions for bad debt, inventories, goodwill, intangible assets, investments, Supplemental Executive Retirement Plan ("SERP") expense, income taxes, contingencies and litigation. We base our estimates on historical experience and on various other assumptions that are believed to be reasonable under the circumstances, the results of which form the basis for making judgments about the carrying values of assets and liabilities that are </w:t>
      </w:r>
      <w:r>
        <w:rPr>
          <w:rStyle w:val="Emphasis"/>
          <w:rFonts w:ascii="Times New Roman;Times;serif" w:hAnsi="Times New Roman;Times;serif"/>
          <w:sz w:val="20"/>
        </w:rPr>
        <w:t>not</w:t>
      </w:r>
      <w:r>
        <w:rPr>
          <w:rFonts w:ascii="Times New Roman;Times;serif" w:hAnsi="Times New Roman;Times;serif"/>
          <w:sz w:val="20"/>
        </w:rPr>
        <w:t xml:space="preserve"> readily apparent from other sources. Actual results </w:t>
      </w:r>
      <w:r>
        <w:rPr>
          <w:rStyle w:val="Emphasis"/>
          <w:rFonts w:ascii="Times New Roman;Times;serif" w:hAnsi="Times New Roman;Times;serif"/>
          <w:sz w:val="20"/>
        </w:rPr>
        <w:t xml:space="preserve">may </w:t>
      </w:r>
      <w:r>
        <w:rPr>
          <w:rFonts w:ascii="Times New Roman;Times;serif" w:hAnsi="Times New Roman;Times;serif"/>
          <w:sz w:val="20"/>
        </w:rPr>
        <w:t>differ from these estimates under different assumptions or conditions.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Cash, Cash Equivalents and Investments</w:t>
      </w:r>
      <w:r>
        <w:rPr>
          <w:rFonts w:ascii="Times New Roman;Times;serif" w:hAnsi="Times New Roman;Times;serif"/>
          <w:sz w:val="20"/>
        </w:rPr>
        <w:t xml:space="preserve"> - Cash equivalents include short-term investments in money market funds and certificates of deposit with an </w:t>
      </w:r>
      <w:r>
        <w:rPr>
          <w:rFonts w:ascii="Times New Roman;Times;serif" w:hAnsi="Times New Roman;Times;serif"/>
          <w:sz w:val="20"/>
          <w:shd w:fill="FFFFFF" w:val="clear"/>
        </w:rPr>
        <w:t xml:space="preserve">original maturity of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or less when purchased. </w:t>
      </w:r>
      <w:r>
        <w:rPr>
          <w:rFonts w:ascii="Times New Roman;Times;serif" w:hAnsi="Times New Roman;Times;serif"/>
          <w:sz w:val="20"/>
        </w:rPr>
        <w:t xml:space="preserve">Accounts at each U.S. institution are insured by the Federal Deposit Insurance Corporation ("FDIC") up to </w:t>
      </w:r>
      <w:r>
        <w:rPr>
          <w:rStyle w:val="Emphasis"/>
          <w:rFonts w:ascii="Times New Roman;Times;serif" w:hAnsi="Times New Roman;Times;serif"/>
          <w:sz w:val="20"/>
        </w:rPr>
        <w:t>$250,000.</w:t>
      </w:r>
      <w:r>
        <w:rPr>
          <w:rFonts w:ascii="Times New Roman;Times;serif" w:hAnsi="Times New Roman;Times;serif"/>
          <w:sz w:val="20"/>
        </w:rPr>
        <w:t> Substantially all of our U.S. cash and cash equivalents balances are in excess of the FDIC insured limit. The Company periodically invests its excess cash in money market funds and U.S. Treasury Bills. The Company's cash and cash equivalents are placed with high credit quality financial institutions.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held to maturity securities comprised of U.S. Treasury Bills. These investments were classified as held to maturity as the Company had the intent and ability to hold these investments until they matured. The table below shows the amortized costs, associated gross unrealized gains and associated fair value of the held to maturity securities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w:t>
      </w:r>
    </w:p>
    <w:p>
      <w:pPr>
        <w:pStyle w:val="TextBody"/>
        <w:bidi w:val="0"/>
        <w:spacing w:before="0" w:after="0"/>
        <w:ind w:left="0" w:right="0" w:hanging="0"/>
        <w:jc w:val="both"/>
        <w:rPr/>
      </w:pPr>
      <w:r>
        <w:rPr/>
        <w:t> </w:t>
      </w:r>
    </w:p>
    <w:tbl>
      <w:tblPr>
        <w:tblW w:w="6718" w:type="dxa"/>
        <w:jc w:val="left"/>
        <w:tblInd w:w="0" w:type="dxa"/>
        <w:tblLayout w:type="fixed"/>
        <w:tblCellMar>
          <w:top w:w="0" w:type="dxa"/>
          <w:left w:w="0" w:type="dxa"/>
          <w:bottom w:w="0" w:type="dxa"/>
          <w:right w:w="0" w:type="dxa"/>
        </w:tblCellMar>
      </w:tblPr>
      <w:tblGrid>
        <w:gridCol w:w="3290"/>
        <w:gridCol w:w="60"/>
        <w:gridCol w:w="972"/>
        <w:gridCol w:w="622"/>
        <w:gridCol w:w="60"/>
        <w:gridCol w:w="60"/>
        <w:gridCol w:w="432"/>
        <w:gridCol w:w="1162"/>
        <w:gridCol w:w="60"/>
      </w:tblGrid>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Held to maturity U.S. Treasury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left"/>
              <w:rPr/>
            </w:pPr>
            <w:r>
              <w:rPr/>
              <w:t> </w:t>
            </w:r>
          </w:p>
        </w:tc>
        <w:tc>
          <w:tcPr>
            <w:tcW w:w="622"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left"/>
              <w:rPr/>
            </w:pPr>
            <w:r>
              <w:rPr/>
              <w:t> </w:t>
            </w:r>
          </w:p>
        </w:tc>
        <w:tc>
          <w:tcPr>
            <w:tcW w:w="1162" w:type="dxa"/>
            <w:tcBorders/>
            <w:shd w:fill="CCEEFF" w:val="clear"/>
            <w:vAlign w:val="center"/>
          </w:tcPr>
          <w:p>
            <w:pPr>
              <w:pStyle w:val="TableContents"/>
              <w:bidi w:val="0"/>
              <w:spacing w:before="0" w:after="283"/>
              <w:ind w:left="0" w:right="0" w:hanging="0"/>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Cost</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w:t>
            </w:r>
          </w:p>
        </w:tc>
        <w:tc>
          <w:tcPr>
            <w:tcW w:w="6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Unrealized Gain</w:t>
            </w:r>
          </w:p>
        </w:tc>
        <w:tc>
          <w:tcPr>
            <w:tcW w:w="60"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determining the fair value of the Company's held to maturity U.S. Treasury securities, the Company utilized Level </w:t>
      </w:r>
      <w:r>
        <w:rPr>
          <w:rStyle w:val="Emphasis"/>
          <w:rFonts w:ascii="Times New Roman;Times;serif" w:hAnsi="Times New Roman;Times;serif"/>
          <w:sz w:val="20"/>
        </w:rPr>
        <w:t>1</w:t>
      </w:r>
      <w:r>
        <w:rPr>
          <w:rFonts w:ascii="Times New Roman;Times;serif" w:hAnsi="Times New Roman;Times;serif"/>
          <w:sz w:val="20"/>
        </w:rPr>
        <w:t xml:space="preserve"> inputs of the market price for comparable securities as of </w:t>
      </w:r>
      <w:r>
        <w:rPr>
          <w:rStyle w:val="Emphasis"/>
          <w:rFonts w:ascii="Times New Roman;Times;serif" w:hAnsi="Times New Roman;Times;serif"/>
          <w:sz w:val="20"/>
        </w:rPr>
        <w:t>December 31, 2025</w:t>
      </w:r>
      <w:r>
        <w:rPr>
          <w:rFonts w:ascii="Times New Roman;Times;serif" w:hAnsi="Times New Roman;Times;serif"/>
          <w:sz w:val="20"/>
        </w:rPr>
        <w:t xml:space="preserve"> and on </w:t>
      </w:r>
      <w:r>
        <w:rPr>
          <w:rStyle w:val="Emphasis"/>
          <w:rFonts w:ascii="Times New Roman;Times;serif" w:hAnsi="Times New Roman;Times;serif"/>
          <w:sz w:val="20"/>
        </w:rPr>
        <w:t>December 31, 2024</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Allowance for Credit Losses</w:t>
      </w:r>
      <w:r>
        <w:rPr>
          <w:rFonts w:ascii="Times New Roman;Times;serif" w:hAnsi="Times New Roman;Times;serif"/>
          <w:sz w:val="20"/>
        </w:rPr>
        <w:t xml:space="preserve"> - The Company currently measures the expected credit losses based on our historical credit loss experience. The Company has </w:t>
      </w:r>
      <w:r>
        <w:rPr>
          <w:rStyle w:val="Emphasis"/>
          <w:rFonts w:ascii="Times New Roman;Times;serif" w:hAnsi="Times New Roman;Times;serif"/>
          <w:sz w:val="20"/>
        </w:rPr>
        <w:t>not</w:t>
      </w:r>
      <w:r>
        <w:rPr>
          <w:rFonts w:ascii="Times New Roman;Times;serif" w:hAnsi="Times New Roman;Times;serif"/>
          <w:sz w:val="20"/>
        </w:rPr>
        <w:t xml:space="preserve"> experienced significant recent or historical credit losses and is </w:t>
      </w:r>
      <w:r>
        <w:rPr>
          <w:rStyle w:val="Emphasis"/>
          <w:rFonts w:ascii="Times New Roman;Times;serif" w:hAnsi="Times New Roman;Times;serif"/>
          <w:sz w:val="20"/>
        </w:rPr>
        <w:t>not</w:t>
      </w:r>
      <w:r>
        <w:rPr>
          <w:rFonts w:ascii="Times New Roman;Times;serif" w:hAnsi="Times New Roman;Times;serif"/>
          <w:sz w:val="20"/>
        </w:rPr>
        <w:t xml:space="preserve"> forecasting any significant credit losses which would require adjustments to our methodology. If current conditions and supportable forecasts indicate that our historical loss experience is </w:t>
      </w:r>
      <w:r>
        <w:rPr>
          <w:rStyle w:val="Emphasis"/>
          <w:rFonts w:ascii="Times New Roman;Times;serif" w:hAnsi="Times New Roman;Times;serif"/>
          <w:sz w:val="20"/>
        </w:rPr>
        <w:t>not</w:t>
      </w:r>
      <w:r>
        <w:rPr>
          <w:rFonts w:ascii="Times New Roman;Times;serif" w:hAnsi="Times New Roman;Times;serif"/>
          <w:sz w:val="20"/>
        </w:rPr>
        <w:t xml:space="preserve"> reasonable and </w:t>
      </w:r>
      <w:r>
        <w:rPr>
          <w:rStyle w:val="Emphasis"/>
          <w:rFonts w:ascii="Times New Roman;Times;serif" w:hAnsi="Times New Roman;Times;serif"/>
          <w:sz w:val="20"/>
        </w:rPr>
        <w:t>no</w:t>
      </w:r>
      <w:r>
        <w:rPr>
          <w:rFonts w:ascii="Times New Roman;Times;serif" w:hAnsi="Times New Roman;Times;serif"/>
          <w:sz w:val="20"/>
        </w:rPr>
        <w:t xml:space="preserve"> longer supportable,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adjust its historical credit loss experience to reflect these conditions and forecasts. The Company regularly analyzes its significant customer accounts and, when the Company becomes aware of a customer’s inability to meet its financial obligations, the Company records a specific reserve for bad debt to reduce the related receivable to the amount the Company reasonably believes is collectible. Aside from the related party loan further described in Note </w:t>
      </w:r>
      <w:r>
        <w:rPr>
          <w:rStyle w:val="Emphasis"/>
          <w:rFonts w:ascii="Times New Roman;Times;serif" w:hAnsi="Times New Roman;Times;serif"/>
          <w:sz w:val="20"/>
        </w:rPr>
        <w:t>2</w:t>
      </w:r>
      <w:r>
        <w:rPr>
          <w:rFonts w:ascii="Times New Roman;Times;serif" w:hAnsi="Times New Roman;Times;serif"/>
          <w:sz w:val="20"/>
        </w:rPr>
        <w:t xml:space="preserve"> "</w:t>
      </w:r>
      <w:r>
        <w:rPr>
          <w:rFonts w:ascii="Times New Roman;Times;serif" w:hAnsi="Times New Roman;Times;serif"/>
          <w:i/>
          <w:sz w:val="20"/>
        </w:rPr>
        <w:t>Investment and Impairment in Innolectric</w:t>
      </w:r>
      <w:r>
        <w:rPr>
          <w:rFonts w:ascii="Times New Roman;Times;serif" w:hAnsi="Times New Roman;Times;serif"/>
          <w:sz w:val="20"/>
        </w:rPr>
        <w:t xml:space="preserve">", there were </w:t>
      </w:r>
      <w:r>
        <w:rPr>
          <w:rStyle w:val="Emphasis"/>
          <w:rFonts w:ascii="Times New Roman;Times;serif" w:hAnsi="Times New Roman;Times;serif"/>
          <w:sz w:val="20"/>
        </w:rPr>
        <w:t>no</w:t>
      </w:r>
      <w:r>
        <w:rPr>
          <w:rFonts w:ascii="Times New Roman;Times;serif" w:hAnsi="Times New Roman;Times;serif"/>
          <w:sz w:val="20"/>
        </w:rPr>
        <w:t xml:space="preserve"> significant impairment losses related to our receivables in </w:t>
      </w:r>
      <w:r>
        <w:rPr>
          <w:rStyle w:val="Emphasis"/>
          <w:rFonts w:ascii="Times New Roman;Times;serif" w:hAnsi="Times New Roman;Times;serif"/>
          <w:sz w:val="20"/>
        </w:rPr>
        <w:t>2025</w:t>
      </w:r>
      <w:r>
        <w:rPr>
          <w:rFonts w:ascii="Times New Roman;Times;serif" w:hAnsi="Times New Roman;Times;serif"/>
          <w:sz w:val="20"/>
        </w:rPr>
        <w:t xml:space="preserve"> or </w:t>
      </w:r>
      <w:r>
        <w:rPr>
          <w:rStyle w:val="Emphasis"/>
          <w:rFonts w:ascii="Times New Roman;Times;serif" w:hAnsi="Times New Roman;Times;serif"/>
          <w:sz w:val="20"/>
        </w:rPr>
        <w:t>2024.</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Effects of Foreign Currency</w:t>
      </w:r>
      <w:r>
        <w:rPr>
          <w:rFonts w:ascii="Times New Roman;Times;serif" w:hAnsi="Times New Roman;Times;serif"/>
          <w:sz w:val="20"/>
        </w:rPr>
        <w:t xml:space="preserve"> – In non-U.S. locations that are </w:t>
      </w:r>
      <w:r>
        <w:rPr>
          <w:rStyle w:val="Emphasis"/>
          <w:rFonts w:ascii="Times New Roman;Times;serif" w:hAnsi="Times New Roman;Times;serif"/>
          <w:sz w:val="20"/>
        </w:rPr>
        <w:t>not</w:t>
      </w:r>
      <w:r>
        <w:rPr>
          <w:rFonts w:ascii="Times New Roman;Times;serif" w:hAnsi="Times New Roman;Times;serif"/>
          <w:sz w:val="20"/>
        </w:rPr>
        <w:t xml:space="preserve"> considered highly inflationary, we translate the non-equity components of our foreign balance sheets at the end of period exchange rates with translation adjustments accumulated within shareholders' equity on our consolidated balance sheets. We translate the statements of operations at the average exchange rates during the applicable period. In connection with foreign currency denominated transactions, including multi-currency intercompany payable and receivable transactions and loans, the Company incurred net realized and unrealized currency exchange (losses) gains of $10.8 million, ($1.9) million and ($1.4) million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 which were included in other expense, net on the consolidated statements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Concentration of Credit Risk</w:t>
      </w:r>
      <w:r>
        <w:rPr>
          <w:rFonts w:ascii="Times New Roman;Times;serif" w:hAnsi="Times New Roman;Times;serif"/>
          <w:sz w:val="20"/>
        </w:rPr>
        <w:t xml:space="preserve"> - Financial instruments which potentially subject us to concentrations of credit risk consist principally of accounts receivable and temporary cash investments. We grant credit to customers that are primarily original equipment manufacturers, subcontractors of original equipment manufacturers and distributors based on an evalu</w:t>
      </w:r>
      <w:r>
        <w:rPr>
          <w:rFonts w:ascii="Times New Roman;Times;serif" w:hAnsi="Times New Roman;Times;serif"/>
          <w:sz w:val="20"/>
          <w:shd w:fill="FFFFFF" w:val="clear"/>
        </w:rPr>
        <w:t xml:space="preserve">ation of the customer's financial condition, without requiring collateral. Exposure to losses on receivables is principally dependent on each customer's financial condition. We control our exposure to credit risk through credit approvals, credit limits and monitoring procedures and establish allowances for anticipated losses.  See Note </w:t>
      </w:r>
      <w:r>
        <w:rPr>
          <w:rStyle w:val="Emphasis"/>
          <w:rFonts w:ascii="Times New Roman;Times;serif" w:hAnsi="Times New Roman;Times;serif"/>
          <w:sz w:val="20"/>
          <w:shd w:fill="FFFFFF" w:val="clear"/>
        </w:rPr>
        <w:t>14,</w:t>
      </w:r>
      <w:r>
        <w:rPr>
          <w:rFonts w:ascii="Times New Roman;Times;serif" w:hAnsi="Times New Roman;Times;serif"/>
          <w:sz w:val="20"/>
          <w:shd w:fill="FFFFFF" w:val="clear"/>
        </w:rPr>
        <w:t xml:space="preserve"> </w:t>
      </w:r>
      <w:r>
        <w:rPr>
          <w:rFonts w:ascii="Times New Roman;Times;serif" w:hAnsi="Times New Roman;Times;serif"/>
          <w:i/>
          <w:sz w:val="20"/>
          <w:shd w:fill="FFFFFF" w:val="clear"/>
        </w:rPr>
        <w:t>"Segments,</w:t>
      </w:r>
      <w:r>
        <w:rPr>
          <w:rFonts w:ascii="Times New Roman;Times;serif" w:hAnsi="Times New Roman;Times;serif"/>
          <w:sz w:val="20"/>
          <w:shd w:fill="FFFFFF" w:val="clear"/>
        </w:rPr>
        <w:t>"</w:t>
      </w:r>
      <w:r>
        <w:rPr>
          <w:rFonts w:ascii="Times New Roman;Times;serif" w:hAnsi="Times New Roman;Times;serif"/>
          <w:sz w:val="20"/>
        </w:rPr>
        <w:t xml:space="preserve"> for disclosures regarding significant customers.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45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Inventories</w:t>
      </w:r>
      <w:r>
        <w:rPr>
          <w:rFonts w:ascii="Times New Roman;Times;serif" w:hAnsi="Times New Roman;Times;serif"/>
          <w:sz w:val="20"/>
        </w:rPr>
        <w:t xml:space="preserve"> - Inventories are stated at the lower of</w:t>
      </w:r>
      <w:r>
        <w:rPr>
          <w:rFonts w:ascii="Times New Roman;Times;serif" w:hAnsi="Times New Roman;Times;serif"/>
          <w:sz w:val="20"/>
          <w:shd w:fill="FFFFFF" w:val="clear"/>
        </w:rPr>
        <w:t> cost or net realizable value. </w:t>
      </w:r>
      <w:r>
        <w:rPr>
          <w:rFonts w:ascii="Times New Roman;Times;serif" w:hAnsi="Times New Roman;Times;serif"/>
          <w:sz w:val="20"/>
        </w:rPr>
        <w:t>Material costs are determined by standard costs or weighted average cost, both of which approximate actual costs. Costs related to inventories include raw materials, direct labor and manufacturing overhead which are included in cost of sales on the consolidated statements of operations upon sale.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Revenue Recognition</w:t>
      </w:r>
      <w:r>
        <w:rPr>
          <w:rFonts w:ascii="Times New Roman;Times;serif" w:hAnsi="Times New Roman;Times;serif"/>
          <w:sz w:val="20"/>
        </w:rPr>
        <w:t xml:space="preserve"> – Revenue is recognized when a customer obtains control of promised goods or services. The amount of revenue recognized reflects the consideration to which the Company expects to be entitled to receive in exchange for these goods and services. Taxes assessed by a governmental authority that are both imposed on and concurrent with a specific revenue-producing transaction, that are collected by the Company from a customer, are excluded from revenue. Shipping and handling costs associated with outbound freight after control over a product has transferred to a customer are accounted for as a fulfillment cost and are included in cost of sales.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Product Warranties</w:t>
      </w:r>
      <w:r>
        <w:rPr>
          <w:rFonts w:ascii="Times New Roman;Times;serif" w:hAnsi="Times New Roman;Times;serif"/>
          <w:sz w:val="20"/>
        </w:rPr>
        <w:t xml:space="preserve"> – Warranties vary by product line and are competitive for the markets in which the Company operates. Warranties generally extend for one to three years from the date of sale, providing customers with assurance that the related product will function as intended. The Company reviews its warranty liability quarterly based on an analysis of actual expenses and failure rates accompanied with estimated future costs and projected failure rate trends. Factors taken into consideration when evaluating our warranty reserve are (i) historical claims for each product, (ii) volume increases, (iii) life of warranty, (iv) historical warranty repair costs and (v) other factors. To the extent that actual experience differs from our estimate, the provision for product warranties will be adjusted in future periods. Actual warranty repair costs are charged against the reserve balance as incurred.  </w:t>
      </w:r>
      <w:r>
        <w:rPr>
          <w:rFonts w:ascii="Times New Roman;Times;serif" w:hAnsi="Times New Roman;Times;serif"/>
          <w:sz w:val="20"/>
          <w:shd w:fill="FFFFFF" w:val="clear"/>
        </w:rPr>
        <w:t xml:space="preserve">See Note </w:t>
      </w:r>
      <w:r>
        <w:rPr>
          <w:rStyle w:val="Emphasis"/>
          <w:rFonts w:ascii="Times New Roman;Times;serif" w:hAnsi="Times New Roman;Times;serif"/>
          <w:sz w:val="20"/>
          <w:shd w:fill="FFFFFF" w:val="clear"/>
        </w:rPr>
        <w:t>12,</w:t>
      </w:r>
      <w:r>
        <w:rPr>
          <w:rFonts w:ascii="Times New Roman;Times;serif" w:hAnsi="Times New Roman;Times;serif"/>
          <w:sz w:val="20"/>
          <w:shd w:fill="FFFFFF" w:val="clear"/>
        </w:rPr>
        <w:t xml:space="preserve"> </w:t>
      </w:r>
      <w:r>
        <w:rPr>
          <w:rFonts w:ascii="Times New Roman;Times;serif" w:hAnsi="Times New Roman;Times;serif"/>
          <w:i/>
          <w:sz w:val="20"/>
          <w:shd w:fill="FFFFFF" w:val="clear"/>
        </w:rPr>
        <w:t>"Accrued Expenses."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Product Returns</w:t>
      </w:r>
      <w:r>
        <w:rPr>
          <w:rFonts w:ascii="Times New Roman;Times;serif" w:hAnsi="Times New Roman;Times;serif"/>
          <w:sz w:val="20"/>
        </w:rPr>
        <w:t xml:space="preserve"> – We estimate product returns, including product exchanges under warranty, based on historical experience. In general, the Company is </w:t>
      </w:r>
      <w:r>
        <w:rPr>
          <w:rStyle w:val="Emphasis"/>
          <w:rFonts w:ascii="Times New Roman;Times;serif" w:hAnsi="Times New Roman;Times;serif"/>
          <w:sz w:val="20"/>
        </w:rPr>
        <w:t>not</w:t>
      </w:r>
      <w:r>
        <w:rPr>
          <w:rFonts w:ascii="Times New Roman;Times;serif" w:hAnsi="Times New Roman;Times;serif"/>
          <w:sz w:val="20"/>
        </w:rPr>
        <w:t xml:space="preserve"> contractually obligated to accept returns except for defective product or in instances where the product does </w:t>
      </w:r>
      <w:r>
        <w:rPr>
          <w:rStyle w:val="Emphasis"/>
          <w:rFonts w:ascii="Times New Roman;Times;serif" w:hAnsi="Times New Roman;Times;serif"/>
          <w:sz w:val="20"/>
        </w:rPr>
        <w:t>not</w:t>
      </w:r>
      <w:r>
        <w:rPr>
          <w:rFonts w:ascii="Times New Roman;Times;serif" w:hAnsi="Times New Roman;Times;serif"/>
          <w:sz w:val="20"/>
        </w:rPr>
        <w:t xml:space="preserve"> meet the Company's product specifications. However,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permit its customers to return product for other reasons. In certain instances, the Company would generally require a significant cancellation penalty payment by the customer. The Company estimates such returns, where applicable, based upon management's evaluation of historical experience, market acceptance of products produced and known negotiations with customers. Such estimates are deducted from sales and provided for at the time revenue is recognized. Distribution customers often receive what is referred to as "ship and debit" arrangements, whereby Bel will invoice them at an agreed upon unit price upon shipment of product and a price reduction </w:t>
      </w:r>
      <w:r>
        <w:rPr>
          <w:rStyle w:val="Emphasis"/>
          <w:rFonts w:ascii="Times New Roman;Times;serif" w:hAnsi="Times New Roman;Times;serif"/>
          <w:sz w:val="20"/>
        </w:rPr>
        <w:t xml:space="preserve">may </w:t>
      </w:r>
      <w:r>
        <w:rPr>
          <w:rFonts w:ascii="Times New Roman;Times;serif" w:hAnsi="Times New Roman;Times;serif"/>
          <w:sz w:val="20"/>
        </w:rPr>
        <w:t xml:space="preserve">be granted if the market price of the product declines after shipment.  Distributors </w:t>
      </w:r>
      <w:r>
        <w:rPr>
          <w:rStyle w:val="Emphasis"/>
          <w:rFonts w:ascii="Times New Roman;Times;serif" w:hAnsi="Times New Roman;Times;serif"/>
          <w:sz w:val="20"/>
        </w:rPr>
        <w:t xml:space="preserve">may </w:t>
      </w:r>
      <w:r>
        <w:rPr>
          <w:rFonts w:ascii="Times New Roman;Times;serif" w:hAnsi="Times New Roman;Times;serif"/>
          <w:sz w:val="20"/>
        </w:rPr>
        <w:t>also be entitled to special pricing discount credits, and certain customers are entitled to return allowances based on previous sales volumes. Bel deducts estimates for anticipated credits, refunds and returns from sales each quarter based on historical experience.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 xml:space="preserve">Goodwill and Identifiable Intangible Assets </w:t>
      </w:r>
      <w:r>
        <w:rPr>
          <w:rFonts w:ascii="Times New Roman;Times;serif" w:hAnsi="Times New Roman;Times;serif"/>
          <w:sz w:val="20"/>
        </w:rPr>
        <w:t>– Goodwill represents the excess of the aggregate of the following: (</w:t>
      </w:r>
      <w:r>
        <w:rPr>
          <w:rStyle w:val="Emphasis"/>
          <w:rFonts w:ascii="Times New Roman;Times;serif" w:hAnsi="Times New Roman;Times;serif"/>
          <w:sz w:val="20"/>
        </w:rPr>
        <w:t>1</w:t>
      </w:r>
      <w:r>
        <w:rPr>
          <w:rFonts w:ascii="Times New Roman;Times;serif" w:hAnsi="Times New Roman;Times;serif"/>
          <w:sz w:val="20"/>
        </w:rPr>
        <w:t>) consideration transferred, (</w:t>
      </w:r>
      <w:r>
        <w:rPr>
          <w:rStyle w:val="Emphasis"/>
          <w:rFonts w:ascii="Times New Roman;Times;serif" w:hAnsi="Times New Roman;Times;serif"/>
          <w:sz w:val="20"/>
        </w:rPr>
        <w:t>2</w:t>
      </w:r>
      <w:r>
        <w:rPr>
          <w:rFonts w:ascii="Times New Roman;Times;serif" w:hAnsi="Times New Roman;Times;serif"/>
          <w:sz w:val="20"/>
        </w:rPr>
        <w:t>) the fair value of any noncontrolling interest in the acquiree and, (</w:t>
      </w:r>
      <w:r>
        <w:rPr>
          <w:rStyle w:val="Emphasis"/>
          <w:rFonts w:ascii="Times New Roman;Times;serif" w:hAnsi="Times New Roman;Times;serif"/>
          <w:sz w:val="20"/>
        </w:rPr>
        <w:t>3</w:t>
      </w:r>
      <w:r>
        <w:rPr>
          <w:rFonts w:ascii="Times New Roman;Times;serif" w:hAnsi="Times New Roman;Times;serif"/>
          <w:sz w:val="20"/>
        </w:rPr>
        <w:t>) if the business combination is achieved in stages, the acquisition-date fair value of our previously held equity interest in the acquiree over the net of the acquisition-date amounts of the identifiable assets acquired and the liabilities assumed.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Identifiable intangible assets consist primarily of patents, licenses, trademarks, trade names, customer lists and relationships, non-compete agreements and technology-based intangibles and other contractual agreements. We amortize finite-lived identifiable intangible assets over the shorter of their stated or statutory duration or their estimated useful lives, ranging from 1 to 17 years, on a straight-line basis to their estimated residual values and periodically review them for impairment. Total identifiable intangible assets comprise 23.3% and 24.4% at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respectively, of our consolidated total assets.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We use the acquisition method of accounting for those business combinations in which we acquire </w:t>
      </w:r>
      <w:r>
        <w:rPr>
          <w:rStyle w:val="Emphasis"/>
          <w:rFonts w:ascii="Times New Roman;Times;serif" w:hAnsi="Times New Roman;Times;serif"/>
          <w:sz w:val="20"/>
        </w:rPr>
        <w:t>100%</w:t>
      </w:r>
      <w:r>
        <w:rPr>
          <w:rFonts w:ascii="Times New Roman;Times;serif" w:hAnsi="Times New Roman;Times;serif"/>
          <w:sz w:val="20"/>
        </w:rPr>
        <w:t xml:space="preserve"> of the equity. We do </w:t>
      </w:r>
      <w:r>
        <w:rPr>
          <w:rStyle w:val="Emphasis"/>
          <w:rFonts w:ascii="Times New Roman;Times;serif" w:hAnsi="Times New Roman;Times;serif"/>
          <w:sz w:val="20"/>
        </w:rPr>
        <w:t>not</w:t>
      </w:r>
      <w:r>
        <w:rPr>
          <w:rFonts w:ascii="Times New Roman;Times;serif" w:hAnsi="Times New Roman;Times;serif"/>
          <w:sz w:val="20"/>
        </w:rPr>
        <w:t xml:space="preserve"> amortize goodwill or intangible assets with indefinite useful lives. Goodwill and intangible assets with indefinite useful lives are tested for possible impairment annually during the </w:t>
      </w:r>
      <w:r>
        <w:rPr>
          <w:rStyle w:val="Emphasis"/>
          <w:rFonts w:ascii="Times New Roman;Times;serif" w:hAnsi="Times New Roman;Times;serif"/>
          <w:sz w:val="20"/>
        </w:rPr>
        <w:t>fourth</w:t>
      </w:r>
      <w:r>
        <w:rPr>
          <w:rFonts w:ascii="Times New Roman;Times;serif" w:hAnsi="Times New Roman;Times;serif"/>
          <w:sz w:val="20"/>
        </w:rPr>
        <w:t xml:space="preserve"> quarter of each fiscal year or more frequently if events or changes in circumstances indicate that the asset might be impaired.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 xml:space="preserve">Impairment and Disposal of Long-Lived Assets </w:t>
      </w:r>
      <w:r>
        <w:rPr>
          <w:rFonts w:ascii="Times New Roman;Times;serif" w:hAnsi="Times New Roman;Times;serif"/>
          <w:sz w:val="20"/>
        </w:rPr>
        <w:t xml:space="preserve">– For definite-lived intangible assets, such as customer relationships, contracts, intellectual property, and for other long-lived assets, such as property, plant and equipment, whenever impairment indicators are present, we perform a review for impairment. We calculate the undiscounted value of the projected cash flows associated with the asset, or asset group, and compare this estimated amount to the carrying amount. If the carrying amount is found to be greater, we record an impairment loss for the excess of book value over the fair value. In addition, in all cases of an impairment review, we re-evaluate the remaining useful lives of the assets and modify them, as appropriate.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no property was classified as assets held for sale within other current assets on the accompanying condensed consolidated balance sheets. Accordingly, </w:t>
      </w:r>
      <w:r>
        <w:rPr>
          <w:rStyle w:val="Emphasis"/>
          <w:rFonts w:ascii="Times New Roman;Times;serif" w:hAnsi="Times New Roman;Times;serif"/>
          <w:sz w:val="20"/>
        </w:rPr>
        <w:t>no</w:t>
      </w:r>
      <w:r>
        <w:rPr>
          <w:rFonts w:ascii="Times New Roman;Times;serif" w:hAnsi="Times New Roman;Times;serif"/>
          <w:sz w:val="20"/>
        </w:rPr>
        <w:t xml:space="preserve"> impairment testing was performed during </w:t>
      </w:r>
      <w:r>
        <w:rPr>
          <w:rStyle w:val="Emphasis"/>
          <w:rFonts w:ascii="Times New Roman;Times;serif" w:hAnsi="Times New Roman;Times;serif"/>
          <w:sz w:val="20"/>
        </w:rPr>
        <w:t>2025.</w:t>
      </w:r>
      <w:r>
        <w:rPr>
          <w:rFonts w:ascii="Times New Roman;Times;serif" w:hAnsi="Times New Roman;Times;serif"/>
          <w:sz w:val="20"/>
        </w:rPr>
        <w:t xml:space="preserve"> At </w:t>
      </w:r>
      <w:r>
        <w:rPr>
          <w:rStyle w:val="Emphasis"/>
          <w:rFonts w:ascii="Times New Roman;Times;serif" w:hAnsi="Times New Roman;Times;serif"/>
          <w:sz w:val="20"/>
        </w:rPr>
        <w:t xml:space="preserve">December 31, 2024, </w:t>
      </w:r>
      <w:r>
        <w:rPr>
          <w:rFonts w:ascii="Times New Roman;Times;serif" w:hAnsi="Times New Roman;Times;serif"/>
          <w:sz w:val="20"/>
        </w:rPr>
        <w:t xml:space="preserve">a total of $2.1 million of property was classified as assets held for sale (within other current assets) on the accompanying consolidated balance sheet, related to properties in the People’s Republic of China ("PRC") and Glen Rock, Pennsylvania, which were being exited in connection with recent restructuring initiatives and facility consolidation efforts. These assets were evaluated for impairment during </w:t>
      </w:r>
      <w:r>
        <w:rPr>
          <w:rStyle w:val="Emphasis"/>
          <w:rFonts w:ascii="Times New Roman;Times;serif" w:hAnsi="Times New Roman;Times;serif"/>
          <w:sz w:val="20"/>
        </w:rPr>
        <w:t>2024,</w:t>
      </w:r>
      <w:r>
        <w:rPr>
          <w:rFonts w:ascii="Times New Roman;Times;serif" w:hAnsi="Times New Roman;Times;serif"/>
          <w:sz w:val="20"/>
        </w:rPr>
        <w:t xml:space="preserve"> and it was determined that </w:t>
      </w:r>
      <w:r>
        <w:rPr>
          <w:rStyle w:val="Emphasis"/>
          <w:rFonts w:ascii="Times New Roman;Times;serif" w:hAnsi="Times New Roman;Times;serif"/>
          <w:sz w:val="20"/>
        </w:rPr>
        <w:t>no</w:t>
      </w:r>
      <w:r>
        <w:rPr>
          <w:rFonts w:ascii="Times New Roman;Times;serif" w:hAnsi="Times New Roman;Times;serif"/>
          <w:sz w:val="20"/>
        </w:rPr>
        <w:t xml:space="preserve"> impairment existed.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For indefinite-lived intangible assets, such as goodwill, trademarks and tradenames, each year and whenever impairment indicators are present, we determine the fair value of the asset and record an impairment loss for the excess of book value over the fair value, if any. During the year ended </w:t>
      </w:r>
      <w:r>
        <w:rPr>
          <w:rStyle w:val="Emphasis"/>
          <w:rFonts w:ascii="Times New Roman;Times;serif" w:hAnsi="Times New Roman;Times;serif"/>
          <w:sz w:val="20"/>
        </w:rPr>
        <w:t xml:space="preserve">December 31, 2024, </w:t>
      </w:r>
      <w:r>
        <w:rPr>
          <w:rFonts w:ascii="Times New Roman;Times;serif" w:hAnsi="Times New Roman;Times;serif"/>
          <w:sz w:val="20"/>
        </w:rPr>
        <w:t xml:space="preserve">the Company recorded a $0.4 million impairment charge related to its CUI tradename in connection with a significant change in market conditions due to trade restrictions placed on </w:t>
      </w:r>
      <w:r>
        <w:rPr>
          <w:rStyle w:val="Emphasis"/>
          <w:rFonts w:ascii="Times New Roman;Times;serif" w:hAnsi="Times New Roman;Times;serif"/>
          <w:sz w:val="20"/>
        </w:rPr>
        <w:t>one</w:t>
      </w:r>
      <w:r>
        <w:rPr>
          <w:rFonts w:ascii="Times New Roman;Times;serif" w:hAnsi="Times New Roman;Times;serif"/>
          <w:sz w:val="20"/>
        </w:rPr>
        <w:t xml:space="preserve"> of CUI's large suppliers in the PRC by the U.S. government. In addition, in all cases of an impairment review we re-evaluate whether continuing to characterize the asset as indefinite-lived is appropriate. </w:t>
      </w:r>
      <w:r>
        <w:rPr>
          <w:rFonts w:ascii="Times New Roman;Times;serif" w:hAnsi="Times New Roman;Times;serif"/>
          <w:sz w:val="20"/>
          <w:shd w:fill="FFFFFF" w:val="clear"/>
        </w:rPr>
        <w:t xml:space="preserve">See Note </w:t>
      </w:r>
      <w:r>
        <w:rPr>
          <w:rStyle w:val="Emphasis"/>
          <w:rFonts w:ascii="Times New Roman;Times;serif" w:hAnsi="Times New Roman;Times;serif"/>
          <w:sz w:val="20"/>
          <w:shd w:fill="FFFFFF" w:val="clear"/>
        </w:rPr>
        <w:t>5,</w:t>
      </w:r>
      <w:r>
        <w:rPr>
          <w:rFonts w:ascii="Times New Roman;Times;serif" w:hAnsi="Times New Roman;Times;serif"/>
          <w:sz w:val="20"/>
          <w:shd w:fill="FFFFFF" w:val="clear"/>
        </w:rPr>
        <w:t xml:space="preserve"> </w:t>
      </w:r>
      <w:r>
        <w:rPr>
          <w:rFonts w:ascii="Times New Roman;Times;serif" w:hAnsi="Times New Roman;Times;serif"/>
          <w:i/>
          <w:sz w:val="20"/>
          <w:shd w:fill="FFFFFF" w:val="clear"/>
        </w:rPr>
        <w:t>"Goodwill and Other Intangible Assets,"</w:t>
      </w:r>
      <w:r>
        <w:rPr>
          <w:rFonts w:ascii="Times New Roman;Times;serif" w:hAnsi="Times New Roman;Times;serif"/>
          <w:sz w:val="20"/>
          <w:shd w:fill="FFFFFF" w:val="clear"/>
        </w:rPr>
        <w:t xml:space="preserve"> for additional details.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Depreciation</w:t>
      </w:r>
      <w:r>
        <w:rPr>
          <w:rFonts w:ascii="Times New Roman;Times;serif" w:hAnsi="Times New Roman;Times;serif"/>
          <w:sz w:val="20"/>
        </w:rPr>
        <w:t xml:space="preserve"> - Property, plant and equipment are stated at cost less accumulated depreciation and amortization. Depreciation and amortization are calculated primarily using the straight-line method over the estimated useful life of the asset. The estimated useful lives primarily range</w:t>
      </w:r>
      <w:r>
        <w:rPr>
          <w:rFonts w:ascii="Times New Roman;Times;serif" w:hAnsi="Times New Roman;Times;serif"/>
          <w:sz w:val="20"/>
          <w:shd w:fill="FFFFFF" w:val="clear"/>
        </w:rPr>
        <w:t xml:space="preserve"> fro</w:t>
      </w:r>
      <w:r>
        <w:rPr>
          <w:rFonts w:ascii="Times New Roman;Times;serif" w:hAnsi="Times New Roman;Times;serif"/>
          <w:color w:val="000000"/>
          <w:sz w:val="20"/>
        </w:rPr>
        <w:t>m 1 to 33 years for buildings and leasehold improvements, and from 3 to 14 years for m</w:t>
      </w:r>
      <w:r>
        <w:rPr>
          <w:rFonts w:ascii="Times New Roman;Times;serif" w:hAnsi="Times New Roman;Times;serif"/>
          <w:sz w:val="20"/>
        </w:rPr>
        <w:t>achinery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u w:val="single"/>
        </w:rPr>
        <w:t>Redeemable Noncontrolling Interests</w:t>
      </w:r>
      <w:r>
        <w:rPr>
          <w:rFonts w:ascii="Times New Roman" w:hAnsi="Times New Roman"/>
          <w:caps w:val="false"/>
          <w:smallCaps w:val="false"/>
          <w:sz w:val="20"/>
        </w:rPr>
        <w:t xml:space="preserve"> - The Company reports noncontrolling interests in the mezzanine (“temporary equity”) section, between liabilities and equity, of the consolidated balance sheets, to the extent that such noncontrolling interests have redemption features, such as a put/call option (which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bifurcation), that is redeemable at a fixed or determinable price on a fixed or determinable date at the option of the holder, or upon the occurrence of an event that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solely within the control of the Company. Due to its redeemable features that are outside the control of the Company, the redeemable noncontrolling interest is and will continue to be reported in the mezzanine section in the consolidated balance sheets for as long as the put option is exercisable by the option holder. The carrying amount of the redeemable noncontrolling interest, initially valued at fair value as part of acquisition accounting, is adjusted each reporting period to equal the greater of the (i) redemption value or (ii) carrying value of the noncontrolling interest, adjusted each reporting period for income or loss attributable to the noncontrolling interest and any distributions made to date. This subsequent valuation method is in accordance with policy elections made by the Company in its accounting for the redeemable noncontrolling interest. The redemption value is calculated based on a pre-determined multiple of trailing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-months EBITDA (as defined in the Purchase Agreement as further described in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Fonts w:ascii="Times New Roman" w:hAnsi="Times New Roman"/>
          <w:i/>
          <w:caps w:val="false"/>
          <w:smallCaps w:val="false"/>
          <w:sz w:val="20"/>
        </w:rPr>
        <w:t>"Acquisition"</w:t>
      </w:r>
      <w:r>
        <w:rPr>
          <w:rFonts w:ascii="Times New Roman" w:hAnsi="Times New Roman"/>
          <w:caps w:val="false"/>
          <w:smallCaps w:val="false"/>
          <w:sz w:val="20"/>
        </w:rPr>
        <w:t>.</w:t>
      </w:r>
      <w:r>
        <w:rPr>
          <w:rFonts w:ascii="Times New Roman" w:hAnsi="Times New Roman"/>
          <w:caps w:val="false"/>
          <w:smallCaps w:val="false"/>
          <w:sz w:val="20"/>
          <w:shd w:fill="FFFFFF" w:val="clear"/>
        </w:rPr>
        <w:t xml:space="preserve"> Any measurement adjustments, if applicable, to the redeemable noncontrolling interest are recognized as an adjustment to net earnings attributable to noncontrolling interest on the consolidated statement of operations. Net earnings</w:t>
      </w:r>
      <w:r>
        <w:rPr>
          <w:rFonts w:ascii="Times New Roman" w:hAnsi="Times New Roman"/>
          <w:caps w:val="false"/>
          <w:smallCaps w:val="false"/>
          <w:sz w:val="20"/>
        </w:rPr>
        <w:t xml:space="preserve"> attributable to redeemable noncontrolling interest is classified below net earnings. Earnings per share is determined after the impact of the redeemable noncontrolling interest's share in net earnings of the Company. Refer to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Fonts w:ascii="Times New Roman" w:hAnsi="Times New Roman"/>
          <w:i/>
          <w:caps w:val="false"/>
          <w:smallCaps w:val="false"/>
          <w:sz w:val="20"/>
        </w:rPr>
        <w:t>"Acquisition"</w:t>
      </w:r>
      <w:r>
        <w:rPr>
          <w:rFonts w:ascii="Times New Roman" w:hAnsi="Times New Roman"/>
          <w:caps w:val="false"/>
          <w:smallCaps w:val="false"/>
          <w:sz w:val="20"/>
        </w:rPr>
        <w:t>, herein for further details related to the redeemable 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u w:val="single"/>
        </w:rPr>
        <w:t>Derivative Financial Instruments</w:t>
      </w:r>
      <w:r>
        <w:rPr>
          <w:rFonts w:ascii="Times New Roman" w:hAnsi="Times New Roman"/>
          <w:caps w:val="false"/>
          <w:smallCaps w:val="false"/>
          <w:sz w:val="20"/>
        </w:rPr>
        <w:t xml:space="preserve"> - As part of our risk management strategy, when considered appropriate, the Company uses derivative financial instruments including foreign currency forward contracts and interest rate swap agreements to hedge against certain foreign currency and interest rate exposures. The intent is to mitigate gains and losses caused by the underlying exposures with offsetting gains and losses on the derivative contracts. By policy, Bel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enter into speculative positions with derivative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records all derivatives as assets or liabilities on our consolidated balance sheets at their fair values. Gains and losses from the changes in values of these derivatives are accounted for based on the use of the derivative and whether it qualifies for hedge accounting. The Company's interest rate swaps and foreign currency forward contracts related to the Chinese renminbi (both further described in </w:t>
      </w:r>
      <w:r>
        <w:rPr>
          <w:rFonts w:ascii="Times New Roman" w:hAnsi="Times New Roman"/>
          <w:caps w:val="false"/>
          <w:smallCaps w:val="false"/>
          <w:sz w:val="20"/>
          <w:shd w:fill="FFFFFF" w:val="clear"/>
        </w:rPr>
        <w:t xml:space="preserve">Note </w:t>
      </w:r>
      <w:r>
        <w:rPr>
          <w:rStyle w:val="Emphasis"/>
          <w:rFonts w:ascii="Times New Roman" w:hAnsi="Times New Roman"/>
          <w:caps w:val="false"/>
          <w:smallCaps w:val="false"/>
          <w:sz w:val="20"/>
          <w:shd w:fill="FFFFFF" w:val="clear"/>
        </w:rPr>
        <w:t>13,</w:t>
      </w:r>
      <w:r>
        <w:rPr>
          <w:rFonts w:ascii="Times New Roman" w:hAnsi="Times New Roman"/>
          <w:caps w:val="false"/>
          <w:smallCaps w:val="false"/>
          <w:sz w:val="20"/>
          <w:shd w:fill="FFFFFF" w:val="clear"/>
        </w:rPr>
        <w:t xml:space="preserve"> </w:t>
      </w:r>
      <w:r>
        <w:rPr>
          <w:rFonts w:ascii="Times New Roman" w:hAnsi="Times New Roman"/>
          <w:i/>
          <w:caps w:val="false"/>
          <w:smallCaps w:val="false"/>
          <w:sz w:val="20"/>
          <w:shd w:fill="FFFFFF" w:val="clear"/>
        </w:rPr>
        <w:t>"Derivative Instruments and Hedging Activities"</w:t>
      </w:r>
      <w:r>
        <w:rPr>
          <w:rFonts w:ascii="Times New Roman" w:hAnsi="Times New Roman"/>
          <w:caps w:val="false"/>
          <w:smallCaps w:val="false"/>
          <w:sz w:val="20"/>
          <w:shd w:fill="FFFFFF" w:val="clear"/>
        </w:rPr>
        <w:t xml:space="preserve">) have been designated as cash flow hedges and as such, gains/losses are recorded in accumulated other comprehensive </w:t>
      </w:r>
      <w:r>
        <w:rPr>
          <w:rFonts w:ascii="Times New Roman" w:hAnsi="Times New Roman"/>
          <w:caps w:val="false"/>
          <w:smallCaps w:val="false"/>
          <w:sz w:val="20"/>
        </w:rPr>
        <w:t>loss ("AOCL") </w:t>
      </w:r>
      <w:r>
        <w:rPr>
          <w:rFonts w:ascii="Times New Roman" w:hAnsi="Times New Roman"/>
          <w:caps w:val="false"/>
          <w:smallCaps w:val="false"/>
          <w:sz w:val="20"/>
          <w:shd w:fill="FFFFFF" w:val="clear"/>
        </w:rPr>
        <w:t>until such time the hedged item affects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counterparties to our derivative financial instruments consist of several major international financial institutions. We regularly monitor the financial strength of these institutions. While the counterparties to these contracts expose us to the potential risk of credit-related losses in the event of a counterparty’s non-performance, the risk would be limited to the unrealized gains on such affected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u w:val="single"/>
          <w:shd w:fill="FFFFFF" w:val="clear"/>
        </w:rPr>
        <w:t>Income Taxes</w:t>
      </w:r>
      <w:r>
        <w:rPr>
          <w:rFonts w:ascii="Times New Roman;Times;serif" w:hAnsi="Times New Roman;Times;serif"/>
          <w:sz w:val="20"/>
          <w:shd w:fill="FFFFFF" w:val="clear"/>
        </w:rPr>
        <w:t xml:space="preserve"> - </w:t>
      </w:r>
      <w:r>
        <w:rPr>
          <w:rFonts w:ascii="Times New Roman;Times;serif" w:hAnsi="Times New Roman;Times;serif"/>
          <w:sz w:val="20"/>
        </w:rPr>
        <w:t xml:space="preserve">We account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 See Note </w:t>
      </w:r>
      <w:r>
        <w:rPr>
          <w:rStyle w:val="Emphasis"/>
          <w:rFonts w:ascii="Times New Roman;Times;serif" w:hAnsi="Times New Roman;Times;serif"/>
          <w:sz w:val="20"/>
        </w:rPr>
        <w:t>10,</w:t>
      </w:r>
      <w:r>
        <w:rPr>
          <w:rFonts w:ascii="Times New Roman;Times;serif" w:hAnsi="Times New Roman;Times;serif"/>
          <w:sz w:val="20"/>
        </w:rPr>
        <w:t xml:space="preserve"> “</w:t>
      </w:r>
      <w:r>
        <w:rPr>
          <w:rFonts w:ascii="Times New Roman;Times;serif" w:hAnsi="Times New Roman;Times;serif"/>
          <w:i/>
          <w:sz w:val="20"/>
        </w:rPr>
        <w:t>Income Taxes</w:t>
      </w:r>
      <w:r>
        <w:rPr>
          <w:rFonts w:ascii="Times New Roman;Times;serif" w:hAnsi="Times New Roman;Times;serif"/>
          <w:sz w:val="20"/>
        </w:rPr>
        <w:t>”. We record net deferred tax assets to the extent we believe these assets will more-likely-than-</w:t>
      </w:r>
      <w:r>
        <w:rPr>
          <w:rStyle w:val="Emphasis"/>
          <w:rFonts w:ascii="Times New Roman;Times;serif" w:hAnsi="Times New Roman;Times;serif"/>
          <w:sz w:val="20"/>
        </w:rPr>
        <w:t>not</w:t>
      </w:r>
      <w:r>
        <w:rPr>
          <w:rFonts w:ascii="Times New Roman;Times;serif" w:hAnsi="Times New Roman;Times;serif"/>
          <w:sz w:val="20"/>
        </w:rPr>
        <w:t xml:space="preserve"> be realized. In making such determination, we consider all available positive and negative evidence, including future reversals of existing taxable temporary differences, projected future taxable income, tax planning strategies and recent financial operations. We have established valuation allowances for deferred tax assets that are </w:t>
      </w:r>
      <w:r>
        <w:rPr>
          <w:rStyle w:val="Emphasis"/>
          <w:rFonts w:ascii="Times New Roman;Times;serif" w:hAnsi="Times New Roman;Times;serif"/>
          <w:sz w:val="20"/>
        </w:rPr>
        <w:t>not</w:t>
      </w:r>
      <w:r>
        <w:rPr>
          <w:rFonts w:ascii="Times New Roman;Times;serif" w:hAnsi="Times New Roman;Times;serif"/>
          <w:sz w:val="20"/>
        </w:rPr>
        <w:t xml:space="preserve"> likely to be realized. In the event we were to determine that we would be able to realize our deferred income tax assets in the future in excess of our net recorded amount, we would adjust the valuation allowance, which would reduce the provision for income taxes. We establish liabilities for tax contingencies when, despite the belief that our tax return positions are fully supported, it is more likely than </w:t>
      </w:r>
      <w:r>
        <w:rPr>
          <w:rStyle w:val="Emphasis"/>
          <w:rFonts w:ascii="Times New Roman;Times;serif" w:hAnsi="Times New Roman;Times;serif"/>
          <w:sz w:val="20"/>
        </w:rPr>
        <w:t>not</w:t>
      </w:r>
      <w:r>
        <w:rPr>
          <w:rFonts w:ascii="Times New Roman;Times;serif" w:hAnsi="Times New Roman;Times;serif"/>
          <w:sz w:val="20"/>
        </w:rPr>
        <w:t xml:space="preserve"> that certain positions </w:t>
      </w:r>
      <w:r>
        <w:rPr>
          <w:rStyle w:val="Emphasis"/>
          <w:rFonts w:ascii="Times New Roman;Times;serif" w:hAnsi="Times New Roman;Times;serif"/>
          <w:sz w:val="20"/>
        </w:rPr>
        <w:t xml:space="preserve">may </w:t>
      </w:r>
      <w:r>
        <w:rPr>
          <w:rFonts w:ascii="Times New Roman;Times;serif" w:hAnsi="Times New Roman;Times;serif"/>
          <w:sz w:val="20"/>
        </w:rPr>
        <w:t xml:space="preserve">be challenged and </w:t>
      </w:r>
      <w:r>
        <w:rPr>
          <w:rStyle w:val="Emphasis"/>
          <w:rFonts w:ascii="Times New Roman;Times;serif" w:hAnsi="Times New Roman;Times;serif"/>
          <w:sz w:val="20"/>
        </w:rPr>
        <w:t>may not</w:t>
      </w:r>
      <w:r>
        <w:rPr>
          <w:rFonts w:ascii="Times New Roman;Times;serif" w:hAnsi="Times New Roman;Times;serif"/>
          <w:sz w:val="20"/>
        </w:rPr>
        <w:t xml:space="preserve"> be fully sustained. The tax contingency liabilities are analyzed on a quarterly basis and adjusted based upon changes in facts and circumstances, such as the conclusion of federal and state audits, expiration of the statute of limitations for the assessment of tax, case law and emerging legislation. Our effective tax rate includes the effect of tax contingency liabilities and changes to the liabilities as considered appropriate by management.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Earnings per Share</w:t>
      </w:r>
      <w:r>
        <w:rPr>
          <w:rFonts w:ascii="Times New Roman;Times;serif" w:hAnsi="Times New Roman;Times;serif"/>
          <w:sz w:val="20"/>
        </w:rPr>
        <w:t xml:space="preserve"> – We utilize the </w:t>
      </w:r>
      <w:r>
        <w:rPr>
          <w:rStyle w:val="Emphasis"/>
          <w:rFonts w:ascii="Times New Roman;Times;serif" w:hAnsi="Times New Roman;Times;serif"/>
          <w:sz w:val="20"/>
        </w:rPr>
        <w:t>two</w:t>
      </w:r>
      <w:r>
        <w:rPr>
          <w:rFonts w:ascii="Times New Roman;Times;serif" w:hAnsi="Times New Roman;Times;serif"/>
          <w:sz w:val="20"/>
        </w:rPr>
        <w:t xml:space="preserve">-class method to report our earnings per share. The </w:t>
      </w:r>
      <w:r>
        <w:rPr>
          <w:rStyle w:val="Emphasis"/>
          <w:rFonts w:ascii="Times New Roman;Times;serif" w:hAnsi="Times New Roman;Times;serif"/>
          <w:sz w:val="20"/>
        </w:rPr>
        <w:t>two</w:t>
      </w:r>
      <w:r>
        <w:rPr>
          <w:rFonts w:ascii="Times New Roman;Times;serif" w:hAnsi="Times New Roman;Times;serif"/>
          <w:sz w:val="20"/>
        </w:rPr>
        <w:t xml:space="preserve">-class method is an earnings allocation formula that determines earnings per share for each class of common stock according to dividends declared and participation rights in undistributed earnings. The Company's Restated Certificate of Incorporation, as amended, states that the Company's Class B common shares, par value $0.10 per share (the "Class B common stock," "Class B common shares" or "Class B shares"), are entitled to dividends at least 5% greater than dividends paid to Class A common shares, par value $0.10 per share (the "Class A common stock," "Class A common shares" or "Class A shares," and collectively with the Class B common stock, the "common stock" or the "common shares"), resulting in the </w:t>
      </w:r>
      <w:r>
        <w:rPr>
          <w:rStyle w:val="Emphasis"/>
          <w:rFonts w:ascii="Times New Roman;Times;serif" w:hAnsi="Times New Roman;Times;serif"/>
          <w:sz w:val="20"/>
        </w:rPr>
        <w:t>two</w:t>
      </w:r>
      <w:r>
        <w:rPr>
          <w:rFonts w:ascii="Times New Roman;Times;serif" w:hAnsi="Times New Roman;Times;serif"/>
          <w:sz w:val="20"/>
        </w:rPr>
        <w:t xml:space="preserve">-class method of computing earnings per share.  In computing earnings per share, the Company has allocated dividends declared to Class A and Class B shares based on amounts actually declared for each class of stock and 5% more of the undistributed earnings have been allocated to Class B shares than to the Class A shares on a per share basis. Basic earnings per common share are computed by dividing net earnings by the weighted-average number of common shares outstanding during the period. Diluted earnings per common share, for each class of common stock, are computed by dividing net earnings by the weighted-average number of common shares and potential common shares outstanding during the period. </w:t>
      </w:r>
      <w:r>
        <w:rPr>
          <w:rFonts w:ascii="Times New Roman;Times;serif" w:hAnsi="Times New Roman;Times;serif"/>
          <w:sz w:val="20"/>
          <w:shd w:fill="FFFFFF" w:val="clear"/>
        </w:rPr>
        <w:t xml:space="preserve">There were no potential common shares outstanding during the years ended </w:t>
      </w:r>
      <w:r>
        <w:rPr>
          <w:rStyle w:val="Emphasis"/>
          <w:rFonts w:ascii="Times New Roman;Times;serif" w:hAnsi="Times New Roman;Times;serif"/>
          <w:sz w:val="20"/>
        </w:rPr>
        <w:t>December 31, 2025</w:t>
      </w:r>
      <w:r>
        <w:rPr>
          <w:rFonts w:ascii="Times New Roman;Times;serif" w:hAnsi="Times New Roman;Times;serif"/>
          <w:sz w:val="20"/>
          <w:shd w:fill="FFFFFF" w:val="clear"/>
        </w:rPr>
        <w:t>,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or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which would have had a dilutive effect on earnings per share.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earnings and weighted average shares outstanding used in the computation of basic and diluted earnings per share are as follows:</w:t>
      </w:r>
    </w:p>
    <w:p>
      <w:pPr>
        <w:pStyle w:val="TextBody"/>
        <w:bidi w:val="0"/>
        <w:spacing w:before="0" w:after="0"/>
        <w:ind w:left="0" w:right="0" w:hanging="0"/>
        <w:jc w:val="left"/>
        <w:rPr/>
      </w:pPr>
      <w:r>
        <w:rPr/>
        <w:t> </w:t>
      </w:r>
    </w:p>
    <w:tbl>
      <w:tblPr>
        <w:tblW w:w="6965" w:type="dxa"/>
        <w:jc w:val="left"/>
        <w:tblInd w:w="0" w:type="dxa"/>
        <w:tblLayout w:type="fixed"/>
        <w:tblCellMar>
          <w:top w:w="0" w:type="dxa"/>
          <w:left w:w="0" w:type="dxa"/>
          <w:bottom w:w="0" w:type="dxa"/>
          <w:right w:w="0" w:type="dxa"/>
        </w:tblCellMar>
      </w:tblPr>
      <w:tblGrid>
        <w:gridCol w:w="4460"/>
        <w:gridCol w:w="60"/>
        <w:gridCol w:w="125"/>
        <w:gridCol w:w="590"/>
        <w:gridCol w:w="60"/>
        <w:gridCol w:w="60"/>
        <w:gridCol w:w="125"/>
        <w:gridCol w:w="590"/>
        <w:gridCol w:w="60"/>
        <w:gridCol w:w="60"/>
        <w:gridCol w:w="125"/>
        <w:gridCol w:w="590"/>
        <w:gridCol w:w="60"/>
      </w:tblGrid>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December 31,</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Bel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73,831</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dividends declared: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2,997</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Undistributed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70,322</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Undistributed earnings allocation: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undistributed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11,318</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undistributed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59,004</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undistributed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70,322</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allocation: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11,830</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net earnings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62,001</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73,831</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 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60" w:type="dxa"/>
            <w:tcBorders/>
            <w:shd w:fill="FFFFFF" w:val="clear"/>
            <w:vAlign w:val="center"/>
          </w:tcPr>
          <w:p>
            <w:pPr>
              <w:pStyle w:val="TableContents"/>
              <w:bidi w:val="0"/>
              <w:spacing w:before="0" w:after="0"/>
              <w:jc w:val="left"/>
              <w:rPr/>
            </w:pPr>
            <w:r>
              <w:rPr/>
              <w:t> </w:t>
            </w:r>
          </w:p>
        </w:tc>
      </w:tr>
      <w:tr>
        <w:trPr/>
        <w:tc>
          <w:tcPr>
            <w:tcW w:w="44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10,634</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10,634</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per share attributable to Bel shareholders: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 Basic and Diluted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60" w:type="dxa"/>
            <w:tcBorders/>
            <w:shd w:fill="CCEEFF" w:val="clear"/>
            <w:vAlign w:val="center"/>
          </w:tcPr>
          <w:p>
            <w:pPr>
              <w:pStyle w:val="TableContents"/>
              <w:bidi w:val="0"/>
              <w:spacing w:before="0" w:after="0"/>
              <w:jc w:val="left"/>
              <w:rPr/>
            </w:pPr>
            <w:r>
              <w:rPr/>
              <w:t> </w:t>
            </w:r>
          </w:p>
        </w:tc>
      </w:tr>
      <w:tr>
        <w:trPr/>
        <w:tc>
          <w:tcPr>
            <w:tcW w:w="44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6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Research and Development ("R&amp;D")</w:t>
      </w:r>
      <w:r>
        <w:rPr>
          <w:rFonts w:ascii="Times New Roman;Times;serif" w:hAnsi="Times New Roman;Times;serif"/>
          <w:sz w:val="20"/>
        </w:rPr>
        <w:t xml:space="preserve"> - Our engineering groups are strategically located around the world to facilitate communication with and access to customers' engineering personnel. This collaborative approach enables partnerships with customers for technical development efforts. On occasion, we execute non-disclosure agreements with our customers to help develop proprietary, next generation products destined for rapid deployment. R&amp;D costs are expensed as incurred, and are shown as a separate line within operating expenses on the consolidated statements of operations. Generally, R&amp;D is performed internally for the benefit of the Company. R&amp;D costs include salaries, building maintenance and utilities, rents, materials, administration costs and miscellaneous other items. R&amp;D expenses for the years ended </w:t>
      </w:r>
      <w:r>
        <w:rPr>
          <w:rStyle w:val="Emphasis"/>
          <w:rFonts w:ascii="Times New Roman;Times;serif" w:hAnsi="Times New Roman;Times;serif"/>
          <w:sz w:val="20"/>
        </w:rPr>
        <w:t xml:space="preserve"> December 31, 2025</w:t>
      </w:r>
      <w:r>
        <w:rPr>
          <w:rFonts w:ascii="Times New Roman;Times;serif" w:hAnsi="Times New Roman;Times;serif"/>
          <w:sz w:val="20"/>
          <w:shd w:fill="FFFFFF" w:val="clear"/>
        </w:rPr>
        <w:t>,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and </w:t>
      </w:r>
      <w:r>
        <w:rPr>
          <w:rStyle w:val="Emphasis"/>
          <w:rFonts w:ascii="Times New Roman;Times;serif" w:hAnsi="Times New Roman;Times;serif"/>
          <w:sz w:val="20"/>
          <w:shd w:fill="FFFFFF" w:val="clear"/>
        </w:rPr>
        <w:t>2023</w:t>
      </w:r>
      <w:r>
        <w:rPr>
          <w:rFonts w:ascii="Times New Roman;Times;serif" w:hAnsi="Times New Roman;Times;serif"/>
          <w:sz w:val="20"/>
        </w:rPr>
        <w:t xml:space="preserve"> amounted to $30.9 million, </w:t>
      </w:r>
      <w:r>
        <w:rPr>
          <w:rFonts w:ascii="Times New Roman;Times;serif" w:hAnsi="Times New Roman;Times;serif"/>
          <w:sz w:val="20"/>
          <w:shd w:fill="FFFFFF" w:val="clear"/>
        </w:rPr>
        <w:t>$23.6 million</w:t>
      </w:r>
      <w:r>
        <w:rPr>
          <w:rFonts w:ascii="Times New Roman;Times;serif" w:hAnsi="Times New Roman;Times;serif"/>
          <w:sz w:val="20"/>
        </w:rPr>
        <w:t xml:space="preserve"> and $</w:t>
      </w:r>
      <w:r>
        <w:rPr>
          <w:rFonts w:ascii="Times New Roman;Times;serif" w:hAnsi="Times New Roman;Times;serif"/>
          <w:sz w:val="20"/>
          <w:shd w:fill="FFFFFF" w:val="clear"/>
        </w:rPr>
        <w:t>22.5</w:t>
      </w:r>
      <w:r>
        <w:rPr>
          <w:rFonts w:ascii="Times New Roman;Times;serif" w:hAnsi="Times New Roman;Times;serif"/>
          <w:sz w:val="20"/>
        </w:rPr>
        <w:t xml:space="preserve">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u w:val="single"/>
        </w:rPr>
        <w:t>Fair Value Measurements</w:t>
      </w:r>
      <w:r>
        <w:rPr>
          <w:rFonts w:ascii="Times New Roman;Times;serif" w:hAnsi="Times New Roman;Times;serif"/>
          <w:sz w:val="20"/>
        </w:rPr>
        <w:t xml:space="preserve"> - We utilize the accounting guidance for fair value measurements and disclosures for all financial assets and liabilities and nonfinancial assets and liabilities that are recognized or disclosed at fair value in the consolidated financial statements on a recurring basis or on a nonrecurring basis during the reporting period. The fair value is an exit price, representing the price that would be received to sell an asset or paid to transfer a liability in an orderly transaction between market participants based upon the best use of the asset or liability at the measurement date. The Company utilizes market data or assumptions that market participants would use in pricing the asset or liability. We classify our fair value measurements based on the lowest level of input included in the established </w:t>
      </w:r>
      <w:r>
        <w:rPr>
          <w:rStyle w:val="Emphasis"/>
          <w:rFonts w:ascii="Times New Roman;Times;serif" w:hAnsi="Times New Roman;Times;serif"/>
          <w:sz w:val="20"/>
        </w:rPr>
        <w:t>three</w:t>
      </w:r>
      <w:r>
        <w:rPr>
          <w:rFonts w:ascii="Times New Roman;Times;serif" w:hAnsi="Times New Roman;Times;serif"/>
          <w:sz w:val="20"/>
        </w:rPr>
        <w:t>-tier fair value hierarchy, which prioritizes the inputs used in measuring fair value. These tiers are defined as follows:</w:t>
      </w:r>
    </w:p>
    <w:p>
      <w:pPr>
        <w:pStyle w:val="TextBody"/>
        <w:bidi w:val="0"/>
        <w:spacing w:before="0" w:after="0"/>
        <w:ind w:left="0" w:right="0" w:hanging="0"/>
        <w:jc w:val="left"/>
        <w:rPr/>
      </w:pPr>
      <w:r>
        <w:rPr/>
        <w:t> </w:t>
      </w:r>
    </w:p>
    <w:p>
      <w:pPr>
        <w:pStyle w:val="TextBody"/>
        <w:bidi w:val="0"/>
        <w:spacing w:before="0" w:after="0"/>
        <w:ind w:left="720" w:right="0" w:hanging="0"/>
        <w:jc w:val="left"/>
        <w:rPr/>
      </w:pPr>
      <w:r>
        <w:rPr>
          <w:rFonts w:ascii="Times New Roman;Times;serif" w:hAnsi="Times New Roman;Times;serif"/>
          <w:b/>
          <w:sz w:val="20"/>
        </w:rPr>
        <w:t xml:space="preserve">Level </w:t>
      </w:r>
      <w:r>
        <w:rPr>
          <w:rStyle w:val="Emphasis"/>
          <w:rFonts w:ascii="Times New Roman;Times;serif" w:hAnsi="Times New Roman;Times;serif"/>
          <w:b/>
          <w:sz w:val="20"/>
        </w:rPr>
        <w:t>1</w:t>
      </w:r>
      <w:r>
        <w:rPr>
          <w:rFonts w:ascii="Times New Roman;Times;serif" w:hAnsi="Times New Roman;Times;serif"/>
          <w:sz w:val="20"/>
        </w:rPr>
        <w:t xml:space="preserve"> - Observable inputs such as quoted market prices in active markets</w:t>
      </w:r>
    </w:p>
    <w:p>
      <w:pPr>
        <w:pStyle w:val="TextBody"/>
        <w:bidi w:val="0"/>
        <w:spacing w:before="0" w:after="0"/>
        <w:ind w:left="0" w:right="0" w:hanging="0"/>
        <w:jc w:val="left"/>
        <w:rPr/>
      </w:pPr>
      <w:r>
        <w:rPr/>
        <w:t> </w:t>
      </w:r>
    </w:p>
    <w:p>
      <w:pPr>
        <w:pStyle w:val="TextBody"/>
        <w:bidi w:val="0"/>
        <w:spacing w:before="0" w:after="0"/>
        <w:ind w:left="720" w:right="0" w:hanging="0"/>
        <w:jc w:val="left"/>
        <w:rPr/>
      </w:pPr>
      <w:r>
        <w:rPr>
          <w:rFonts w:ascii="Times New Roman;Times;serif" w:hAnsi="Times New Roman;Times;serif"/>
          <w:b/>
          <w:sz w:val="20"/>
        </w:rPr>
        <w:t xml:space="preserve">Level </w:t>
      </w:r>
      <w:r>
        <w:rPr>
          <w:rStyle w:val="Emphasis"/>
          <w:rFonts w:ascii="Times New Roman;Times;serif" w:hAnsi="Times New Roman;Times;serif"/>
          <w:b/>
          <w:sz w:val="20"/>
        </w:rPr>
        <w:t>2</w:t>
      </w:r>
      <w:r>
        <w:rPr>
          <w:rFonts w:ascii="Times New Roman;Times;serif" w:hAnsi="Times New Roman;Times;serif"/>
          <w:sz w:val="20"/>
        </w:rPr>
        <w:t xml:space="preserve"> - Inputs other than quoted prices in active markets that are either directly or indirectly observable</w:t>
      </w:r>
    </w:p>
    <w:p>
      <w:pPr>
        <w:pStyle w:val="TextBody"/>
        <w:bidi w:val="0"/>
        <w:spacing w:before="0" w:after="0"/>
        <w:ind w:left="0" w:right="0" w:hanging="0"/>
        <w:jc w:val="left"/>
        <w:rPr/>
      </w:pPr>
      <w:r>
        <w:rPr/>
        <w:t> </w:t>
      </w:r>
    </w:p>
    <w:p>
      <w:pPr>
        <w:pStyle w:val="TextBody"/>
        <w:bidi w:val="0"/>
        <w:spacing w:before="0" w:after="0"/>
        <w:ind w:left="720" w:right="0" w:hanging="0"/>
        <w:jc w:val="left"/>
        <w:rPr/>
      </w:pPr>
      <w:r>
        <w:rPr>
          <w:rFonts w:ascii="Times New Roman;Times;serif" w:hAnsi="Times New Roman;Times;serif"/>
          <w:b/>
          <w:sz w:val="20"/>
        </w:rPr>
        <w:t xml:space="preserve">Level </w:t>
      </w:r>
      <w:r>
        <w:rPr>
          <w:rStyle w:val="Emphasis"/>
          <w:rFonts w:ascii="Times New Roman;Times;serif" w:hAnsi="Times New Roman;Times;serif"/>
          <w:b/>
          <w:sz w:val="20"/>
        </w:rPr>
        <w:t>3</w:t>
      </w:r>
      <w:r>
        <w:rPr>
          <w:rFonts w:ascii="Times New Roman;Times;serif" w:hAnsi="Times New Roman;Times;serif"/>
          <w:sz w:val="20"/>
        </w:rPr>
        <w:t xml:space="preserve"> - Unobservable inputs about which little or </w:t>
      </w:r>
      <w:r>
        <w:rPr>
          <w:rStyle w:val="Emphasis"/>
          <w:rFonts w:ascii="Times New Roman;Times;serif" w:hAnsi="Times New Roman;Times;serif"/>
          <w:sz w:val="20"/>
        </w:rPr>
        <w:t>no</w:t>
      </w:r>
      <w:r>
        <w:rPr>
          <w:rFonts w:ascii="Times New Roman;Times;serif" w:hAnsi="Times New Roman;Times;serif"/>
          <w:sz w:val="20"/>
        </w:rPr>
        <w:t xml:space="preserve"> market data exists, therefore requiring an entity to develop its own assumptions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For financial instruments such as cash and cash equivalents, accounts receivable, accounts payable and accrued expenses, the carrying amount approximates fair value because of the short maturities of such instruments. See Note </w:t>
      </w:r>
      <w:r>
        <w:rPr>
          <w:rStyle w:val="Emphasis"/>
          <w:rFonts w:ascii="Times New Roman;Times;serif" w:hAnsi="Times New Roman;Times;serif"/>
          <w:sz w:val="20"/>
        </w:rPr>
        <w:t>6,</w:t>
      </w:r>
      <w:r>
        <w:rPr>
          <w:rFonts w:ascii="Times New Roman;Times;serif" w:hAnsi="Times New Roman;Times;serif"/>
          <w:sz w:val="20"/>
        </w:rPr>
        <w:t xml:space="preserve"> </w:t>
      </w:r>
      <w:r>
        <w:rPr>
          <w:rFonts w:ascii="Times New Roman;Times;serif" w:hAnsi="Times New Roman;Times;serif"/>
          <w:i/>
          <w:sz w:val="20"/>
        </w:rPr>
        <w:t>"Fair Value Measurements,"</w:t>
      </w:r>
      <w:r>
        <w:rPr>
          <w:rFonts w:ascii="Times New Roman;Times;serif" w:hAnsi="Times New Roman;Times;serif"/>
          <w:sz w:val="20"/>
        </w:rPr>
        <w:t xml:space="preserve"> for additional disclosures related to fair value measurements.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Recently Issued Accounting Standards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Recently Adopted Accounting Standards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December 2023, </w:t>
      </w:r>
      <w:r>
        <w:rPr>
          <w:rFonts w:ascii="Times New Roman;Times;serif" w:hAnsi="Times New Roman;Times;serif"/>
          <w:sz w:val="20"/>
        </w:rPr>
        <w:t>the Financial Accounting Standards Board ("FASB") issued Accounting Standard Update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w:t>
      </w:r>
      <w:r>
        <w:rPr>
          <w:rFonts w:ascii="Times New Roman;Times;serif" w:hAnsi="Times New Roman;Times;serif"/>
          <w:i/>
          <w:sz w:val="20"/>
        </w:rPr>
        <w:t xml:space="preserve">Income Taxes (Topic </w:t>
      </w:r>
      <w:r>
        <w:rPr>
          <w:rStyle w:val="Emphasis"/>
          <w:rFonts w:ascii="Times New Roman;Times;serif" w:hAnsi="Times New Roman;Times;serif"/>
          <w:i/>
          <w:sz w:val="20"/>
        </w:rPr>
        <w:t>740</w:t>
      </w:r>
      <w:r>
        <w:rPr>
          <w:rFonts w:ascii="Times New Roman;Times;serif" w:hAnsi="Times New Roman;Times;serif"/>
          <w:i/>
          <w:sz w:val="20"/>
        </w:rPr>
        <w:t>): Improvements to Income Tax Disclosures</w:t>
      </w:r>
      <w:r>
        <w:rPr>
          <w:rFonts w:ascii="Times New Roman;Times;serif" w:hAnsi="Times New Roman;Times;serif"/>
          <w:sz w:val="20"/>
        </w:rPr>
        <w:t>, which focuses on the rate reconciliation and income taxes paid.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w:t>
      </w:r>
      <w:r>
        <w:rPr>
          <w:rStyle w:val="Emphasis"/>
          <w:rFonts w:ascii="Times New Roman;Times;serif" w:hAnsi="Times New Roman;Times;serif"/>
          <w:sz w:val="20"/>
        </w:rPr>
        <w:t>5%</w:t>
      </w:r>
      <w:r>
        <w:rPr>
          <w:rFonts w:ascii="Times New Roman;Times;serif" w:hAnsi="Times New Roman;Times;serif"/>
          <w:sz w:val="20"/>
        </w:rPr>
        <w:t xml:space="preserve"> of total income tax payments, net of refunds received. The Company adopted this ASU on a retrospective basis from </w:t>
      </w:r>
      <w:r>
        <w:rPr>
          <w:rStyle w:val="Emphasis"/>
          <w:rFonts w:ascii="Times New Roman;Times;serif" w:hAnsi="Times New Roman;Times;serif"/>
          <w:sz w:val="20"/>
        </w:rPr>
        <w:t>2023.</w:t>
      </w:r>
      <w:r>
        <w:rPr>
          <w:rFonts w:ascii="Times New Roman;Times;serif" w:hAnsi="Times New Roman;Times;serif"/>
          <w:sz w:val="20"/>
        </w:rPr>
        <w:t xml:space="preserve">  Refer to Note </w:t>
      </w:r>
      <w:r>
        <w:rPr>
          <w:rStyle w:val="Emphasis"/>
          <w:rFonts w:ascii="Times New Roman;Times;serif" w:hAnsi="Times New Roman;Times;serif"/>
          <w:sz w:val="20"/>
        </w:rPr>
        <w:t>10,</w:t>
      </w:r>
      <w:r>
        <w:rPr>
          <w:rFonts w:ascii="Times New Roman;Times;serif" w:hAnsi="Times New Roman;Times;serif"/>
          <w:sz w:val="20"/>
        </w:rPr>
        <w:t xml:space="preserve"> "</w:t>
      </w:r>
      <w:r>
        <w:rPr>
          <w:rFonts w:ascii="Times New Roman;Times;serif" w:hAnsi="Times New Roman;Times;serif"/>
          <w:i/>
          <w:sz w:val="20"/>
        </w:rPr>
        <w:t>Income Taxes"</w:t>
      </w:r>
      <w:r>
        <w:rPr>
          <w:rFonts w:ascii="Times New Roman;Times;serif" w:hAnsi="Times New Roman;Times;serif"/>
          <w:sz w:val="20"/>
        </w:rPr>
        <w:t>, for the inclusion of new disclosures required.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In </w:t>
      </w:r>
      <w:r>
        <w:rPr>
          <w:rStyle w:val="Emphasis"/>
          <w:rFonts w:ascii="Times New Roman;Times;serif" w:hAnsi="Times New Roman;Times;serif"/>
          <w:sz w:val="20"/>
          <w:shd w:fill="FFFFFF" w:val="clear"/>
        </w:rPr>
        <w:t>November 2023, </w:t>
      </w:r>
      <w:r>
        <w:rPr>
          <w:rFonts w:ascii="Times New Roman;Times;serif" w:hAnsi="Times New Roman;Times;serif"/>
          <w:sz w:val="20"/>
        </w:rPr>
        <w:t>the FASB issued ASU</w:t>
      </w:r>
      <w:r>
        <w:rPr>
          <w:rFonts w:ascii="Times New Roman;Times;serif" w:hAnsi="Times New Roman;Times;serif"/>
          <w:sz w:val="20"/>
          <w:shd w:fill="FFFFFF" w:val="clear"/>
        </w:rPr>
        <w:t>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w:t>
      </w:r>
      <w:r>
        <w:rPr>
          <w:rStyle w:val="Emphasis"/>
          <w:rFonts w:ascii="Times New Roman;Times;serif" w:hAnsi="Times New Roman;Times;serif"/>
          <w:sz w:val="20"/>
          <w:shd w:fill="FFFFFF" w:val="clear"/>
        </w:rPr>
        <w:t>07,</w:t>
      </w:r>
      <w:r>
        <w:rPr>
          <w:rFonts w:ascii="Times New Roman;Times;serif" w:hAnsi="Times New Roman;Times;serif"/>
          <w:sz w:val="20"/>
          <w:shd w:fill="FFFFFF" w:val="clear"/>
        </w:rPr>
        <w:t> </w:t>
      </w:r>
      <w:r>
        <w:rPr>
          <w:rFonts w:ascii="Times New Roman;Times;serif" w:hAnsi="Times New Roman;Times;serif"/>
          <w:i/>
          <w:sz w:val="20"/>
          <w:shd w:fill="FFFFFF" w:val="clear"/>
        </w:rPr>
        <w:t xml:space="preserve">Segment Reporting (Topic </w:t>
      </w:r>
      <w:r>
        <w:rPr>
          <w:rStyle w:val="Emphasis"/>
          <w:rFonts w:ascii="Times New Roman;Times;serif" w:hAnsi="Times New Roman;Times;serif"/>
          <w:i/>
          <w:sz w:val="20"/>
          <w:shd w:fill="FFFFFF" w:val="clear"/>
        </w:rPr>
        <w:t>280</w:t>
      </w:r>
      <w:r>
        <w:rPr>
          <w:rFonts w:ascii="Times New Roman;Times;serif" w:hAnsi="Times New Roman;Times;serif"/>
          <w:i/>
          <w:sz w:val="20"/>
          <w:shd w:fill="FFFFFF" w:val="clear"/>
        </w:rPr>
        <w:t>): Improvements to Reportable Segment Disclosures</w:t>
      </w:r>
      <w:r>
        <w:rPr>
          <w:rFonts w:ascii="Times New Roman;Times;serif" w:hAnsi="Times New Roman;Times;serif"/>
          <w:sz w:val="20"/>
          <w:shd w:fill="FFFFFF" w:val="clear"/>
        </w:rPr>
        <w:t xml:space="preserve">, which requires a public entity to disclose significant segment expenses and other segment items on an annual and interim basis and provide in interim periods all disclosures about a reportable segment’s profit or loss and assets that prior to adoption of this guidance had been required annually. Additionally, it requires a public entity to disclose the title and position of the Chief Operating Decision Maker ("CODM"). The ASU does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change how a public entity identifies its operating segments, aggregates them, or applies the quantitative thresholds to determine its reportable segments. In the </w:t>
      </w:r>
      <w:r>
        <w:rPr>
          <w:rStyle w:val="Emphasis"/>
          <w:rFonts w:ascii="Times New Roman;Times;serif" w:hAnsi="Times New Roman;Times;serif"/>
          <w:sz w:val="20"/>
          <w:shd w:fill="FFFFFF" w:val="clear"/>
        </w:rPr>
        <w:t>fourth</w:t>
      </w:r>
      <w:r>
        <w:rPr>
          <w:rFonts w:ascii="Times New Roman;Times;serif" w:hAnsi="Times New Roman;Times;serif"/>
          <w:sz w:val="20"/>
          <w:shd w:fill="FFFFFF" w:val="clear"/>
        </w:rPr>
        <w:t xml:space="preserve"> quarter of </w:t>
      </w:r>
      <w:r>
        <w:rPr>
          <w:rStyle w:val="Emphasis"/>
          <w:rFonts w:ascii="Times New Roman;Times;serif" w:hAnsi="Times New Roman;Times;serif"/>
          <w:sz w:val="20"/>
          <w:shd w:fill="FFFFFF" w:val="clear"/>
        </w:rPr>
        <w:t>2024,</w:t>
      </w:r>
      <w:r>
        <w:rPr>
          <w:rFonts w:ascii="Times New Roman;Times;serif" w:hAnsi="Times New Roman;Times;serif"/>
          <w:sz w:val="20"/>
          <w:shd w:fill="FFFFFF" w:val="clear"/>
        </w:rPr>
        <w:t xml:space="preserve"> the Company adopted this guidance and applied the amendments retrospectively to all prior periods presented in the accompanying financial statements. This adoption only impacted our disclosures and did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have any impact to our results of operations, cash flows and financial condition. See Note </w:t>
      </w:r>
      <w:r>
        <w:rPr>
          <w:rStyle w:val="Emphasis"/>
          <w:rFonts w:ascii="Times New Roman;Times;serif" w:hAnsi="Times New Roman;Times;serif"/>
          <w:sz w:val="20"/>
          <w:shd w:fill="FFFFFF" w:val="clear"/>
        </w:rPr>
        <w:t>14,</w:t>
      </w:r>
      <w:r>
        <w:rPr>
          <w:rFonts w:ascii="Times New Roman;Times;serif" w:hAnsi="Times New Roman;Times;serif"/>
          <w:sz w:val="20"/>
          <w:shd w:fill="FFFFFF" w:val="clear"/>
        </w:rPr>
        <w:t xml:space="preserve"> </w:t>
      </w:r>
      <w:r>
        <w:rPr>
          <w:rFonts w:ascii="Times New Roman;Times;serif" w:hAnsi="Times New Roman;Times;serif"/>
          <w:i/>
          <w:sz w:val="20"/>
          <w:shd w:fill="FFFFFF" w:val="clear"/>
        </w:rPr>
        <w:t>"Segments"</w:t>
      </w:r>
      <w:r>
        <w:rPr>
          <w:rFonts w:ascii="Times New Roman;Times;serif" w:hAnsi="Times New Roman;Times;serif"/>
          <w:sz w:val="20"/>
          <w:shd w:fill="FFFFFF" w:val="clear"/>
        </w:rPr>
        <w:t>, for applicable reportable segment disclosures required by this guidance.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March 2020, </w:t>
      </w:r>
      <w:r>
        <w:rPr>
          <w:rFonts w:ascii="Times New Roman;Times;serif" w:hAnsi="Times New Roman;Times;serif"/>
          <w:sz w:val="20"/>
        </w:rPr>
        <w:t xml:space="preserve">the FASB issued ASU </w:t>
      </w:r>
      <w:r>
        <w:rPr>
          <w:rStyle w:val="Emphasis"/>
          <w:rFonts w:ascii="Times New Roman;Times;serif" w:hAnsi="Times New Roman;Times;serif"/>
          <w:sz w:val="20"/>
        </w:rPr>
        <w:t>2020</w:t>
      </w:r>
      <w:r>
        <w:rPr>
          <w:rFonts w:ascii="Times New Roman;Times;serif" w:hAnsi="Times New Roman;Times;serif"/>
          <w:sz w:val="20"/>
        </w:rPr>
        <w:t>-</w:t>
      </w:r>
      <w:r>
        <w:rPr>
          <w:rStyle w:val="Emphasis"/>
          <w:rFonts w:ascii="Times New Roman;Times;serif" w:hAnsi="Times New Roman;Times;serif"/>
          <w:sz w:val="20"/>
        </w:rPr>
        <w:t>04,</w:t>
      </w:r>
      <w:r>
        <w:rPr>
          <w:rFonts w:ascii="Times New Roman;Times;serif" w:hAnsi="Times New Roman;Times;serif"/>
          <w:sz w:val="20"/>
        </w:rPr>
        <w:t xml:space="preserve"> </w:t>
      </w:r>
      <w:r>
        <w:rPr>
          <w:rFonts w:ascii="Times New Roman;Times;serif" w:hAnsi="Times New Roman;Times;serif"/>
          <w:i/>
          <w:sz w:val="20"/>
        </w:rPr>
        <w:t xml:space="preserve">Reference Rate Reform (Topic </w:t>
      </w:r>
      <w:r>
        <w:rPr>
          <w:rStyle w:val="Emphasis"/>
          <w:rFonts w:ascii="Times New Roman;Times;serif" w:hAnsi="Times New Roman;Times;serif"/>
          <w:i/>
          <w:sz w:val="20"/>
        </w:rPr>
        <w:t>848</w:t>
      </w:r>
      <w:r>
        <w:rPr>
          <w:rFonts w:ascii="Times New Roman;Times;serif" w:hAnsi="Times New Roman;Times;serif"/>
          <w:i/>
          <w:sz w:val="20"/>
        </w:rPr>
        <w:t>): Facilitation of the Effects of Reference Rate Reform on Financial Reporting</w:t>
      </w:r>
      <w:r>
        <w:rPr>
          <w:rFonts w:ascii="Times New Roman;Times;serif" w:hAnsi="Times New Roman;Times;serif"/>
          <w:sz w:val="20"/>
        </w:rPr>
        <w:t xml:space="preserve">. ASU </w:t>
      </w:r>
      <w:r>
        <w:rPr>
          <w:rStyle w:val="Emphasis"/>
          <w:rFonts w:ascii="Times New Roman;Times;serif" w:hAnsi="Times New Roman;Times;serif"/>
          <w:sz w:val="20"/>
        </w:rPr>
        <w:t>2020</w:t>
      </w:r>
      <w:r>
        <w:rPr>
          <w:rFonts w:ascii="Times New Roman;Times;serif" w:hAnsi="Times New Roman;Times;serif"/>
          <w:sz w:val="20"/>
        </w:rPr>
        <w:t>-</w:t>
      </w:r>
      <w:r>
        <w:rPr>
          <w:rStyle w:val="Emphasis"/>
          <w:rFonts w:ascii="Times New Roman;Times;serif" w:hAnsi="Times New Roman;Times;serif"/>
          <w:sz w:val="20"/>
        </w:rPr>
        <w:t>04</w:t>
      </w:r>
      <w:r>
        <w:rPr>
          <w:rFonts w:ascii="Times New Roman;Times;serif" w:hAnsi="Times New Roman;Times;serif"/>
          <w:sz w:val="20"/>
        </w:rPr>
        <w:t xml:space="preserve"> provides temporary optional guidance on contract modifications and hedge accounting to ease the financial reporting burdens of the market transition from the London Interbank Offered Rate (“LIBOR”) to alternative reference rates. In </w:t>
      </w:r>
      <w:r>
        <w:rPr>
          <w:rStyle w:val="Emphasis"/>
          <w:rFonts w:ascii="Times New Roman;Times;serif" w:hAnsi="Times New Roman;Times;serif"/>
          <w:sz w:val="20"/>
        </w:rPr>
        <w:t xml:space="preserve">January 2021, </w:t>
      </w:r>
      <w:r>
        <w:rPr>
          <w:rFonts w:ascii="Times New Roman;Times;serif" w:hAnsi="Times New Roman;Times;serif"/>
          <w:sz w:val="20"/>
        </w:rPr>
        <w:t xml:space="preserve">the FASB issued ASU </w:t>
      </w:r>
      <w:r>
        <w:rPr>
          <w:rStyle w:val="Emphasis"/>
          <w:rFonts w:ascii="Times New Roman;Times;serif" w:hAnsi="Times New Roman;Times;serif"/>
          <w:sz w:val="20"/>
        </w:rPr>
        <w:t>2021</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which refined the scope of Topic </w:t>
      </w:r>
      <w:r>
        <w:rPr>
          <w:rStyle w:val="Emphasis"/>
          <w:rFonts w:ascii="Times New Roman;Times;serif" w:hAnsi="Times New Roman;Times;serif"/>
          <w:sz w:val="20"/>
        </w:rPr>
        <w:t>848</w:t>
      </w:r>
      <w:r>
        <w:rPr>
          <w:rFonts w:ascii="Times New Roman;Times;serif" w:hAnsi="Times New Roman;Times;serif"/>
          <w:sz w:val="20"/>
        </w:rPr>
        <w:t xml:space="preserve"> and clarified some of its guidance as part of the FASB’s monitoring of global reference rate activities. This updated guidance was effective upon issuance, and the Company was initially allowed to elect to apply the amendments prospectively through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In </w:t>
      </w:r>
      <w:r>
        <w:rPr>
          <w:rStyle w:val="Emphasis"/>
          <w:rFonts w:ascii="Times New Roman;Times;serif" w:hAnsi="Times New Roman;Times;serif"/>
          <w:sz w:val="20"/>
        </w:rPr>
        <w:t xml:space="preserve">December 2022, </w:t>
      </w:r>
      <w:r>
        <w:rPr>
          <w:rFonts w:ascii="Times New Roman;Times;serif" w:hAnsi="Times New Roman;Times;serif"/>
          <w:sz w:val="20"/>
        </w:rPr>
        <w:t xml:space="preserve">the FASB issued ASU </w:t>
      </w:r>
      <w:r>
        <w:rPr>
          <w:rStyle w:val="Emphasis"/>
          <w:rFonts w:ascii="Times New Roman;Times;serif" w:hAnsi="Times New Roman;Times;serif"/>
          <w:sz w:val="20"/>
        </w:rPr>
        <w:t>2022</w:t>
      </w:r>
      <w:r>
        <w:rPr>
          <w:rFonts w:ascii="Times New Roman;Times;serif" w:hAnsi="Times New Roman;Times;serif"/>
          <w:sz w:val="20"/>
        </w:rPr>
        <w:t>-</w:t>
      </w:r>
      <w:r>
        <w:rPr>
          <w:rStyle w:val="Emphasis"/>
          <w:rFonts w:ascii="Times New Roman;Times;serif" w:hAnsi="Times New Roman;Times;serif"/>
          <w:sz w:val="20"/>
        </w:rPr>
        <w:t>06,</w:t>
      </w:r>
      <w:r>
        <w:rPr>
          <w:rFonts w:ascii="Times New Roman;Times;serif" w:hAnsi="Times New Roman;Times;serif"/>
          <w:sz w:val="20"/>
        </w:rPr>
        <w:t xml:space="preserve"> </w:t>
      </w:r>
      <w:r>
        <w:rPr>
          <w:rFonts w:ascii="Times New Roman;Times;serif" w:hAnsi="Times New Roman;Times;serif"/>
          <w:i/>
          <w:sz w:val="20"/>
        </w:rPr>
        <w:t xml:space="preserve">Reference Rate Reform (Topic </w:t>
      </w:r>
      <w:r>
        <w:rPr>
          <w:rStyle w:val="Emphasis"/>
          <w:rFonts w:ascii="Times New Roman;Times;serif" w:hAnsi="Times New Roman;Times;serif"/>
          <w:i/>
          <w:sz w:val="20"/>
        </w:rPr>
        <w:t>848</w:t>
      </w:r>
      <w:r>
        <w:rPr>
          <w:rFonts w:ascii="Times New Roman;Times;serif" w:hAnsi="Times New Roman;Times;serif"/>
          <w:i/>
          <w:sz w:val="20"/>
        </w:rPr>
        <w:t xml:space="preserve">), Deferral of the Sunset Date of Topic </w:t>
      </w:r>
      <w:r>
        <w:rPr>
          <w:rStyle w:val="Emphasis"/>
          <w:rFonts w:ascii="Times New Roman;Times;serif" w:hAnsi="Times New Roman;Times;serif"/>
          <w:i/>
          <w:sz w:val="20"/>
        </w:rPr>
        <w:t>848</w:t>
      </w:r>
      <w:r>
        <w:rPr>
          <w:rFonts w:ascii="Times New Roman;Times;serif" w:hAnsi="Times New Roman;Times;serif"/>
          <w:sz w:val="20"/>
        </w:rPr>
        <w:t xml:space="preserve">, which extended the date by which companies could elect to apply the amendments to </w:t>
      </w:r>
      <w:r>
        <w:rPr>
          <w:rStyle w:val="Emphasis"/>
          <w:rFonts w:ascii="Times New Roman;Times;serif" w:hAnsi="Times New Roman;Times;serif"/>
          <w:sz w:val="20"/>
        </w:rPr>
        <w:t xml:space="preserve">December 31, 2024. </w:t>
      </w:r>
      <w:r>
        <w:rPr>
          <w:rFonts w:ascii="Times New Roman;Times;serif" w:hAnsi="Times New Roman;Times;serif"/>
          <w:sz w:val="20"/>
        </w:rPr>
        <w:t xml:space="preserve">During </w:t>
      </w:r>
      <w:r>
        <w:rPr>
          <w:rStyle w:val="Emphasis"/>
          <w:rFonts w:ascii="Times New Roman;Times;serif" w:hAnsi="Times New Roman;Times;serif"/>
          <w:sz w:val="20"/>
        </w:rPr>
        <w:t xml:space="preserve">January 2023, </w:t>
      </w:r>
      <w:r>
        <w:rPr>
          <w:rFonts w:ascii="Times New Roman;Times;serif" w:hAnsi="Times New Roman;Times;serif"/>
          <w:sz w:val="20"/>
        </w:rPr>
        <w:t xml:space="preserve">the Company amended its credit agreement and related interest rate swap agreements to transition the reference rate from LIBOR to a Secured Overnight Financing Rate ("SOFR") effective </w:t>
      </w:r>
      <w:r>
        <w:rPr>
          <w:rStyle w:val="Emphasis"/>
          <w:rFonts w:ascii="Times New Roman;Times;serif" w:hAnsi="Times New Roman;Times;serif"/>
          <w:sz w:val="20"/>
        </w:rPr>
        <w:t xml:space="preserve">January 31, 2023. </w:t>
      </w:r>
      <w:r>
        <w:rPr>
          <w:rFonts w:ascii="Times New Roman;Times;serif" w:hAnsi="Times New Roman;Times;serif"/>
          <w:sz w:val="20"/>
        </w:rPr>
        <w:t xml:space="preserve">In connection with these amendments, the Company adopted ASU </w:t>
      </w:r>
      <w:r>
        <w:rPr>
          <w:rStyle w:val="Emphasis"/>
          <w:rFonts w:ascii="Times New Roman;Times;serif" w:hAnsi="Times New Roman;Times;serif"/>
          <w:sz w:val="20"/>
        </w:rPr>
        <w:t>2020</w:t>
      </w:r>
      <w:r>
        <w:rPr>
          <w:rFonts w:ascii="Times New Roman;Times;serif" w:hAnsi="Times New Roman;Times;serif"/>
          <w:sz w:val="20"/>
        </w:rPr>
        <w:t>-</w:t>
      </w:r>
      <w:r>
        <w:rPr>
          <w:rStyle w:val="Emphasis"/>
          <w:rFonts w:ascii="Times New Roman;Times;serif" w:hAnsi="Times New Roman;Times;serif"/>
          <w:sz w:val="20"/>
        </w:rPr>
        <w:t>04</w:t>
      </w:r>
      <w:r>
        <w:rPr>
          <w:rFonts w:ascii="Times New Roman;Times;serif" w:hAnsi="Times New Roman;Times;serif"/>
          <w:sz w:val="20"/>
        </w:rPr>
        <w:t xml:space="preserve"> in the </w:t>
      </w:r>
      <w:r>
        <w:rPr>
          <w:rStyle w:val="Emphasis"/>
          <w:rFonts w:ascii="Times New Roman;Times;serif" w:hAnsi="Times New Roman;Times;serif"/>
          <w:sz w:val="20"/>
        </w:rPr>
        <w:t>first</w:t>
      </w:r>
      <w:r>
        <w:rPr>
          <w:rFonts w:ascii="Times New Roman;Times;serif" w:hAnsi="Times New Roman;Times;serif"/>
          <w:sz w:val="20"/>
        </w:rPr>
        <w:t xml:space="preserve"> quarter of </w:t>
      </w:r>
      <w:r>
        <w:rPr>
          <w:rStyle w:val="Emphasis"/>
          <w:rFonts w:ascii="Times New Roman;Times;serif" w:hAnsi="Times New Roman;Times;serif"/>
          <w:sz w:val="20"/>
        </w:rPr>
        <w:t>2023</w:t>
      </w:r>
      <w:r>
        <w:rPr>
          <w:rFonts w:ascii="Times New Roman;Times;serif" w:hAnsi="Times New Roman;Times;serif"/>
          <w:sz w:val="20"/>
        </w:rPr>
        <w:t xml:space="preserve"> and elected to apply the relevant practical expedients within the guidance. The adoption of this guidance did </w:t>
      </w:r>
      <w:r>
        <w:rPr>
          <w:rStyle w:val="Emphasis"/>
          <w:rFonts w:ascii="Times New Roman;Times;serif" w:hAnsi="Times New Roman;Times;serif"/>
          <w:sz w:val="20"/>
        </w:rPr>
        <w:t>not</w:t>
      </w:r>
      <w:r>
        <w:rPr>
          <w:rFonts w:ascii="Times New Roman;Times;serif" w:hAnsi="Times New Roman;Times;serif"/>
          <w:sz w:val="20"/>
        </w:rPr>
        <w:t xml:space="preserve"> have a material impact on the Company's consolidated financial statements.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June 2016, </w:t>
      </w:r>
      <w:r>
        <w:rPr>
          <w:rFonts w:ascii="Times New Roman;Times;serif" w:hAnsi="Times New Roman;Times;serif"/>
          <w:sz w:val="20"/>
        </w:rPr>
        <w:t>the FASB issued ASU </w:t>
      </w:r>
      <w:r>
        <w:rPr>
          <w:rStyle w:val="Emphasis"/>
          <w:rFonts w:ascii="Times New Roman;Times;serif" w:hAnsi="Times New Roman;Times;serif"/>
          <w:sz w:val="20"/>
        </w:rPr>
        <w:t>2016</w:t>
      </w:r>
      <w:r>
        <w:rPr>
          <w:rFonts w:ascii="Times New Roman;Times;serif" w:hAnsi="Times New Roman;Times;serif"/>
          <w:sz w:val="20"/>
        </w:rPr>
        <w:t>-</w:t>
      </w:r>
      <w:r>
        <w:rPr>
          <w:rStyle w:val="Emphasis"/>
          <w:rFonts w:ascii="Times New Roman;Times;serif" w:hAnsi="Times New Roman;Times;serif"/>
          <w:sz w:val="20"/>
        </w:rPr>
        <w:t>13,</w:t>
      </w:r>
      <w:r>
        <w:rPr>
          <w:rFonts w:ascii="Times New Roman;Times;serif" w:hAnsi="Times New Roman;Times;serif"/>
          <w:sz w:val="20"/>
        </w:rPr>
        <w:t> </w:t>
      </w:r>
      <w:r>
        <w:rPr>
          <w:rFonts w:ascii="Times New Roman" w:hAnsi="Times New Roman"/>
          <w:i/>
          <w:sz w:val="20"/>
        </w:rPr>
        <w:t>Financial Instruments </w:t>
      </w:r>
      <w:r>
        <w:rPr>
          <w:rFonts w:ascii="Times New Roman;Times;serif" w:hAnsi="Times New Roman;Times;serif"/>
          <w:i/>
          <w:sz w:val="20"/>
        </w:rPr>
        <w:t xml:space="preserve">Credit Losses (Topic </w:t>
      </w:r>
      <w:r>
        <w:rPr>
          <w:rStyle w:val="Emphasis"/>
          <w:rFonts w:ascii="Times New Roman;Times;serif" w:hAnsi="Times New Roman;Times;serif"/>
          <w:i/>
          <w:sz w:val="20"/>
        </w:rPr>
        <w:t>326</w:t>
      </w:r>
      <w:r>
        <w:rPr>
          <w:rFonts w:ascii="Times New Roman;Times;serif" w:hAnsi="Times New Roman;Times;serif"/>
          <w:i/>
          <w:sz w:val="20"/>
        </w:rPr>
        <w:t>): Measurement of Credit Losses on Financial Instruments, </w:t>
      </w:r>
      <w:r>
        <w:rPr>
          <w:rFonts w:ascii="Times New Roman;Times;serif" w:hAnsi="Times New Roman;Times;serif"/>
          <w:sz w:val="20"/>
        </w:rPr>
        <w:t xml:space="preserve">as amended. The new guidance broadens the information that an entity must consider in developing its expected credit loss estimates related to its financial instruments and adds to U.S. GAAP an impairment model that is based on expected losses rather than incurred losses. On </w:t>
      </w:r>
      <w:r>
        <w:rPr>
          <w:rStyle w:val="Emphasis"/>
          <w:rFonts w:ascii="Times New Roman;Times;serif" w:hAnsi="Times New Roman;Times;serif"/>
          <w:sz w:val="20"/>
        </w:rPr>
        <w:t xml:space="preserve">January 1, 2023, </w:t>
      </w:r>
      <w:r>
        <w:rPr>
          <w:rFonts w:ascii="Times New Roman;Times;serif" w:hAnsi="Times New Roman;Times;serif"/>
          <w:sz w:val="20"/>
        </w:rPr>
        <w:t xml:space="preserve">the Company adopted ASU </w:t>
      </w:r>
      <w:r>
        <w:rPr>
          <w:rStyle w:val="Emphasis"/>
          <w:rFonts w:ascii="Times New Roman;Times;serif" w:hAnsi="Times New Roman;Times;serif"/>
          <w:sz w:val="20"/>
        </w:rPr>
        <w:t>2016</w:t>
      </w:r>
      <w:r>
        <w:rPr>
          <w:rFonts w:ascii="Times New Roman;Times;serif" w:hAnsi="Times New Roman;Times;serif"/>
          <w:sz w:val="20"/>
        </w:rPr>
        <w:t>-</w:t>
      </w:r>
      <w:r>
        <w:rPr>
          <w:rStyle w:val="Emphasis"/>
          <w:rFonts w:ascii="Times New Roman;Times;serif" w:hAnsi="Times New Roman;Times;serif"/>
          <w:sz w:val="20"/>
        </w:rPr>
        <w:t>13.</w:t>
      </w:r>
      <w:r>
        <w:rPr>
          <w:rFonts w:ascii="Times New Roman;Times;serif" w:hAnsi="Times New Roman;Times;serif"/>
          <w:sz w:val="20"/>
        </w:rPr>
        <w:t xml:space="preserve"> The adoption of this standard did </w:t>
      </w:r>
      <w:r>
        <w:rPr>
          <w:rStyle w:val="Emphasis"/>
          <w:rFonts w:ascii="Times New Roman;Times;serif" w:hAnsi="Times New Roman;Times;serif"/>
          <w:sz w:val="20"/>
        </w:rPr>
        <w:t>not</w:t>
      </w:r>
      <w:r>
        <w:rPr>
          <w:rFonts w:ascii="Times New Roman;Times;serif" w:hAnsi="Times New Roman;Times;serif"/>
          <w:sz w:val="20"/>
        </w:rPr>
        <w:t xml:space="preserve"> have a material impact on the Company's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b/>
          <w:sz w:val="20"/>
        </w:rPr>
        <w:t xml:space="preserve">Accounting Standards Issued But </w:t>
      </w:r>
      <w:r>
        <w:rPr>
          <w:rStyle w:val="Emphasis"/>
          <w:rFonts w:ascii="Times New Roman;Times;serif" w:hAnsi="Times New Roman;Times;serif"/>
          <w:b/>
          <w:sz w:val="20"/>
        </w:rPr>
        <w:t>Not</w:t>
      </w:r>
      <w:r>
        <w:rPr>
          <w:rFonts w:ascii="Times New Roman;Times;serif" w:hAnsi="Times New Roman;Times;serif"/>
          <w:b/>
          <w:sz w:val="20"/>
        </w:rPr>
        <w:t xml:space="preserve"> Yet Adopted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 xml:space="preserve">Income Statement—Reporting Comprehensive Income—Expense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which is intended to improve disclosures about a PBE's expenses and address requests from investors for more detailed information about the types of expenses in commonly presented expense captions. Such information is intended to allow investors to better understand an entity's performance, assess future cash flows, and compare performance over time and with other entities. The amendments will require PBEs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w:t>
      </w:r>
      <w:r>
        <w:rPr>
          <w:rStyle w:val="Emphasis"/>
          <w:rFonts w:ascii="Times New Roman" w:hAnsi="Times New Roman"/>
          <w:caps w:val="false"/>
          <w:smallCaps w:val="false"/>
          <w:sz w:val="20"/>
        </w:rPr>
        <w:t>December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interim reporting periods beginning after </w:t>
      </w:r>
      <w:r>
        <w:rPr>
          <w:rStyle w:val="Emphasis"/>
          <w:rFonts w:ascii="Times New Roman" w:hAnsi="Times New Roman"/>
          <w:caps w:val="false"/>
          <w:smallCaps w:val="false"/>
          <w:sz w:val="20"/>
        </w:rPr>
        <w:t>December 15,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applied either prospectively or retrospectively. Early adoption is permitted. The Company is currently evaluating the impact of adopting this guidance on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xml:space="preserve">  </w:t>
      </w:r>
    </w:p>
    <w:tbl>
      <w:tblPr>
        <w:tblW w:w="4720" w:type="dxa"/>
        <w:jc w:val="left"/>
        <w:tblInd w:w="0" w:type="dxa"/>
        <w:tblLayout w:type="fixed"/>
        <w:tblCellMar>
          <w:top w:w="0" w:type="dxa"/>
          <w:left w:w="0" w:type="dxa"/>
          <w:bottom w:w="0" w:type="dxa"/>
          <w:right w:w="0" w:type="dxa"/>
        </w:tblCellMar>
      </w:tblPr>
      <w:tblGrid>
        <w:gridCol w:w="170"/>
        <w:gridCol w:w="4550"/>
      </w:tblGrid>
      <w:tr>
        <w:trPr/>
        <w:tc>
          <w:tcPr>
            <w:tcW w:w="170" w:type="dxa"/>
            <w:tcBorders/>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2.</w:t>
            </w:r>
          </w:p>
        </w:tc>
        <w:tc>
          <w:tcPr>
            <w:tcW w:w="45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AND IMPAIRMENT IN INNOLECTRIC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 2023, </w:t>
      </w:r>
      <w:r>
        <w:rPr>
          <w:rFonts w:ascii="Times New Roman" w:hAnsi="Times New Roman"/>
          <w:caps w:val="false"/>
          <w:smallCaps w:val="false"/>
          <w:sz w:val="20"/>
        </w:rPr>
        <w:t>the Company closed on a noncontrolling (one-</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investment in Germany-based innolectric AG (“innolectric”) for consideration of €8.0 million (approximately $8.8 million as of the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closing). Transaction costs associated with the Company's investment in innolectric amounted to $1.3 million and these costs had been recorded as part of the carrying value of the investment. Under the terms of the investment agreement, if innolectric achieved certain EBITDA thresholds within a specified timeframe, the Company would be committed to acquiring the remaining shares of innolectric at that time. The accompanying consolidated balance sheet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reflects the fair value as of the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closing of the initial </w:t>
      </w:r>
      <w:r>
        <w:rPr>
          <w:rStyle w:val="Emphasis"/>
          <w:rFonts w:ascii="Times New Roman" w:hAnsi="Times New Roman"/>
          <w:caps w:val="false"/>
          <w:smallCaps w:val="false"/>
          <w:sz w:val="20"/>
        </w:rPr>
        <w:t>one</w:t>
      </w:r>
      <w:r>
        <w:rPr>
          <w:rFonts w:ascii="Times New Roman" w:hAnsi="Times New Roman"/>
          <w:caps w:val="false"/>
          <w:smallCaps w:val="false"/>
          <w:sz w:val="20"/>
        </w:rPr>
        <w:t>-</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equity method investment, inclusive of transaction costs, of $11.0 million, and a separate liability of $1.0 million associated with the net fair value of the put and call options related to the remaining shares pursuant to the agreement in the event certain profitability thresholds were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This passive investment was intended to create a strategic alliance focused on Electric Vehicles (“EV”) on-board power electronics, and in particular next generation fast-charging technology. Our investment in innolectric was accounted for using the equity method and we had determined that the innolectric investment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 variable interest entity (VIE). Results from this investment have been included in Bel's Power Solution and Protection segment within other income (expense), net and amounted to losses of $0.4 million and $0.6 million during the years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 Company adopted a policy to record its share of innolectric's results on a </w:t>
      </w:r>
      <w:r>
        <w:rPr>
          <w:rStyle w:val="Emphasis"/>
          <w:rFonts w:ascii="Times New Roman" w:hAnsi="Times New Roman"/>
          <w:caps w:val="false"/>
          <w:smallCaps w:val="false"/>
          <w:sz w:val="20"/>
        </w:rPr>
        <w:t>one</w:t>
      </w:r>
      <w:r>
        <w:rPr>
          <w:rFonts w:ascii="Times New Roman" w:hAnsi="Times New Roman"/>
          <w:caps w:val="false"/>
          <w:smallCaps w:val="false"/>
          <w:sz w:val="20"/>
        </w:rPr>
        <w:t>-month lag on a consistent basis to allow time for innolectric to provide its financial statements to Bel.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time to time, the Company provided cash loans to innolectric to fund working capital needs and further business development. At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the Company had related party loans to innolectric in the aggregate amount of €2.8 million (approximately $2.9 million at the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 xml:space="preserve">exchange rate). These loans bore interest at a rate of 5% per annum. These balances are shown as a related-party note receivable on the accompanying consolidated balance sheet at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Impairment and Write-off of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26, 2025, </w:t>
      </w:r>
      <w:r>
        <w:rPr>
          <w:rFonts w:ascii="Times New Roman" w:hAnsi="Times New Roman"/>
          <w:caps w:val="false"/>
          <w:smallCaps w:val="false"/>
          <w:sz w:val="20"/>
        </w:rPr>
        <w:t xml:space="preserve">Bel's management concluded that an other-than-temporary impairment charge was required in connection with the Company’s noncontrolling minority investment in innolectric and related party notes receivable. This determination was made based upon indicators of impairment including the majority owner’s cessation of financial support of innolectric, which resulted in the commencement of insolvency proceedings against innolectric’s assets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together with other indicators of impairment including recent financial performance, changes in market conditions, and other relevant factors affecting innolectric’s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assessed the carrying value of its investment and related party loans and determined that the decline in value was other than temporary. Indicators supporting this conclusion included significant adverse changes in innolectric’s business and financial condition, prolonged losses, and the cessation of financial support from the majority owner. As a result, Bel recorded a pre-tax impairment charge of approximately $13.1 million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consisting of:</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60"/>
        <w:gridCol w:w="170"/>
        <w:gridCol w:w="4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 impairment of the equity investment ($9.9 million)</w:t>
            </w:r>
          </w:p>
        </w:tc>
      </w:tr>
    </w:tbl>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Full impairment of related party loans ($4.3 million)</w:t>
            </w:r>
          </w:p>
        </w:tc>
      </w:tr>
    </w:tbl>
    <w:tbl>
      <w:tblPr>
        <w:tblW w:w="5140" w:type="dxa"/>
        <w:jc w:val="left"/>
        <w:tblInd w:w="0" w:type="dxa"/>
        <w:tblLayout w:type="fixed"/>
        <w:tblCellMar>
          <w:top w:w="0" w:type="dxa"/>
          <w:left w:w="0" w:type="dxa"/>
          <w:bottom w:w="0" w:type="dxa"/>
          <w:right w:w="0" w:type="dxa"/>
        </w:tblCellMar>
      </w:tblPr>
      <w:tblGrid>
        <w:gridCol w:w="60"/>
        <w:gridCol w:w="170"/>
        <w:gridCol w:w="4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Derecognition of the call option liability ($1.1 million gain)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impairment charge reflects the expectation that recovery of any material value from the investment or related loans is remote, given the priority of secured creditors and Bel’s minority position in the insolvency proceedings. The call option liability was derecognized as the option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exercisable or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value due to innolectric’s financial collapse.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value on the consolidated balance sheet related to the equity method investment, related party note receivable or call option liability.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855" w:type="dxa"/>
        <w:jc w:val="left"/>
        <w:tblInd w:w="0" w:type="dxa"/>
        <w:tblLayout w:type="fixed"/>
        <w:tblCellMar>
          <w:top w:w="0" w:type="dxa"/>
          <w:left w:w="0" w:type="dxa"/>
          <w:bottom w:w="0" w:type="dxa"/>
          <w:right w:w="0" w:type="dxa"/>
        </w:tblCellMar>
      </w:tblPr>
      <w:tblGrid>
        <w:gridCol w:w="260"/>
        <w:gridCol w:w="1595"/>
      </w:tblGrid>
      <w:tr>
        <w:trPr/>
        <w:tc>
          <w:tcPr>
            <w:tcW w:w="260" w:type="dxa"/>
            <w:tcBorders/>
            <w:vAlign w:val="center"/>
          </w:tcPr>
          <w:p>
            <w:pPr>
              <w:pStyle w:val="TableContents"/>
              <w:bidi w:val="0"/>
              <w:spacing w:before="0" w:after="283"/>
              <w:jc w:val="left"/>
              <w:rPr/>
            </w:pPr>
            <w:r>
              <w:rPr>
                <w:rStyle w:val="Emphasis"/>
              </w:rPr>
              <w:t>3.</w:t>
            </w:r>
            <w:r>
              <w:rPr/>
              <w:t> </w:t>
            </w:r>
          </w:p>
        </w:tc>
        <w:tc>
          <w:tcPr>
            <w:tcW w:w="1595" w:type="dxa"/>
            <w:tcBorders/>
            <w:vAlign w:val="center"/>
          </w:tcPr>
          <w:p>
            <w:pPr>
              <w:pStyle w:val="TableContents"/>
              <w:bidi w:val="0"/>
              <w:spacing w:before="0" w:after="283"/>
              <w:jc w:val="left"/>
              <w:rPr/>
            </w:pPr>
            <w:r>
              <w:rPr/>
              <w:t>ACQUISITION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Acquisition of Enercon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14, 2024, </w:t>
      </w:r>
      <w:r>
        <w:rPr>
          <w:rFonts w:ascii="Times New Roman" w:hAnsi="Times New Roman"/>
          <w:caps w:val="false"/>
          <w:smallCaps w:val="false"/>
          <w:sz w:val="20"/>
        </w:rPr>
        <w:t xml:space="preserve">the Company closed on its acquisition of its majority 80% stake in Enercon Technologies, Ltd. (“Enercon”), pursuant to the terms of the Share Purchase Agreement, dated as of </w:t>
      </w:r>
      <w:r>
        <w:rPr>
          <w:rStyle w:val="Emphasis"/>
          <w:rFonts w:ascii="Times New Roman" w:hAnsi="Times New Roman"/>
          <w:caps w:val="false"/>
          <w:smallCaps w:val="false"/>
          <w:sz w:val="20"/>
        </w:rPr>
        <w:t>September 19, 2024 (</w:t>
      </w:r>
      <w:r>
        <w:rPr>
          <w:rFonts w:ascii="Times New Roman" w:hAnsi="Times New Roman"/>
          <w:caps w:val="false"/>
          <w:smallCaps w:val="false"/>
          <w:sz w:val="20"/>
        </w:rPr>
        <w:t xml:space="preserve">the “Purchase Agreement”), by and among the Company, Enercon, and </w:t>
      </w:r>
      <w:r>
        <w:rPr>
          <w:rStyle w:val="Emphasis"/>
          <w:rFonts w:ascii="Times New Roman" w:hAnsi="Times New Roman"/>
          <w:caps w:val="false"/>
          <w:smallCaps w:val="false"/>
          <w:sz w:val="20"/>
        </w:rPr>
        <w:t>FF3</w:t>
      </w:r>
      <w:r>
        <w:rPr>
          <w:rFonts w:ascii="Times New Roman" w:hAnsi="Times New Roman"/>
          <w:caps w:val="false"/>
          <w:smallCaps w:val="false"/>
          <w:sz w:val="20"/>
        </w:rPr>
        <w:t xml:space="preserve"> Holdings, L.P., for itself and as Sellers’ Representative (</w:t>
      </w:r>
      <w:r>
        <w:rPr>
          <w:rStyle w:val="Emphasis"/>
          <w:rFonts w:ascii="Times New Roman" w:hAnsi="Times New Roman"/>
          <w:caps w:val="false"/>
          <w:smallCaps w:val="false"/>
          <w:sz w:val="20"/>
        </w:rPr>
        <w:t>“FF3”</w:t>
      </w:r>
      <w:r>
        <w:rPr>
          <w:rFonts w:ascii="Times New Roman" w:hAnsi="Times New Roman"/>
          <w:caps w:val="false"/>
          <w:smallCaps w:val="false"/>
          <w:sz w:val="20"/>
        </w:rPr>
        <w:t xml:space="preserve">), and each of the other seller parties signatory thereto (collectively with </w:t>
      </w:r>
      <w:r>
        <w:rPr>
          <w:rStyle w:val="Emphasis"/>
          <w:rFonts w:ascii="Times New Roman" w:hAnsi="Times New Roman"/>
          <w:caps w:val="false"/>
          <w:smallCaps w:val="false"/>
          <w:sz w:val="20"/>
        </w:rPr>
        <w:t>FF3,</w:t>
      </w:r>
      <w:r>
        <w:rPr>
          <w:rFonts w:ascii="Times New Roman" w:hAnsi="Times New Roman"/>
          <w:caps w:val="false"/>
          <w:smallCaps w:val="false"/>
          <w:sz w:val="20"/>
        </w:rPr>
        <w:t xml:space="preserve"> the “Sellers”). Enercon is a leading supplier of highly customized power conversion and networking solutions to aerospace and defense markets globally, providing robust and reliable solutions across air, land and sea applications.  Enercon is based in Netanya, Israel with additional facilities in New Hampshire, U.S. and Haryana, India.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terms of the Purchase Agreement, on the </w:t>
      </w:r>
      <w:r>
        <w:rPr>
          <w:rStyle w:val="Emphasis"/>
          <w:rFonts w:ascii="Times New Roman" w:hAnsi="Times New Roman"/>
          <w:caps w:val="false"/>
          <w:smallCaps w:val="false"/>
          <w:sz w:val="20"/>
        </w:rPr>
        <w:t xml:space="preserve">November 14, 2024 </w:t>
      </w:r>
      <w:r>
        <w:rPr>
          <w:rFonts w:ascii="Times New Roman" w:hAnsi="Times New Roman"/>
          <w:caps w:val="false"/>
          <w:smallCaps w:val="false"/>
          <w:sz w:val="20"/>
        </w:rPr>
        <w:t>closing date</w:t>
      </w:r>
      <w:r>
        <w:rPr>
          <w:rFonts w:ascii="Times New Roman" w:hAnsi="Times New Roman"/>
          <w:caps w:val="false"/>
          <w:smallCaps w:val="false"/>
          <w:sz w:val="20"/>
          <w:shd w:fill="FFFFFF" w:val="clear"/>
        </w:rPr>
        <w:t xml:space="preserve"> (and deemed effective solely for accounting purposes as of </w:t>
      </w:r>
      <w:r>
        <w:rPr>
          <w:rStyle w:val="Emphasis"/>
          <w:rFonts w:ascii="Times New Roman" w:hAnsi="Times New Roman"/>
          <w:caps w:val="false"/>
          <w:smallCaps w:val="false"/>
          <w:sz w:val="20"/>
          <w:shd w:fill="FFFFFF" w:val="clear"/>
        </w:rPr>
        <w:t xml:space="preserve">November 1, 2024), </w:t>
      </w:r>
      <w:r>
        <w:rPr>
          <w:rFonts w:ascii="Times New Roman" w:hAnsi="Times New Roman"/>
          <w:caps w:val="false"/>
          <w:smallCaps w:val="false"/>
          <w:sz w:val="20"/>
          <w:shd w:fill="FFFFFF" w:val="clear"/>
        </w:rPr>
        <w:t>B</w:t>
      </w:r>
      <w:r>
        <w:rPr>
          <w:rFonts w:ascii="Times New Roman" w:hAnsi="Times New Roman"/>
          <w:caps w:val="false"/>
          <w:smallCaps w:val="false"/>
          <w:sz w:val="20"/>
        </w:rPr>
        <w:t xml:space="preserve">el acquired from the Sellers 80% of the issued and outstanding share capital of Enercon on a fully-diluted basis for (i) a cash purchase price of $320 million (subject to customary adjustments), plus (ii) up to $10 million in potential earnout payments for the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period (the “Earnout Payments”), as further described below (the “Transaction” or the "acquisition"). Bel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acquire the remaining 20% stake in Enercon and has the current intention to so purchase such remaining interest by early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in accordance with the terms and subject to the conditions of a shareholders’ agreement, which was also entered into on </w:t>
      </w:r>
      <w:r>
        <w:rPr>
          <w:rStyle w:val="Emphasis"/>
          <w:rFonts w:ascii="Times New Roman" w:hAnsi="Times New Roman"/>
          <w:caps w:val="false"/>
          <w:smallCaps w:val="false"/>
          <w:sz w:val="20"/>
        </w:rPr>
        <w:t>November 14,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closing, Bel paid an aggregate of approximately $325.6 million in cash in respect of the cash purchase price (after giving effect to estimated adjustments taken at closing including for Enercon’s cash, indebtedness, net working capital and unpaid transaction costs, and subject to further adjustment post-closing). Bel funded the closing of the Transaction through cash on hand of approximately $85.6 million and with approximately $240 million provided through incremental borrowings under the Company’s revolving credit facility, as amended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potential Earnout 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payable of up to $5.0 million for each of the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earnout periods (each, an “Earnout Period”), subject to Enercon’s achievement of certain specified EBITDA targets for each respective Earnout Period, as calculated and determined in accordance with the Purchase Agreement.  In the event that (i) the target for the respective Earnout Period has been achieved, the full $5.0 million Earnout Payment for the Earnout Period shall be payable, or (ii) achievement for the respective Earnout Period is at least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the target level but less than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target level, then the amount payable in respect of the Earnout Payment for such Earnout Period shall be $2.5 million. In the event that achievement for the respective Earnout Period is less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the target level, no Earnout Payment shall be due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Company incurred $12.9 million of acquisition-related costs associated with the Transaction primarily for investment banker fees, legal fees, audit-related fees and other consulting costs. These costs are included in selling, general and administrative expenses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accounting related to the Enercon acquisition has been completed as of the filing date of this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The following table presents the Company’s final determination of the acquisition date fair values of the consideration paid, identifiable net assets acquired, and goodwill. All valuations and the purchase price allocation are now finalized,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adjustments are anticipated.</w:t>
      </w:r>
    </w:p>
    <w:p>
      <w:pPr>
        <w:pStyle w:val="TextBody"/>
        <w:bidi w:val="0"/>
        <w:spacing w:before="0" w:after="0"/>
        <w:ind w:left="0" w:right="0" w:hanging="0"/>
        <w:jc w:val="both"/>
        <w:rPr>
          <w:caps w:val="false"/>
          <w:smallCaps w:val="false"/>
        </w:rPr>
      </w:pPr>
      <w:r>
        <w:rPr>
          <w:caps w:val="false"/>
          <w:smallCaps w:val="false"/>
        </w:rPr>
        <w:t> </w:t>
      </w:r>
    </w:p>
    <w:tbl>
      <w:tblPr>
        <w:tblW w:w="4939" w:type="dxa"/>
        <w:jc w:val="left"/>
        <w:tblInd w:w="0" w:type="dxa"/>
        <w:tblLayout w:type="fixed"/>
        <w:tblCellMar>
          <w:top w:w="0" w:type="dxa"/>
          <w:left w:w="0" w:type="dxa"/>
          <w:bottom w:w="0" w:type="dxa"/>
          <w:right w:w="0" w:type="dxa"/>
        </w:tblCellMar>
      </w:tblPr>
      <w:tblGrid>
        <w:gridCol w:w="3140"/>
        <w:gridCol w:w="60"/>
        <w:gridCol w:w="213"/>
        <w:gridCol w:w="1186"/>
        <w:gridCol w:w="80"/>
        <w:gridCol w:w="260"/>
      </w:tblGrid>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Acquisition Date</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val="false"/>
                <w:sz w:val="20"/>
              </w:rPr>
              <w:t>Fair Values</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(as adjusted)</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3,590</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rStyle w:val="Emphasis"/>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21,088</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42,271</w:t>
            </w:r>
          </w:p>
        </w:tc>
        <w:tc>
          <w:tcPr>
            <w:tcW w:w="8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b w:val="false"/>
                <w:sz w:val="20"/>
              </w:rPr>
              <w:t>(a)</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4,144</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Property, plant and equipment</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9,357</w:t>
            </w:r>
          </w:p>
        </w:tc>
        <w:tc>
          <w:tcPr>
            <w:tcW w:w="8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b w:val="false"/>
                <w:sz w:val="20"/>
              </w:rPr>
              <w:t>(b)</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189,700</w:t>
            </w:r>
          </w:p>
        </w:tc>
        <w:tc>
          <w:tcPr>
            <w:tcW w:w="8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val="false"/>
                <w:sz w:val="20"/>
              </w:rPr>
              <w:t>(c)</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3,496</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rStyle w:val="Emphasis"/>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identifiable assets</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273,646</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r>
        <w:trPr/>
        <w:tc>
          <w:tcPr>
            <w:tcW w:w="3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9,585</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6,670</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rStyle w:val="Emphasis"/>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5,104</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34,331</w:t>
            </w:r>
          </w:p>
        </w:tc>
        <w:tc>
          <w:tcPr>
            <w:tcW w:w="8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b w:val="false"/>
                <w:sz w:val="20"/>
              </w:rPr>
              <w:t>(d)</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liabilities assumed</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55,690</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identifiable assets acquired</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217,956</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rStyle w:val="Emphasis"/>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186,714</w:t>
            </w:r>
          </w:p>
        </w:tc>
        <w:tc>
          <w:tcPr>
            <w:tcW w:w="8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val="false"/>
                <w:sz w:val="20"/>
              </w:rPr>
              <w:t>(e)</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404,670</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rStyle w:val="Emphasis"/>
              </w:rPr>
              <w:t> </w:t>
            </w:r>
          </w:p>
        </w:tc>
      </w:tr>
      <w:tr>
        <w:trPr/>
        <w:tc>
          <w:tcPr>
            <w:tcW w:w="3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Cash paid</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324,071</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3,300</w:t>
            </w:r>
          </w:p>
        </w:tc>
        <w:tc>
          <w:tcPr>
            <w:tcW w:w="8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rStyle w:val="Emphasis"/>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noncontrolling interest</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72,354</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sz w:val="20"/>
              </w:rPr>
              <w:t>(f)</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Fair value of seller note</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4,945</w:t>
            </w:r>
          </w:p>
        </w:tc>
        <w:tc>
          <w:tcPr>
            <w:tcW w:w="8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b w:val="false"/>
                <w:sz w:val="20"/>
              </w:rPr>
              <w:t>(g)</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Fair value of consideration transferred</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404,670</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Deferred consideration</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(80,599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jc w:val="left"/>
              <w:rPr/>
            </w:pPr>
            <w:r>
              <w:rPr>
                <w:rStyle w:val="Emphasis"/>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Total consideration paid</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324,071</w:t>
            </w:r>
          </w:p>
        </w:tc>
        <w:tc>
          <w:tcPr>
            <w:tcW w:w="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both"/>
        <w:rPr/>
      </w:pPr>
      <w:r>
        <w:rPr/>
        <w:t> </w:t>
      </w:r>
    </w:p>
    <w:tbl>
      <w:tblPr>
        <w:tblW w:w="6085" w:type="dxa"/>
        <w:jc w:val="left"/>
        <w:tblInd w:w="0" w:type="dxa"/>
        <w:tblLayout w:type="fixed"/>
        <w:tblCellMar>
          <w:top w:w="0" w:type="dxa"/>
          <w:left w:w="0" w:type="dxa"/>
          <w:bottom w:w="0" w:type="dxa"/>
          <w:right w:w="0" w:type="dxa"/>
        </w:tblCellMar>
      </w:tblPr>
      <w:tblGrid>
        <w:gridCol w:w="75"/>
        <w:gridCol w:w="230"/>
        <w:gridCol w:w="57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57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inventories noted include an step-up in fair value of $2.4 million.  </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245"/>
        <w:gridCol w:w="95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5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property, plant and equipment noted above includes a $3.7 million step-up based on acquisition-date fair value.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fair value of identifiable intangible assets related to Enercon is shown in the table below. For those intangible assets with finite lives, the acquisition-date fair values will be amortized over their respective estimated future lives utilizing the straight-line method.</w:t>
            </w:r>
          </w:p>
        </w:tc>
      </w:tr>
    </w:tbl>
    <w:p>
      <w:pPr>
        <w:pStyle w:val="TextBody"/>
        <w:bidi w:val="0"/>
        <w:spacing w:before="0" w:after="0"/>
        <w:ind w:left="0" w:right="0" w:hanging="0"/>
        <w:jc w:val="both"/>
        <w:rPr/>
      </w:pPr>
      <w:r>
        <w:rPr/>
        <w:t> </w:t>
      </w:r>
    </w:p>
    <w:tbl>
      <w:tblPr>
        <w:tblW w:w="5804" w:type="dxa"/>
        <w:jc w:val="left"/>
        <w:tblInd w:w="0" w:type="dxa"/>
        <w:tblLayout w:type="fixed"/>
        <w:tblCellMar>
          <w:top w:w="0" w:type="dxa"/>
          <w:left w:w="0" w:type="dxa"/>
          <w:bottom w:w="0" w:type="dxa"/>
          <w:right w:w="0" w:type="dxa"/>
        </w:tblCellMar>
      </w:tblPr>
      <w:tblGrid>
        <w:gridCol w:w="2600"/>
        <w:gridCol w:w="60"/>
        <w:gridCol w:w="213"/>
        <w:gridCol w:w="1186"/>
        <w:gridCol w:w="60"/>
        <w:gridCol w:w="1685"/>
      </w:tblGrid>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Acquisition Date</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Weighted Average</w:t>
            </w:r>
          </w:p>
        </w:tc>
      </w:tr>
      <w:tr>
        <w:trPr/>
        <w:tc>
          <w:tcPr>
            <w:tcW w:w="2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Amortization Period</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21,900</w:t>
            </w:r>
          </w:p>
        </w:tc>
        <w:tc>
          <w:tcPr>
            <w:tcW w:w="60"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Indefinite</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130,300</w:t>
            </w:r>
          </w:p>
        </w:tc>
        <w:tc>
          <w:tcPr>
            <w:tcW w:w="60"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 years</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37,500</w:t>
            </w:r>
          </w:p>
        </w:tc>
        <w:tc>
          <w:tcPr>
            <w:tcW w:w="60"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 years</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189,700</w:t>
            </w:r>
          </w:p>
        </w:tc>
        <w:tc>
          <w:tcPr>
            <w:tcW w:w="60"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8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 have been established on the previously-mentioned step-ups for inventories, property, plant and equipment and intangible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43"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goodwill is identifiable to the Power Solutions and Protection reportable segment and is attributable to expected synergies from combining operations, as well as intangible assets that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qualify for separate recognition. All goodwill will be deductible for tax purposes over a period of 15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w:t>
            </w:r>
          </w:p>
        </w:tc>
        <w:tc>
          <w:tcPr>
            <w:tcW w:w="9978"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 connection with its acquisition of Enercon, the Company recorded a redeemable noncontrolling interest which was initially recorded at a fair value of $72.4 million as of the acquisition date utilizing the Monte Carlo simulation. Inputs to this valuation approach included the projected EBITDA (as defined in the Purchase Agreement) for fiscal year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a market price risk adjustment for the EBITDA of 8.4%, an EBITDA volatility measure of 51% and a forward rate of 4.08%.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w:t>
            </w:r>
          </w:p>
        </w:tc>
        <w:tc>
          <w:tcPr>
            <w:tcW w:w="9892"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In connection with its acquisition of Enercon, the Company assumed a related party loan payable to </w:t>
            </w:r>
            <w:r>
              <w:rPr>
                <w:rStyle w:val="Emphasis"/>
                <w:rFonts w:ascii="Times New Roman;Times;serif" w:hAnsi="Times New Roman;Times;serif"/>
                <w:caps w:val="false"/>
                <w:smallCaps w:val="false"/>
                <w:sz w:val="20"/>
              </w:rPr>
              <w:t>FF3</w:t>
            </w:r>
            <w:r>
              <w:rPr>
                <w:rFonts w:ascii="Times New Roman;Times;serif" w:hAnsi="Times New Roman;Times;serif"/>
                <w:caps w:val="false"/>
                <w:smallCaps w:val="false"/>
                <w:sz w:val="20"/>
              </w:rPr>
              <w:t xml:space="preserve"> in the amount of $4.9 million.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results of operations of Enercon have been included in the Company’s consolidated financial statements for the period from </w:t>
      </w:r>
      <w:r>
        <w:rPr>
          <w:rStyle w:val="Emphasis"/>
          <w:rFonts w:ascii="Times New Roman" w:hAnsi="Times New Roman"/>
          <w:caps w:val="false"/>
          <w:smallCaps w:val="false"/>
          <w:sz w:val="20"/>
        </w:rPr>
        <w:t xml:space="preserve">November 1, 2024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activity between the accounting effective date of </w:t>
      </w:r>
      <w:r>
        <w:rPr>
          <w:rStyle w:val="Emphasis"/>
          <w:rFonts w:ascii="Times New Roman" w:hAnsi="Times New Roman"/>
          <w:caps w:val="false"/>
          <w:smallCaps w:val="false"/>
          <w:sz w:val="20"/>
        </w:rPr>
        <w:t xml:space="preserve">November 1, 2024 </w:t>
      </w:r>
      <w:r>
        <w:rPr>
          <w:rFonts w:ascii="Times New Roman" w:hAnsi="Times New Roman"/>
          <w:caps w:val="false"/>
          <w:smallCaps w:val="false"/>
          <w:sz w:val="20"/>
        </w:rPr>
        <w:t xml:space="preserve">and the legal close date of </w:t>
      </w:r>
      <w:r>
        <w:rPr>
          <w:rStyle w:val="Emphasis"/>
          <w:rFonts w:ascii="Times New Roman" w:hAnsi="Times New Roman"/>
          <w:caps w:val="false"/>
          <w:smallCaps w:val="false"/>
          <w:sz w:val="20"/>
        </w:rPr>
        <w:t xml:space="preserve">November 14, 2024 </w:t>
      </w:r>
      <w:r>
        <w:rPr>
          <w:rFonts w:ascii="Times New Roman" w:hAnsi="Times New Roman"/>
          <w:caps w:val="false"/>
          <w:smallCaps w:val="false"/>
          <w:sz w:val="20"/>
        </w:rPr>
        <w:t xml:space="preserve">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to Bel's financial statements. During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Enercon contributed revenue of $20.8 million and net earnings of approximately $1.0 million to the Company’s consolidated financial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unaudited pro forma information presents a summary of the combined results of operations of the Company and the results of Enercon for the periods presented as if the Transaction had occurred on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along with certain pro forma adjustments. These pro forma adjustments give effect to the amortization of certain definite-lived intangible assets, adjusted depreciation based upon fair value of assets acquired, interest expense and amortization of deferred financing costs related to the financing of the acquisition, and related tax effects.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unaudited pro forma net earnings were adjusted to include an non-recurring expense related to a fair value adjustment to acquisition-date inventory of $2.4 million ($1.8 million after tax) during the year ended </w:t>
      </w:r>
      <w:r>
        <w:rPr>
          <w:rStyle w:val="Emphasis"/>
          <w:rFonts w:ascii="Times New Roman" w:hAnsi="Times New Roman"/>
          <w:caps w:val="false"/>
          <w:smallCaps w:val="false"/>
          <w:sz w:val="20"/>
        </w:rPr>
        <w:t>December 31, 2023. </w:t>
      </w:r>
      <w:r>
        <w:rPr>
          <w:rFonts w:ascii="Times New Roman" w:hAnsi="Times New Roman"/>
          <w:caps w:val="false"/>
          <w:smallCaps w:val="false"/>
          <w:sz w:val="20"/>
        </w:rPr>
        <w:t xml:space="preserve">The pro forma results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 the realization of any potential cost savings, or any related integration costs. Certain cost savings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from the acquisition; however,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these cost savings will be achieved. The pro forma results also exclude the impact of any change in the redemption value of the noncontrolling interest. The unaudited pro forma results are presented for illustrative purposes only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would have actually been obtained if the acquisition had occurred on the assumed dates, nor is the pro forma data intended to be a projection of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obtained in the future:</w:t>
      </w:r>
    </w:p>
    <w:p>
      <w:pPr>
        <w:pStyle w:val="TextBody"/>
        <w:bidi w:val="0"/>
        <w:spacing w:before="0" w:after="0"/>
        <w:ind w:left="0" w:right="0" w:hanging="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4685"/>
        <w:gridCol w:w="60"/>
        <w:gridCol w:w="125"/>
        <w:gridCol w:w="695"/>
        <w:gridCol w:w="60"/>
        <w:gridCol w:w="60"/>
        <w:gridCol w:w="125"/>
        <w:gridCol w:w="695"/>
        <w:gridCol w:w="60"/>
      </w:tblGrid>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735,522</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56,448</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earnings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Bel Fuse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55,272</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Class A common share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Class B common share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During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the acquisition of Enercon resulted in a noncontrolling interest holder who is entitled to a put option, giving the Sellers the ability to put their redeemable interest in the shares of the acquiree to the Company. Specifically, if exercised by the noncontrolling interest holder, the Company would be required to purchase the remaining 20% of the Seller's redeemable interest, at a redemption price during specified time period(s) stipulated in the Enercon acquisition agreement. Upon acquisition, the redeemable noncontrolling interest was initially valued at a fair value of $72.4 million. The redeemable noncontrolling interest recorded on the accompanying consolidated balance sheet at </w:t>
      </w:r>
      <w:r>
        <w:rPr>
          <w:rStyle w:val="Emphasis"/>
          <w:rFonts w:ascii="Times New Roman" w:hAnsi="Times New Roman"/>
          <w:caps w:val="false"/>
          <w:smallCaps w:val="false"/>
          <w:sz w:val="20"/>
          <w:shd w:fill="FFFFFF" w:val="clear"/>
        </w:rPr>
        <w:t xml:space="preserve">December 31, 2025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 xml:space="preserve">December 31, 2024 </w:t>
      </w:r>
      <w:r>
        <w:rPr>
          <w:rFonts w:ascii="Times New Roman" w:hAnsi="Times New Roman"/>
          <w:caps w:val="false"/>
          <w:smallCaps w:val="false"/>
          <w:sz w:val="20"/>
          <w:shd w:fill="FFFFFF" w:val="clear"/>
        </w:rPr>
        <w:t xml:space="preserve">will remain in temporary equity until the applicable put-call option is either fully exercised or expires. At </w:t>
      </w:r>
      <w:r>
        <w:rPr>
          <w:rStyle w:val="Emphasis"/>
          <w:rFonts w:ascii="Times New Roman" w:hAnsi="Times New Roman"/>
          <w:caps w:val="false"/>
          <w:smallCaps w:val="false"/>
          <w:sz w:val="20"/>
          <w:shd w:fill="FFFFFF" w:val="clear"/>
        </w:rPr>
        <w:t xml:space="preserve">December 31, 2025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 xml:space="preserve">December 31, 2024, </w:t>
      </w:r>
      <w:r>
        <w:rPr>
          <w:rFonts w:ascii="Times New Roman" w:hAnsi="Times New Roman"/>
          <w:caps w:val="false"/>
          <w:smallCaps w:val="false"/>
          <w:sz w:val="20"/>
          <w:shd w:fill="FFFFFF" w:val="clear"/>
        </w:rPr>
        <w:t xml:space="preserve">the redeemable noncontrolling interest was adjusted to reflect its redemption value of $93.2 million and $80.6 million, respectively. The redemption value of the redeemable noncontrolling interest is generally calculated using Level </w:t>
      </w:r>
      <w:r>
        <w:rPr>
          <w:rStyle w:val="Emphasis"/>
          <w:rFonts w:ascii="Times New Roman" w:hAnsi="Times New Roman"/>
          <w:caps w:val="false"/>
          <w:smallCaps w:val="false"/>
          <w:sz w:val="20"/>
          <w:shd w:fill="FFFFFF" w:val="clear"/>
        </w:rPr>
        <w:t>3</w:t>
      </w:r>
      <w:r>
        <w:rPr>
          <w:rFonts w:ascii="Times New Roman" w:hAnsi="Times New Roman"/>
          <w:caps w:val="false"/>
          <w:smallCaps w:val="false"/>
          <w:sz w:val="20"/>
          <w:shd w:fill="FFFFFF" w:val="clear"/>
        </w:rPr>
        <w:t xml:space="preserve"> unobservable inputs based on a multiple of earnings. A roll forward of the redeemable noncontrolling interest for the years ended </w:t>
      </w:r>
      <w:r>
        <w:rPr>
          <w:rStyle w:val="Emphasis"/>
          <w:rFonts w:ascii="Times New Roman" w:hAnsi="Times New Roman"/>
          <w:caps w:val="false"/>
          <w:smallCaps w:val="false"/>
          <w:sz w:val="20"/>
          <w:shd w:fill="FFFFFF" w:val="clear"/>
        </w:rPr>
        <w:t xml:space="preserve">December 31, 2025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 xml:space="preserve">December 31, 2024 </w:t>
      </w:r>
      <w:r>
        <w:rPr>
          <w:rFonts w:ascii="Times New Roman" w:hAnsi="Times New Roman"/>
          <w:caps w:val="false"/>
          <w:smallCaps w:val="false"/>
          <w:sz w:val="20"/>
          <w:shd w:fill="FFFFFF" w:val="clear"/>
        </w:rPr>
        <w:t>is included in the accompanying consolidated statements of shareholders' equity and redeemable noncontrolling interest.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15" w:type="dxa"/>
        <w:jc w:val="left"/>
        <w:tblInd w:w="0" w:type="dxa"/>
        <w:tblLayout w:type="fixed"/>
        <w:tblCellMar>
          <w:top w:w="0" w:type="dxa"/>
          <w:left w:w="0" w:type="dxa"/>
          <w:bottom w:w="0" w:type="dxa"/>
          <w:right w:w="0" w:type="dxa"/>
        </w:tblCellMar>
      </w:tblPr>
      <w:tblGrid>
        <w:gridCol w:w="320"/>
        <w:gridCol w:w="1295"/>
      </w:tblGrid>
      <w:tr>
        <w:trPr/>
        <w:tc>
          <w:tcPr>
            <w:tcW w:w="320" w:type="dxa"/>
            <w:tcBorders/>
            <w:vAlign w:val="center"/>
          </w:tcPr>
          <w:p>
            <w:pPr>
              <w:pStyle w:val="TableContents"/>
              <w:bidi w:val="0"/>
              <w:spacing w:before="0" w:after="283"/>
              <w:jc w:val="left"/>
              <w:rPr/>
            </w:pPr>
            <w:r>
              <w:rPr>
                <w:rStyle w:val="Emphasis"/>
              </w:rPr>
              <w:t>4.</w:t>
            </w:r>
            <w:r>
              <w:rPr/>
              <w:t>  </w:t>
            </w:r>
          </w:p>
        </w:tc>
        <w:tc>
          <w:tcPr>
            <w:tcW w:w="1295" w:type="dxa"/>
            <w:tcBorders/>
            <w:vAlign w:val="center"/>
          </w:tcPr>
          <w:p>
            <w:pPr>
              <w:pStyle w:val="TableContents"/>
              <w:bidi w:val="0"/>
              <w:spacing w:before="0" w:after="283"/>
              <w:jc w:val="left"/>
              <w:rPr/>
            </w:pPr>
            <w:r>
              <w:rPr/>
              <w:t>REVENUE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Nature of Goods and Services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revenues are substantially derived from sales of our products.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our Power Solutions and Protection product group, we provide AC/DC and DC/DC power conversion devices and circuit protection products. Applications range from board-mount power to system-level architectures for servers, storage, networking, industrial, transportation, commercial aerospace and defense applications.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our Connectivity Solutions product group, we provide connectors and cable assemblies to the aerospace, military/defense, commercial, rugged harsh environment and communication markets. This group also includes passive jacks, plugs and cable assemblies that provide connectivity in networking equipment, as well as modular plugs and cable assemblies used within the structured cabling system, known as premise wiring.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our Magnetic Solutions product group, we provide an extensive line of integrated connector modules (ICM), where an Ethernet magnetic solution is integrated into a connector package. Products within the Company's Magnetic Solutions group are primarily used in networking and industrial applications.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also provides incremental services to our customers in the form of training, highly-customized product development services, technical support, special tooling, and other support as deemed necessary from time to time. For purposes of ASC </w:t>
      </w:r>
      <w:r>
        <w:rPr>
          <w:rStyle w:val="Emphasis"/>
          <w:rFonts w:ascii="Times New Roman;Times;serif" w:hAnsi="Times New Roman;Times;serif"/>
          <w:sz w:val="20"/>
        </w:rPr>
        <w:t>606,</w:t>
      </w:r>
      <w:r>
        <w:rPr>
          <w:rFonts w:ascii="Times New Roman;Times;serif" w:hAnsi="Times New Roman;Times;serif"/>
          <w:sz w:val="20"/>
        </w:rPr>
        <w:t xml:space="preserve"> all such incremental services were concluded to be immaterial in the context of the contracts.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Types of Contracts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Substantially all of the Company's revenue is derived from contracts with its customers under </w:t>
      </w:r>
      <w:r>
        <w:rPr>
          <w:rStyle w:val="Emphasis"/>
          <w:rFonts w:ascii="Times New Roman;Times;serif" w:hAnsi="Times New Roman;Times;serif"/>
          <w:sz w:val="20"/>
        </w:rPr>
        <w:t>one</w:t>
      </w:r>
      <w:r>
        <w:rPr>
          <w:rFonts w:ascii="Times New Roman;Times;serif" w:hAnsi="Times New Roman;Times;serif"/>
          <w:sz w:val="20"/>
        </w:rPr>
        <w:t xml:space="preserve"> of the following types of contracts: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b/>
                <w:sz w:val="20"/>
              </w:rPr>
              <w:t>Direct with customer:</w:t>
            </w:r>
            <w:r>
              <w:rPr>
                <w:rFonts w:ascii="Times New Roman" w:hAnsi="Times New Roman"/>
                <w:sz w:val="20"/>
              </w:rPr>
              <w:t xml:space="preserve"> This includes contracts with original equipment manufacturers (OEMs), original design manufacturers (ODMs), and contract manufacturers (CMs). The nature of Bel's products are such that they represent components which are installed in various end applications (</w:t>
            </w:r>
            <w:r>
              <w:rPr>
                <w:rFonts w:ascii="Times New Roman" w:hAnsi="Times New Roman"/>
                <w:i/>
                <w:sz w:val="20"/>
              </w:rPr>
              <w:t>e.g.,</w:t>
            </w:r>
            <w:r>
              <w:rPr>
                <w:rFonts w:ascii="Times New Roman" w:hAnsi="Times New Roman"/>
                <w:sz w:val="20"/>
              </w:rPr>
              <w:t xml:space="preserve"> servers, aircraft, missiles and rail applications). The OEMs, ODMs or CMs that purchase our product for further installation are our end customers. Contracts with these customers are broad-based and cover general terms and conditions. Details such as order volume and pricing are typically contained in individual purchase orders, and as a result, we view each product on each purchase order as an individual performance obligation. Incremental services included in the contracts, such as training, highly-customized product development services, tooling and other customer support are determined to be immaterial in the context of the contract, both individually and in the aggregate. Revenue under these contracts is generally recognized at a point in time, generally upon shipping or delivery, which closely mirrors the shipping terms dictated by the applicable contract.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b/>
                <w:sz w:val="20"/>
              </w:rPr>
              <w:t>Distributor: </w:t>
            </w:r>
            <w:r>
              <w:rPr>
                <w:rFonts w:ascii="Times New Roman" w:hAnsi="Times New Roman"/>
                <w:sz w:val="20"/>
              </w:rPr>
              <w:t>Distribution customers buy product directly from Bel and sell it in the marketplace to end customers. Bel contracts directly with the distributor. These contracts are typically global in nature and cover a variety of our product groups. Similar to contracts with OEMs, ODMs and CMs, each product on each purchase order is considered an individual performance obligation. Revenue is recognized at a point in time, generally upon shipping or delivery, which closely mirrors the shipping terms dictated by the applicable contract.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pPr>
            <w:r>
              <w:rPr>
                <w:rFonts w:ascii="Times New Roman" w:hAnsi="Times New Roman"/>
                <w:b/>
                <w:sz w:val="20"/>
              </w:rPr>
              <w:t>Customer-Designated Hub Arrangements: </w:t>
            </w:r>
            <w:r>
              <w:rPr>
                <w:rFonts w:ascii="Times New Roman" w:hAnsi="Times New Roman"/>
                <w:sz w:val="20"/>
              </w:rPr>
              <w:t xml:space="preserve">These customers operate under a type of concession agreement whereby the Company ships goods to a warehouse or hub, where they will be pulled by the customer at a later date. The terms specified in the customer-designated hub contracts specify that the Company will </w:t>
            </w:r>
            <w:r>
              <w:rPr>
                <w:rStyle w:val="Emphasis"/>
                <w:rFonts w:ascii="Times New Roman" w:hAnsi="Times New Roman"/>
                <w:sz w:val="20"/>
              </w:rPr>
              <w:t>not</w:t>
            </w:r>
            <w:r>
              <w:rPr>
                <w:rFonts w:ascii="Times New Roman" w:hAnsi="Times New Roman"/>
                <w:sz w:val="20"/>
              </w:rPr>
              <w:t xml:space="preserve"> invoice the customer for product until it is pulled from the warehouse or hub. Once product arrives at the hub, it is generally </w:t>
            </w:r>
            <w:r>
              <w:rPr>
                <w:rStyle w:val="Emphasis"/>
                <w:rFonts w:ascii="Times New Roman" w:hAnsi="Times New Roman"/>
                <w:sz w:val="20"/>
              </w:rPr>
              <w:t>not</w:t>
            </w:r>
            <w:r>
              <w:rPr>
                <w:rFonts w:ascii="Times New Roman" w:hAnsi="Times New Roman"/>
                <w:sz w:val="20"/>
              </w:rPr>
              <w:t xml:space="preserve"> returned to Bel unless there is a warranty issue (see Note </w:t>
            </w:r>
            <w:r>
              <w:rPr>
                <w:rStyle w:val="Emphasis"/>
                <w:rFonts w:ascii="Times New Roman" w:hAnsi="Times New Roman"/>
                <w:sz w:val="20"/>
              </w:rPr>
              <w:t>1,</w:t>
            </w:r>
            <w:r>
              <w:rPr>
                <w:rFonts w:ascii="Times New Roman" w:hAnsi="Times New Roman"/>
                <w:sz w:val="20"/>
              </w:rPr>
              <w:t xml:space="preserve"> </w:t>
            </w:r>
            <w:r>
              <w:rPr>
                <w:rFonts w:ascii="Times New Roman" w:hAnsi="Times New Roman"/>
                <w:i/>
                <w:sz w:val="20"/>
              </w:rPr>
              <w:t>"Description of Business and Summary of Significant Accounting Policies - Product Warranties"</w:t>
            </w:r>
            <w:r>
              <w:rPr>
                <w:rFonts w:ascii="Times New Roman" w:hAnsi="Times New Roman"/>
                <w:sz w:val="20"/>
              </w:rPr>
              <w:t xml:space="preserve"> above). Similar to the contracts described above, each product on each purchase order is considered an individual performance obligation. Under ASC </w:t>
            </w:r>
            <w:r>
              <w:rPr>
                <w:rStyle w:val="Emphasis"/>
                <w:rFonts w:ascii="Times New Roman" w:hAnsi="Times New Roman"/>
                <w:sz w:val="20"/>
              </w:rPr>
              <w:t>606,</w:t>
            </w:r>
            <w:r>
              <w:rPr>
                <w:rFonts w:ascii="Times New Roman" w:hAnsi="Times New Roman"/>
                <w:sz w:val="20"/>
              </w:rPr>
              <w:t xml:space="preserve"> it was determined that the majority of these hubs are customer-controlled, and therefore control transfers to the customer upon either delivery from Bel's warehouse, or arrival at the customer-controlled hub, depending upon the applicable shipping terms. Revenue is therefore recognized as control of the product is transferred to the customer (for customer-controlled hubs, this is at the time product is shipped to the hub). The accompanying consolidated balance sheet reflects a corresponding unbilled receivable balance, as we do </w:t>
            </w:r>
            <w:r>
              <w:rPr>
                <w:rStyle w:val="Emphasis"/>
                <w:rFonts w:ascii="Times New Roman" w:hAnsi="Times New Roman"/>
                <w:sz w:val="20"/>
              </w:rPr>
              <w:t>not</w:t>
            </w:r>
            <w:r>
              <w:rPr>
                <w:rFonts w:ascii="Times New Roman" w:hAnsi="Times New Roman"/>
                <w:sz w:val="20"/>
              </w:rPr>
              <w:t xml:space="preserve"> have the right to invoice the customer until product is pulled from the hub.</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pPr>
            <w:r>
              <w:rPr>
                <w:rFonts w:ascii="Times New Roman" w:hAnsi="Times New Roman"/>
                <w:b/>
                <w:sz w:val="20"/>
              </w:rPr>
              <w:t>Licensing Agreements: </w:t>
            </w:r>
            <w:r>
              <w:rPr>
                <w:rFonts w:ascii="Times New Roman" w:hAnsi="Times New Roman"/>
                <w:sz w:val="20"/>
              </w:rPr>
              <w:t xml:space="preserve">License agreements are only applicable to our Power Solutions and Protection product group, and include provisions for Bel to receive sales-based royalty income related to the licensing of Bel's patents or other intellectual property (IP) utilized by a </w:t>
            </w:r>
            <w:r>
              <w:rPr>
                <w:rStyle w:val="Emphasis"/>
                <w:rFonts w:ascii="Times New Roman" w:hAnsi="Times New Roman"/>
                <w:sz w:val="20"/>
              </w:rPr>
              <w:t>third</w:t>
            </w:r>
            <w:r>
              <w:rPr>
                <w:rFonts w:ascii="Times New Roman" w:hAnsi="Times New Roman"/>
                <w:sz w:val="20"/>
              </w:rPr>
              <w:t xml:space="preserve">-party entity. Income related to these agreements is tracked by the licensee throughout the year based on their sales of product that utilize Bel's IP, and that data is reported to Bel either on a quarterly or annual basis, with payment generally received within </w:t>
            </w:r>
            <w:r>
              <w:rPr>
                <w:rStyle w:val="Emphasis"/>
                <w:rFonts w:ascii="Times New Roman" w:hAnsi="Times New Roman"/>
                <w:sz w:val="20"/>
              </w:rPr>
              <w:t>30</w:t>
            </w:r>
            <w:r>
              <w:rPr>
                <w:rFonts w:ascii="Times New Roman" w:hAnsi="Times New Roman"/>
                <w:sz w:val="20"/>
              </w:rPr>
              <w:t xml:space="preserve"> days of the reporting date. Our performance obligation is satisfied upon delivery of the IP at the beginning of the license period, as the licenses are functional in nature. However, the recognition of revenue associated with these licenses is subject to the sales- or usage-based constraint on variable consideration. As such, the Company records a constrained estimate of this variable consideration as royalty income in the period of the underlying customers' product sales, with adjustments made as actual licensee sales data becomes available.</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Significant Payment Terms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Contracts with customers indicate the general terms and conditions in which business will be conducted for a set period of time. Individual purchase orders state the description, quantity and price of each product purchased. Payment for products sold under direct contracts with customers or contracts with distributors is typically due in full within </w:t>
      </w:r>
      <w:r>
        <w:rPr>
          <w:rStyle w:val="Emphasis"/>
          <w:rFonts w:ascii="Times New Roman;Times;serif" w:hAnsi="Times New Roman;Times;serif"/>
          <w:sz w:val="20"/>
        </w:rPr>
        <w:t>30</w:t>
      </w:r>
      <w:r>
        <w:rPr>
          <w:rFonts w:ascii="Times New Roman;Times;serif" w:hAnsi="Times New Roman;Times;serif"/>
          <w:sz w:val="20"/>
        </w:rPr>
        <w:t>-</w:t>
      </w:r>
      <w:r>
        <w:rPr>
          <w:rStyle w:val="Emphasis"/>
          <w:rFonts w:ascii="Times New Roman;Times;serif" w:hAnsi="Times New Roman;Times;serif"/>
          <w:sz w:val="20"/>
        </w:rPr>
        <w:t>90</w:t>
      </w:r>
      <w:r>
        <w:rPr>
          <w:rFonts w:ascii="Times New Roman;Times;serif" w:hAnsi="Times New Roman;Times;serif"/>
          <w:sz w:val="20"/>
        </w:rPr>
        <w:t xml:space="preserve"> days from the transfer of title to the customer. Payment for products sold under our customer-designated hub arrangements is typically due within </w:t>
      </w:r>
      <w:r>
        <w:rPr>
          <w:rStyle w:val="Emphasis"/>
          <w:rFonts w:ascii="Times New Roman;Times;serif" w:hAnsi="Times New Roman;Times;serif"/>
          <w:sz w:val="20"/>
        </w:rPr>
        <w:t>60</w:t>
      </w:r>
      <w:r>
        <w:rPr>
          <w:rFonts w:ascii="Times New Roman;Times;serif" w:hAnsi="Times New Roman;Times;serif"/>
          <w:sz w:val="20"/>
        </w:rPr>
        <w:t xml:space="preserve"> days of the customer pulling the product from the hub. Payment due related to our licensing agreements is generally within </w:t>
      </w:r>
      <w:r>
        <w:rPr>
          <w:rStyle w:val="Emphasis"/>
          <w:rFonts w:ascii="Times New Roman;Times;serif" w:hAnsi="Times New Roman;Times;serif"/>
          <w:sz w:val="20"/>
        </w:rPr>
        <w:t>30</w:t>
      </w:r>
      <w:r>
        <w:rPr>
          <w:rFonts w:ascii="Times New Roman;Times;serif" w:hAnsi="Times New Roman;Times;serif"/>
          <w:sz w:val="20"/>
        </w:rPr>
        <w:t xml:space="preserve"> days of receiving the licensee sales data, which is either on a quarterly or annual basis.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Since the customer agrees to a stated price for each product on each purchase order, the majority of contracts are </w:t>
      </w:r>
      <w:r>
        <w:rPr>
          <w:rStyle w:val="Emphasis"/>
          <w:rFonts w:ascii="Times New Roman;Times;serif" w:hAnsi="Times New Roman;Times;serif"/>
          <w:sz w:val="20"/>
        </w:rPr>
        <w:t>not</w:t>
      </w:r>
      <w:r>
        <w:rPr>
          <w:rFonts w:ascii="Times New Roman;Times;serif" w:hAnsi="Times New Roman;Times;serif"/>
          <w:sz w:val="20"/>
        </w:rPr>
        <w:t xml:space="preserve"> subject to variable consideration. However, the "ship and debit" arrangements with distributors, royalty income associated with our licensing agreements, and the product returns described above are each deemed to be variable consideration which requires the Company to make constrained estimates based on historical data. At the time of adoption, the Company elected to apply the practical expedient permitted under ASC Topic </w:t>
      </w:r>
      <w:r>
        <w:rPr>
          <w:rStyle w:val="Emphasis"/>
          <w:rFonts w:ascii="Times New Roman;Times;serif" w:hAnsi="Times New Roman;Times;serif"/>
          <w:sz w:val="20"/>
        </w:rPr>
        <w:t>606,</w:t>
      </w:r>
      <w:r>
        <w:rPr>
          <w:rFonts w:ascii="Times New Roman;Times;serif" w:hAnsi="Times New Roman;Times;serif"/>
          <w:sz w:val="20"/>
        </w:rPr>
        <w:t xml:space="preserve"> “</w:t>
      </w:r>
      <w:r>
        <w:rPr>
          <w:rFonts w:ascii="Times New Roman;Times;serif" w:hAnsi="Times New Roman;Times;serif"/>
          <w:i/>
          <w:sz w:val="20"/>
        </w:rPr>
        <w:t>Revenue from Contracts with Customers.</w:t>
      </w:r>
      <w:r>
        <w:rPr>
          <w:rFonts w:ascii="Times New Roman;Times;serif" w:hAnsi="Times New Roman;Times;serif"/>
          <w:sz w:val="20"/>
        </w:rPr>
        <w:t xml:space="preserve">” This expedient allows entities </w:t>
      </w:r>
      <w:r>
        <w:rPr>
          <w:rStyle w:val="Emphasis"/>
          <w:rFonts w:ascii="Times New Roman;Times;serif" w:hAnsi="Times New Roman;Times;serif"/>
          <w:sz w:val="20"/>
        </w:rPr>
        <w:t>not</w:t>
      </w:r>
      <w:r>
        <w:rPr>
          <w:rFonts w:ascii="Times New Roman;Times;serif" w:hAnsi="Times New Roman;Times;serif"/>
          <w:sz w:val="20"/>
        </w:rPr>
        <w:t xml:space="preserve"> to adjust the promised consideration in a contract for the effects of a significant financing component if the period between the transfer of control of goods or services to the customer and receipt of payment is </w:t>
      </w:r>
      <w:r>
        <w:rPr>
          <w:rStyle w:val="Emphasis"/>
          <w:rFonts w:ascii="Times New Roman;Times;serif" w:hAnsi="Times New Roman;Times;serif"/>
          <w:sz w:val="20"/>
        </w:rPr>
        <w:t>one</w:t>
      </w:r>
      <w:r>
        <w:rPr>
          <w:rFonts w:ascii="Times New Roman;Times;serif" w:hAnsi="Times New Roman;Times;serif"/>
          <w:sz w:val="20"/>
        </w:rPr>
        <w:t xml:space="preserve"> year or less. The Company assessed its contracts and determined that the timing difference between the transfer of control and payment is typically less than </w:t>
      </w:r>
      <w:r>
        <w:rPr>
          <w:rStyle w:val="Emphasis"/>
          <w:rFonts w:ascii="Times New Roman;Times;serif" w:hAnsi="Times New Roman;Times;serif"/>
          <w:sz w:val="20"/>
        </w:rPr>
        <w:t>one</w:t>
      </w:r>
      <w:r>
        <w:rPr>
          <w:rFonts w:ascii="Times New Roman;Times;serif" w:hAnsi="Times New Roman;Times;serif"/>
          <w:sz w:val="20"/>
        </w:rPr>
        <w:t xml:space="preserve"> year. Accordingly, the Company recognizes revenue at the amount of consideration to which it expects to be entitled without separately presenting or recognizing interest income or interest expense related to the timing of payment.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Disaggregation of Revenue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about disaggregated revenue by geographic region and sales channel, and includes a reconciliation of the disaggregated revenue to our reportable segments: </w:t>
      </w:r>
    </w:p>
    <w:p>
      <w:pPr>
        <w:pStyle w:val="TextBody"/>
        <w:bidi w:val="0"/>
        <w:spacing w:before="0" w:after="0"/>
        <w:ind w:left="0" w:right="0" w:hanging="0"/>
        <w:jc w:val="left"/>
        <w:rPr/>
      </w:pPr>
      <w:r>
        <w:rPr/>
        <w:t> </w:t>
      </w:r>
    </w:p>
    <w:tbl>
      <w:tblPr>
        <w:tblW w:w="6819" w:type="dxa"/>
        <w:jc w:val="left"/>
        <w:tblInd w:w="0" w:type="dxa"/>
        <w:tblLayout w:type="fixed"/>
        <w:tblCellMar>
          <w:top w:w="0" w:type="dxa"/>
          <w:left w:w="0" w:type="dxa"/>
          <w:bottom w:w="0" w:type="dxa"/>
          <w:right w:w="0" w:type="dxa"/>
        </w:tblCellMar>
      </w:tblPr>
      <w:tblGrid>
        <w:gridCol w:w="1970"/>
        <w:gridCol w:w="60"/>
        <w:gridCol w:w="208"/>
        <w:gridCol w:w="1161"/>
        <w:gridCol w:w="60"/>
        <w:gridCol w:w="60"/>
        <w:gridCol w:w="163"/>
        <w:gridCol w:w="907"/>
        <w:gridCol w:w="60"/>
        <w:gridCol w:w="60"/>
        <w:gridCol w:w="139"/>
        <w:gridCol w:w="661"/>
        <w:gridCol w:w="60"/>
        <w:gridCol w:w="60"/>
        <w:gridCol w:w="172"/>
        <w:gridCol w:w="958"/>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2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Year Ended December 31, 2025</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Power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Connectivity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Magnetic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and Protection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Consolidated</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By Geographic Region: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447,372</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104,586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71,376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123,497</w:t>
            </w:r>
          </w:p>
        </w:tc>
        <w:tc>
          <w:tcPr>
            <w:tcW w:w="60" w:type="dxa"/>
            <w:tcBorders/>
            <w:shd w:fill="FFFFFF" w:val="clear"/>
            <w:vAlign w:val="center"/>
          </w:tcPr>
          <w:p>
            <w:pPr>
              <w:pStyle w:val="TableContents"/>
              <w:bidi w:val="0"/>
              <w:spacing w:before="0" w:after="0"/>
              <w:jc w:val="left"/>
              <w:rPr/>
            </w:pPr>
            <w:r>
              <w:rPr/>
              <w:t> </w:t>
            </w:r>
          </w:p>
        </w:tc>
      </w:tr>
      <w:tr>
        <w:trPr/>
        <w:tc>
          <w:tcPr>
            <w:tcW w:w="1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675,455</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By Sales Channel: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to customer</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496,643</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Through distribution</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61"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178,812</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675,455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6849" w:type="dxa"/>
        <w:jc w:val="left"/>
        <w:tblInd w:w="0" w:type="dxa"/>
        <w:tblLayout w:type="fixed"/>
        <w:tblCellMar>
          <w:top w:w="0" w:type="dxa"/>
          <w:left w:w="0" w:type="dxa"/>
          <w:bottom w:w="0" w:type="dxa"/>
          <w:right w:w="0" w:type="dxa"/>
        </w:tblCellMar>
      </w:tblPr>
      <w:tblGrid>
        <w:gridCol w:w="1985"/>
        <w:gridCol w:w="60"/>
        <w:gridCol w:w="208"/>
        <w:gridCol w:w="1161"/>
        <w:gridCol w:w="60"/>
        <w:gridCol w:w="60"/>
        <w:gridCol w:w="163"/>
        <w:gridCol w:w="907"/>
        <w:gridCol w:w="60"/>
        <w:gridCol w:w="60"/>
        <w:gridCol w:w="139"/>
        <w:gridCol w:w="661"/>
        <w:gridCol w:w="60"/>
        <w:gridCol w:w="60"/>
        <w:gridCol w:w="172"/>
        <w:gridCol w:w="958"/>
        <w:gridCol w:w="75"/>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2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Year Ended December 31, 2024</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Power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Connectivity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Magnetic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rStyle w:val="Emphasis"/>
              </w:rPr>
              <w:t> </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and Protection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Consolidated</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By Geographic Region: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362,160</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104,291</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68,341</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534,792</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By Sales Channel: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 to customer</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357,781</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Through distribution</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177,011</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839" w:type="dxa"/>
        <w:jc w:val="left"/>
        <w:tblInd w:w="0" w:type="dxa"/>
        <w:tblLayout w:type="fixed"/>
        <w:tblCellMar>
          <w:top w:w="0" w:type="dxa"/>
          <w:left w:w="0" w:type="dxa"/>
          <w:bottom w:w="0" w:type="dxa"/>
          <w:right w:w="0" w:type="dxa"/>
        </w:tblCellMar>
      </w:tblPr>
      <w:tblGrid>
        <w:gridCol w:w="1970"/>
        <w:gridCol w:w="60"/>
        <w:gridCol w:w="208"/>
        <w:gridCol w:w="1161"/>
        <w:gridCol w:w="60"/>
        <w:gridCol w:w="60"/>
        <w:gridCol w:w="163"/>
        <w:gridCol w:w="907"/>
        <w:gridCol w:w="60"/>
        <w:gridCol w:w="60"/>
        <w:gridCol w:w="125"/>
        <w:gridCol w:w="695"/>
        <w:gridCol w:w="60"/>
        <w:gridCol w:w="60"/>
        <w:gridCol w:w="172"/>
        <w:gridCol w:w="958"/>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74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 December 31, 2023</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Power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Connectivity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Magnetic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and Protection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Geographic Region: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447,793</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98,519</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93,501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639,813</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Sales Channel:</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to customer</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439,329</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Through distribution</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200,484</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639,813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Contract Assets and Contract Liabilities</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contract asset results when goods or services have been transferred to the customer but payment is contingent upon a future event, other than passage of time. In the case of our customer-controlled hub arrangements, we are unable to invoice the customer until product is pulled from the hub by the customer, which generates an unbilled receivable (a contract asset) when revenue is initially recognized.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contract liability results when cash payments are received or due in advance of our performance obligation being met. We have certain customers who provide payment in advance of product being shipped, which results in deferred revenue (a contract liability).</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balances of the Company's contract assets and contract liabilities at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are as follows:</w:t>
      </w:r>
    </w:p>
    <w:p>
      <w:pPr>
        <w:pStyle w:val="TextBody"/>
        <w:bidi w:val="0"/>
        <w:spacing w:before="0" w:after="0"/>
        <w:ind w:left="0" w:right="0" w:hanging="0"/>
        <w:jc w:val="left"/>
        <w:rPr/>
      </w:pPr>
      <w:r>
        <w:rPr/>
        <w:t> </w:t>
      </w:r>
    </w:p>
    <w:tbl>
      <w:tblPr>
        <w:tblW w:w="7532" w:type="dxa"/>
        <w:jc w:val="left"/>
        <w:tblInd w:w="0" w:type="dxa"/>
        <w:tblLayout w:type="fixed"/>
        <w:tblCellMar>
          <w:top w:w="0" w:type="dxa"/>
          <w:left w:w="0" w:type="dxa"/>
          <w:bottom w:w="0" w:type="dxa"/>
          <w:right w:w="0" w:type="dxa"/>
        </w:tblCellMar>
      </w:tblPr>
      <w:tblGrid>
        <w:gridCol w:w="3785"/>
        <w:gridCol w:w="60"/>
        <w:gridCol w:w="171"/>
        <w:gridCol w:w="958"/>
        <w:gridCol w:w="60"/>
        <w:gridCol w:w="60"/>
        <w:gridCol w:w="171"/>
        <w:gridCol w:w="958"/>
        <w:gridCol w:w="60"/>
        <w:gridCol w:w="60"/>
        <w:gridCol w:w="197"/>
        <w:gridCol w:w="932"/>
        <w:gridCol w:w="60"/>
      </w:tblGrid>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assets - current (unbilled receivables)</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12,793</w:t>
            </w:r>
          </w:p>
        </w:tc>
        <w:tc>
          <w:tcPr>
            <w:tcW w:w="6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 - current (deferred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3,046</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change in balance of our unbilled receivables from </w:t>
      </w:r>
      <w:r>
        <w:rPr>
          <w:rStyle w:val="Emphasis"/>
          <w:rFonts w:ascii="Times New Roman;Times;serif" w:hAnsi="Times New Roman;Times;serif"/>
          <w:sz w:val="20"/>
        </w:rPr>
        <w:t>December 31, 2024</w:t>
      </w:r>
      <w:r>
        <w:rPr>
          <w:rFonts w:ascii="Times New Roman;Times;serif" w:hAnsi="Times New Roman;Times;serif"/>
          <w:sz w:val="20"/>
        </w:rPr>
        <w:t xml:space="preserve"> to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primarily relates to a timing difference between the Company's performance (i.e. when our product is shipped to a customer-controlled hub) and the point at which the Company can invoice the customer per the terms of the customer contract (i.e. when the customer pulls our product from the customer-controlled hub). The deferred revenue balance is included within other current liabilities on the accompanying balance sheets.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A tabular presentation of the activity within the deferred revenue account for the years ended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December 31, 2024</w:t>
      </w:r>
      <w:r>
        <w:rPr>
          <w:rFonts w:ascii="Times New Roman;Times;serif" w:hAnsi="Times New Roman;Times;serif"/>
          <w:sz w:val="20"/>
        </w:rPr>
        <w:t xml:space="preserve"> are presented below:</w:t>
      </w:r>
    </w:p>
    <w:p>
      <w:pPr>
        <w:pStyle w:val="TextBody"/>
        <w:bidi w:val="0"/>
        <w:spacing w:before="0" w:after="0"/>
        <w:ind w:left="0" w:right="0" w:hanging="0"/>
        <w:jc w:val="left"/>
        <w:rPr/>
      </w:pPr>
      <w:r>
        <w:rPr/>
        <w:t> </w:t>
      </w:r>
    </w:p>
    <w:tbl>
      <w:tblPr>
        <w:tblW w:w="5382" w:type="dxa"/>
        <w:jc w:val="left"/>
        <w:tblInd w:w="0" w:type="dxa"/>
        <w:tblLayout w:type="fixed"/>
        <w:tblCellMar>
          <w:top w:w="0" w:type="dxa"/>
          <w:left w:w="0" w:type="dxa"/>
          <w:bottom w:w="0" w:type="dxa"/>
          <w:right w:w="0" w:type="dxa"/>
        </w:tblCellMar>
      </w:tblPr>
      <w:tblGrid>
        <w:gridCol w:w="3050"/>
        <w:gridCol w:w="60"/>
        <w:gridCol w:w="162"/>
        <w:gridCol w:w="844"/>
        <w:gridCol w:w="103"/>
        <w:gridCol w:w="77"/>
        <w:gridCol w:w="162"/>
        <w:gridCol w:w="844"/>
        <w:gridCol w:w="80"/>
      </w:tblGrid>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6,120</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3,046</w:t>
            </w:r>
          </w:p>
        </w:tc>
        <w:tc>
          <w:tcPr>
            <w:tcW w:w="80" w:type="dxa"/>
            <w:tcBorders/>
            <w:shd w:fill="CCEEFF" w:val="clear"/>
            <w:vAlign w:val="center"/>
          </w:tcPr>
          <w:p>
            <w:pPr>
              <w:pStyle w:val="TableContents"/>
              <w:bidi w:val="0"/>
              <w:spacing w:before="0" w:after="283"/>
              <w:jc w:val="left"/>
              <w:rPr/>
            </w:pPr>
            <w:r>
              <w:rPr/>
              <w:t> </w:t>
            </w:r>
          </w:p>
        </w:tc>
      </w:tr>
      <w:tr>
        <w:trPr/>
        <w:tc>
          <w:tcPr>
            <w:tcW w:w="3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advance payments received</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94,624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17,551</w:t>
            </w:r>
          </w:p>
        </w:tc>
        <w:tc>
          <w:tcPr>
            <w:tcW w:w="80" w:type="dxa"/>
            <w:tcBorders/>
            <w:shd w:fill="FFFFFF" w:val="clear"/>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as revenue during period</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(90,977</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translation</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9,767</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Transaction Price Allocated to Future Obligations</w:t>
      </w:r>
      <w:r>
        <w:rPr>
          <w:rFonts w:ascii="Times New Roman;Times;serif" w:hAnsi="Times New Roman;Times;serif"/>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aggregate amount of transaction price allocated to remaining performance obligations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fully satisfied 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related to contracts that exceed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in duration amounted to $20.2 million, with expected contract expiration dates that range largely from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 </w:t>
      </w:r>
      <w:r>
        <w:rPr>
          <w:rStyle w:val="Emphasis"/>
          <w:rFonts w:ascii="Times New Roman" w:hAnsi="Times New Roman"/>
          <w:caps w:val="false"/>
          <w:smallCaps w:val="false"/>
          <w:sz w:val="20"/>
        </w:rPr>
        <w:t>2030</w:t>
      </w:r>
      <w:r>
        <w:rPr>
          <w:rFonts w:ascii="Times New Roman" w:hAnsi="Times New Roman"/>
          <w:b/>
          <w:caps w:val="false"/>
          <w:smallCaps w:val="false"/>
          <w:sz w:val="20"/>
        </w:rPr>
        <w:t>.</w:t>
      </w:r>
      <w:r>
        <w:rPr>
          <w:rFonts w:ascii="Times New Roman" w:hAnsi="Times New Roman"/>
          <w:caps w:val="false"/>
          <w:smallCaps w:val="false"/>
          <w:sz w:val="20"/>
        </w:rPr>
        <w:t xml:space="preserve"> It is expected that $2.7 million of this aggregate amount will be recognized in 2027, $0.5 million will be recognized in 2028 and the remainder will be recognized in years beyond </w:t>
      </w:r>
      <w:r>
        <w:rPr>
          <w:rStyle w:val="Emphasis"/>
          <w:rFonts w:ascii="Times New Roman" w:hAnsi="Times New Roman"/>
          <w:caps w:val="false"/>
          <w:smallCaps w:val="false"/>
          <w:sz w:val="20"/>
        </w:rPr>
        <w:t>2028.</w:t>
      </w:r>
      <w:r>
        <w:rPr>
          <w:rFonts w:ascii="Times New Roman" w:hAnsi="Times New Roman"/>
          <w:caps w:val="false"/>
          <w:smallCaps w:val="false"/>
          <w:sz w:val="20"/>
        </w:rPr>
        <w:t xml:space="preserve"> The majority of the Company's orders received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shipped) at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is related to contracts that have an original expected duration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for which the Company is electing to utilize the practical expedient available within the guidance, and are excluded from the transaction price related to these future obligations. The Company will generally satisfy the remaining performance obligations as we transfer control of the products ordered to our customers.</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285" w:type="dxa"/>
        <w:jc w:val="left"/>
        <w:tblInd w:w="0" w:type="dxa"/>
        <w:tblLayout w:type="fixed"/>
        <w:tblCellMar>
          <w:top w:w="0" w:type="dxa"/>
          <w:left w:w="0" w:type="dxa"/>
          <w:bottom w:w="0" w:type="dxa"/>
          <w:right w:w="0" w:type="dxa"/>
        </w:tblCellMar>
      </w:tblPr>
      <w:tblGrid>
        <w:gridCol w:w="170"/>
        <w:gridCol w:w="411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rPr>
              <w:t>5.</w:t>
            </w:r>
          </w:p>
        </w:tc>
        <w:tc>
          <w:tcPr>
            <w:tcW w:w="41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GOODWILL AND OTHER INTANGIBLE ASSETS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Goodwill</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Goodwill represents the excess of the purchase price and related acquisition costs over the fair value assigned to the net tangible and other intangible assets acquired in a business acquisition. At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the Company's reportable operating segments were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rFonts w:ascii="Times New Roman" w:hAnsi="Times New Roman"/>
                <w:b/>
                <w:sz w:val="20"/>
                <w:shd w:fill="FFFFFF" w:val="clear"/>
              </w:rPr>
              <w:t>Power Solutions and Protection</w:t>
            </w:r>
            <w:r>
              <w:rPr>
                <w:rFonts w:ascii="Times New Roman" w:hAnsi="Times New Roman"/>
                <w:sz w:val="20"/>
              </w:rPr>
              <w:t xml:space="preserve">: includes the </w:t>
            </w:r>
            <w:r>
              <w:rPr>
                <w:rStyle w:val="Emphasis"/>
                <w:rFonts w:ascii="Times New Roman" w:hAnsi="Times New Roman"/>
                <w:sz w:val="20"/>
              </w:rPr>
              <w:t>2012</w:t>
            </w:r>
            <w:r>
              <w:rPr>
                <w:rFonts w:ascii="Times New Roman" w:hAnsi="Times New Roman"/>
                <w:sz w:val="20"/>
              </w:rPr>
              <w:t xml:space="preserve"> acquisition of Powerbox Italia, the </w:t>
            </w:r>
            <w:r>
              <w:rPr>
                <w:rStyle w:val="Emphasis"/>
                <w:rFonts w:ascii="Times New Roman" w:hAnsi="Times New Roman"/>
                <w:sz w:val="20"/>
              </w:rPr>
              <w:t>2014</w:t>
            </w:r>
            <w:r>
              <w:rPr>
                <w:rFonts w:ascii="Times New Roman" w:hAnsi="Times New Roman"/>
                <w:sz w:val="20"/>
              </w:rPr>
              <w:t xml:space="preserve"> acquisition of ABB's Power Solutions business, the </w:t>
            </w:r>
            <w:r>
              <w:rPr>
                <w:rStyle w:val="Emphasis"/>
                <w:rFonts w:ascii="Times New Roman" w:hAnsi="Times New Roman"/>
                <w:sz w:val="20"/>
              </w:rPr>
              <w:t>2019</w:t>
            </w:r>
            <w:r>
              <w:rPr>
                <w:rFonts w:ascii="Times New Roman" w:hAnsi="Times New Roman"/>
                <w:sz w:val="20"/>
              </w:rPr>
              <w:t xml:space="preserve"> acquisition of the majority of CUI Inc.'s power products business, the </w:t>
            </w:r>
            <w:r>
              <w:rPr>
                <w:rStyle w:val="Emphasis"/>
                <w:rFonts w:ascii="Times New Roman" w:hAnsi="Times New Roman"/>
                <w:sz w:val="20"/>
              </w:rPr>
              <w:t>2021</w:t>
            </w:r>
            <w:r>
              <w:rPr>
                <w:rFonts w:ascii="Times New Roman" w:hAnsi="Times New Roman"/>
                <w:sz w:val="20"/>
              </w:rPr>
              <w:t xml:space="preserve"> acquisition of EOS, the </w:t>
            </w:r>
            <w:r>
              <w:rPr>
                <w:rStyle w:val="Emphasis"/>
                <w:rFonts w:ascii="Times New Roman" w:hAnsi="Times New Roman"/>
                <w:sz w:val="20"/>
              </w:rPr>
              <w:t>2023</w:t>
            </w:r>
            <w:r>
              <w:rPr>
                <w:rFonts w:ascii="Times New Roman" w:hAnsi="Times New Roman"/>
                <w:sz w:val="20"/>
              </w:rPr>
              <w:t xml:space="preserve"> equity method investment in innolectric, the </w:t>
            </w:r>
            <w:r>
              <w:rPr>
                <w:rStyle w:val="Emphasis"/>
                <w:rFonts w:ascii="Times New Roman" w:hAnsi="Times New Roman"/>
                <w:sz w:val="20"/>
              </w:rPr>
              <w:t>2024</w:t>
            </w:r>
            <w:r>
              <w:rPr>
                <w:rFonts w:ascii="Times New Roman" w:hAnsi="Times New Roman"/>
                <w:sz w:val="20"/>
              </w:rPr>
              <w:t xml:space="preserve"> acquisition of Enercon, in addition to sales and an estimated allocation of expenses related to power products manufactured at Bel sites that are </w:t>
            </w:r>
            <w:r>
              <w:rPr>
                <w:rStyle w:val="Emphasis"/>
                <w:rFonts w:ascii="Times New Roman" w:hAnsi="Times New Roman"/>
                <w:sz w:val="20"/>
              </w:rPr>
              <w:t>not</w:t>
            </w:r>
            <w:r>
              <w:rPr>
                <w:rFonts w:ascii="Times New Roman" w:hAnsi="Times New Roman"/>
                <w:sz w:val="20"/>
              </w:rPr>
              <w:t xml:space="preserve"> product group specific.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both"/>
              <w:rPr/>
            </w:pPr>
            <w:r>
              <w:rPr>
                <w:rFonts w:ascii="Times New Roman" w:hAnsi="Times New Roman"/>
                <w:b/>
                <w:sz w:val="20"/>
                <w:shd w:fill="FFFFFF" w:val="clear"/>
              </w:rPr>
              <w:t>Connectivity Solutions</w:t>
            </w:r>
            <w:r>
              <w:rPr>
                <w:rFonts w:ascii="Times New Roman" w:hAnsi="Times New Roman"/>
                <w:sz w:val="20"/>
                <w:shd w:fill="FFFFFF" w:val="clear"/>
              </w:rPr>
              <w:t xml:space="preserve">: includes the </w:t>
            </w:r>
            <w:r>
              <w:rPr>
                <w:rStyle w:val="Emphasis"/>
                <w:rFonts w:ascii="Times New Roman" w:hAnsi="Times New Roman"/>
                <w:sz w:val="20"/>
                <w:shd w:fill="FFFFFF" w:val="clear"/>
              </w:rPr>
              <w:t>2010</w:t>
            </w:r>
            <w:r>
              <w:rPr>
                <w:rFonts w:ascii="Times New Roman" w:hAnsi="Times New Roman"/>
                <w:sz w:val="20"/>
                <w:shd w:fill="FFFFFF" w:val="clear"/>
              </w:rPr>
              <w:t xml:space="preserve"> acquisition of Cinch Connectors, the </w:t>
            </w:r>
            <w:r>
              <w:rPr>
                <w:rStyle w:val="Emphasis"/>
                <w:rFonts w:ascii="Times New Roman" w:hAnsi="Times New Roman"/>
                <w:sz w:val="20"/>
                <w:shd w:fill="FFFFFF" w:val="clear"/>
              </w:rPr>
              <w:t>2012</w:t>
            </w:r>
            <w:r>
              <w:rPr>
                <w:rFonts w:ascii="Times New Roman" w:hAnsi="Times New Roman"/>
                <w:sz w:val="20"/>
                <w:shd w:fill="FFFFFF" w:val="clear"/>
              </w:rPr>
              <w:t xml:space="preserve"> acquisitions of Fibreco Limited and GigaCom Interconnect, the </w:t>
            </w:r>
            <w:r>
              <w:rPr>
                <w:rStyle w:val="Emphasis"/>
                <w:rFonts w:ascii="Times New Roman" w:hAnsi="Times New Roman"/>
                <w:sz w:val="20"/>
                <w:shd w:fill="FFFFFF" w:val="clear"/>
              </w:rPr>
              <w:t>2013</w:t>
            </w:r>
            <w:r>
              <w:rPr>
                <w:rFonts w:ascii="Times New Roman" w:hAnsi="Times New Roman"/>
                <w:sz w:val="20"/>
                <w:shd w:fill="FFFFFF" w:val="clear"/>
              </w:rPr>
              <w:t xml:space="preserve"> acquisition of Array Connector, the </w:t>
            </w:r>
            <w:r>
              <w:rPr>
                <w:rStyle w:val="Emphasis"/>
                <w:rFonts w:ascii="Times New Roman" w:hAnsi="Times New Roman"/>
                <w:sz w:val="20"/>
                <w:shd w:fill="FFFFFF" w:val="clear"/>
              </w:rPr>
              <w:t>2014</w:t>
            </w:r>
            <w:r>
              <w:rPr>
                <w:rFonts w:ascii="Times New Roman" w:hAnsi="Times New Roman"/>
                <w:sz w:val="20"/>
                <w:shd w:fill="FFFFFF" w:val="clear"/>
              </w:rPr>
              <w:t xml:space="preserve"> acquisition of Emerson Network Power Connectivity Solutions, the </w:t>
            </w:r>
            <w:r>
              <w:rPr>
                <w:rStyle w:val="Emphasis"/>
                <w:rFonts w:ascii="Times New Roman" w:hAnsi="Times New Roman"/>
                <w:sz w:val="20"/>
                <w:shd w:fill="FFFFFF" w:val="clear"/>
              </w:rPr>
              <w:t>2021</w:t>
            </w:r>
            <w:r>
              <w:rPr>
                <w:rFonts w:ascii="Times New Roman" w:hAnsi="Times New Roman"/>
                <w:sz w:val="20"/>
                <w:shd w:fill="FFFFFF" w:val="clear"/>
              </w:rPr>
              <w:t xml:space="preserve"> acquisition of rms Connectors, in addition to sales and an estimated allocation of expenses related to connectivity products manufactured at Bel sites that are </w:t>
            </w:r>
            <w:r>
              <w:rPr>
                <w:rStyle w:val="Emphasis"/>
                <w:rFonts w:ascii="Times New Roman" w:hAnsi="Times New Roman"/>
                <w:sz w:val="20"/>
                <w:shd w:fill="FFFFFF" w:val="clear"/>
              </w:rPr>
              <w:t>not</w:t>
            </w:r>
            <w:r>
              <w:rPr>
                <w:rFonts w:ascii="Times New Roman" w:hAnsi="Times New Roman"/>
                <w:sz w:val="20"/>
                <w:shd w:fill="FFFFFF" w:val="clear"/>
              </w:rPr>
              <w:t xml:space="preserve"> product group specific.</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rFonts w:ascii="Times New Roman" w:hAnsi="Times New Roman"/>
                <w:b/>
                <w:sz w:val="20"/>
                <w:shd w:fill="FFFFFF" w:val="clear"/>
              </w:rPr>
              <w:t>Magnetic Solutions:</w:t>
            </w:r>
            <w:r>
              <w:rPr>
                <w:rFonts w:ascii="Times New Roman" w:hAnsi="Times New Roman"/>
                <w:sz w:val="20"/>
                <w:shd w:fill="FFFFFF" w:val="clear"/>
              </w:rPr>
              <w:t xml:space="preserve"> includes the </w:t>
            </w:r>
            <w:r>
              <w:rPr>
                <w:rStyle w:val="Emphasis"/>
                <w:rFonts w:ascii="Times New Roman" w:hAnsi="Times New Roman"/>
                <w:sz w:val="20"/>
                <w:shd w:fill="FFFFFF" w:val="clear"/>
              </w:rPr>
              <w:t>2013</w:t>
            </w:r>
            <w:r>
              <w:rPr>
                <w:rFonts w:ascii="Times New Roman" w:hAnsi="Times New Roman"/>
                <w:sz w:val="20"/>
                <w:shd w:fill="FFFFFF" w:val="clear"/>
              </w:rPr>
              <w:t xml:space="preserve"> acquisition of TE Connectivity's Coil Wound Magnetics business, our Signal Transformer business, in addition to sales and an estimated allocation of expenses related to Bel's ICM and discrete magnetic products that are manufactured at Bel sites that are </w:t>
            </w:r>
            <w:r>
              <w:rPr>
                <w:rStyle w:val="Emphasis"/>
                <w:rFonts w:ascii="Times New Roman" w:hAnsi="Times New Roman"/>
                <w:sz w:val="20"/>
                <w:shd w:fill="FFFFFF" w:val="clear"/>
              </w:rPr>
              <w:t>not</w:t>
            </w:r>
            <w:r>
              <w:rPr>
                <w:rFonts w:ascii="Times New Roman" w:hAnsi="Times New Roman"/>
                <w:sz w:val="20"/>
                <w:shd w:fill="FFFFFF" w:val="clear"/>
              </w:rPr>
              <w:t xml:space="preserve"> product group specific.</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sz w:val="20"/>
        </w:rPr>
        <w:t>The changes in the carrying value of goodwill classified by our segment reporting structure for the year ended </w:t>
      </w:r>
      <w:r>
        <w:rPr>
          <w:rStyle w:val="Emphasis"/>
          <w:rFonts w:ascii="Times New Roman" w:hAnsi="Times New Roman"/>
          <w:sz w:val="20"/>
        </w:rPr>
        <w:t xml:space="preserve"> December 31, 2025</w:t>
      </w:r>
      <w:r>
        <w:rPr>
          <w:rFonts w:ascii="Times New Roman" w:hAnsi="Times New Roman"/>
          <w:sz w:val="20"/>
        </w:rPr>
        <w:t> are as noted in the table below.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165"/>
        <w:gridCol w:w="60"/>
        <w:gridCol w:w="125"/>
        <w:gridCol w:w="695"/>
        <w:gridCol w:w="80"/>
        <w:gridCol w:w="60"/>
        <w:gridCol w:w="354"/>
        <w:gridCol w:w="1978"/>
        <w:gridCol w:w="80"/>
        <w:gridCol w:w="60"/>
        <w:gridCol w:w="369"/>
        <w:gridCol w:w="1438"/>
        <w:gridCol w:w="80"/>
        <w:gridCol w:w="60"/>
        <w:gridCol w:w="936"/>
        <w:gridCol w:w="601"/>
        <w:gridCol w:w="64"/>
      </w:tblGrid>
      <w:tr>
        <w:trPr/>
        <w:tc>
          <w:tcPr>
            <w:tcW w:w="3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Power Solutions &amp; Protection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Connectivity Solutions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Magnetic Solutions</w:t>
            </w:r>
          </w:p>
        </w:tc>
        <w:tc>
          <w:tcPr>
            <w:tcW w:w="64" w:type="dxa"/>
            <w:tcBorders/>
            <w:shd w:fill="FFFFFF" w:val="clear"/>
            <w:vAlign w:val="center"/>
          </w:tcPr>
          <w:p>
            <w:pPr>
              <w:pStyle w:val="TableContents"/>
              <w:bidi w:val="0"/>
              <w:spacing w:before="0" w:after="283"/>
              <w:jc w:val="left"/>
              <w:rPr/>
            </w:pPr>
            <w:r>
              <w:rPr/>
              <w:t> </w:t>
            </w:r>
          </w:p>
        </w:tc>
      </w:tr>
      <w:tr>
        <w:trPr/>
        <w:tc>
          <w:tcPr>
            <w:tcW w:w="3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1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gross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r>
      <w:tr>
        <w:trPr/>
        <w:tc>
          <w:tcPr>
            <w:tcW w:w="3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r>
      <w:tr>
        <w:trPr/>
        <w:tc>
          <w:tcPr>
            <w:tcW w:w="3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allocation related to acquisition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r>
      <w:tr>
        <w:trPr/>
        <w:tc>
          <w:tcPr>
            <w:tcW w:w="31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hanging="0"/>
              <w:jc w:val="left"/>
              <w:rPr/>
            </w:pPr>
            <w:r>
              <w:rPr/>
              <w:t> </w:t>
            </w:r>
          </w:p>
        </w:tc>
        <w:tc>
          <w:tcPr>
            <w:tcW w:w="19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ind w:left="0" w:right="0" w:hanging="0"/>
              <w:jc w:val="left"/>
              <w:rPr/>
            </w:pPr>
            <w:r>
              <w:rPr/>
              <w:t> </w:t>
            </w:r>
          </w:p>
        </w:tc>
        <w:tc>
          <w:tcPr>
            <w:tcW w:w="14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r>
      <w:tr>
        <w:trPr/>
        <w:tc>
          <w:tcPr>
            <w:tcW w:w="3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1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gross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r>
      <w:tr>
        <w:trPr/>
        <w:tc>
          <w:tcPr>
            <w:tcW w:w="31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r>
      <w:tr>
        <w:trPr/>
        <w:tc>
          <w:tcPr>
            <w:tcW w:w="3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1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allocation related to acquisition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r>
      <w:tr>
        <w:trPr/>
        <w:tc>
          <w:tcPr>
            <w:tcW w:w="3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ind w:left="0" w:right="0" w:hanging="0"/>
              <w:jc w:val="left"/>
              <w:rPr/>
            </w:pPr>
            <w:r>
              <w:rPr/>
              <w:t> </w:t>
            </w:r>
          </w:p>
        </w:tc>
        <w:tc>
          <w:tcPr>
            <w:tcW w:w="19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ind w:left="0" w:right="0" w:hanging="0"/>
              <w:jc w:val="left"/>
              <w:rPr/>
            </w:pPr>
            <w:r>
              <w:rPr/>
              <w:t> </w:t>
            </w:r>
          </w:p>
        </w:tc>
        <w:tc>
          <w:tcPr>
            <w:tcW w:w="1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r>
      <w:tr>
        <w:trPr/>
        <w:tc>
          <w:tcPr>
            <w:tcW w:w="3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9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14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3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19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4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31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gross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r>
      <w:tr>
        <w:trPr/>
        <w:tc>
          <w:tcPr>
            <w:tcW w:w="31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recorded a measurement period adjustment of $3.8 million attributable to tax liabilities, with a corresponding increase to goodwill. This adjustment resulted from the finalization of the purchase price allocation following the filing of the Company's tax return on </w:t>
      </w:r>
      <w:r>
        <w:rPr>
          <w:rStyle w:val="Emphasis"/>
          <w:rFonts w:ascii="Times New Roman" w:hAnsi="Times New Roman"/>
          <w:caps w:val="false"/>
          <w:smallCaps w:val="false"/>
          <w:sz w:val="20"/>
        </w:rPr>
        <w:t xml:space="preserve">October 15, 2025. </w:t>
      </w:r>
      <w:r>
        <w:rPr>
          <w:rFonts w:ascii="Times New Roman" w:hAnsi="Times New Roman"/>
          <w:caps w:val="false"/>
          <w:smallCaps w:val="false"/>
          <w:sz w:val="20"/>
        </w:rPr>
        <w:t xml:space="preserve">The adjustment reflects a refinement to estimated amounts previously recognized at the Enercon acquisition date and impacted only the balance sheet,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 on the current-period statement of comprehensive income. During the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Company recognized $182.9 million of goodwill related to the Enercon acquisition, as further discussed in </w:t>
      </w:r>
      <w:r>
        <w:rPr>
          <w:rFonts w:ascii="Times New Roman" w:hAnsi="Times New Roman"/>
          <w:caps w:val="false"/>
          <w:smallCaps w:val="false"/>
          <w:sz w:val="20"/>
          <w:shd w:fill="FFFFFF" w:val="clear"/>
        </w:rPr>
        <w:t xml:space="preserve">Note </w:t>
      </w:r>
      <w:r>
        <w:rPr>
          <w:rStyle w:val="Emphasis"/>
          <w:rFonts w:ascii="Times New Roman" w:hAnsi="Times New Roman"/>
          <w:caps w:val="false"/>
          <w:smallCaps w:val="false"/>
          <w:sz w:val="20"/>
          <w:shd w:fill="FFFFFF" w:val="clear"/>
        </w:rPr>
        <w:t>3,</w:t>
      </w:r>
      <w:r>
        <w:rPr>
          <w:rFonts w:ascii="Times New Roman" w:hAnsi="Times New Roman"/>
          <w:caps w:val="false"/>
          <w:smallCaps w:val="false"/>
          <w:sz w:val="20"/>
          <w:shd w:fill="FFFFFF" w:val="clear"/>
        </w:rPr>
        <w:t xml:space="preserve"> "</w:t>
      </w:r>
      <w:r>
        <w:rPr>
          <w:rFonts w:ascii="Times New Roman" w:hAnsi="Times New Roman"/>
          <w:i/>
          <w:caps w:val="false"/>
          <w:smallCaps w:val="false"/>
          <w:sz w:val="20"/>
          <w:shd w:fill="FFFFFF" w:val="clear"/>
        </w:rPr>
        <w:t>Acquisition</w:t>
      </w:r>
      <w:r>
        <w:rPr>
          <w:rFonts w:ascii="Times New Roman" w:hAnsi="Times New Roman"/>
          <w:caps w:val="false"/>
          <w:smallCaps w:val="false"/>
          <w:sz w:val="20"/>
          <w:shd w:fill="FFFFFF" w:val="clear"/>
        </w:rPr>
        <w:t xml:space="preserve">". </w:t>
      </w:r>
      <w:r>
        <w:rPr>
          <w:rFonts w:ascii="Times New Roman" w:hAnsi="Times New Roman"/>
          <w:caps w:val="false"/>
          <w:smallCaps w:val="false"/>
          <w:sz w:val="20"/>
        </w:rPr>
        <w:t xml:space="preserve">The Company has accumulated impairment charges totaling $137.5 million, which were incurred under a former segment and reporting unit structure which was in place prior to </w:t>
      </w:r>
      <w:r>
        <w:rPr>
          <w:rStyle w:val="Emphasis"/>
          <w:rFonts w:ascii="Times New Roman" w:hAnsi="Times New Roman"/>
          <w:caps w:val="false"/>
          <w:smallCaps w:val="false"/>
          <w:sz w:val="20"/>
        </w:rPr>
        <w:t>October 1, 2019.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 discussed </w:t>
      </w:r>
      <w:r>
        <w:rPr>
          <w:rFonts w:ascii="Times New Roman;Times;serif" w:hAnsi="Times New Roman;Times;serif"/>
          <w:sz w:val="20"/>
          <w:shd w:fill="FFFFFF" w:val="clear"/>
        </w:rPr>
        <w:t xml:space="preserve">in </w:t>
      </w:r>
      <w:r>
        <w:rPr>
          <w:rFonts w:ascii="Times New Roman;Times;serif" w:hAnsi="Times New Roman;Times;serif"/>
          <w:color w:val="000000"/>
          <w:sz w:val="20"/>
          <w:shd w:fill="FFFFFF" w:val="clear"/>
        </w:rPr>
        <w:t xml:space="preserve">Note </w:t>
      </w:r>
      <w:r>
        <w:rPr>
          <w:rStyle w:val="Emphasis"/>
          <w:rFonts w:ascii="Times New Roman;Times;serif" w:hAnsi="Times New Roman;Times;serif"/>
          <w:color w:val="000000"/>
          <w:sz w:val="20"/>
          <w:shd w:fill="FFFFFF" w:val="clear"/>
        </w:rPr>
        <w:t>6,</w:t>
      </w:r>
      <w:r>
        <w:rPr>
          <w:rFonts w:ascii="Times New Roman;Times;serif" w:hAnsi="Times New Roman;Times;serif"/>
          <w:color w:val="000000"/>
          <w:sz w:val="20"/>
          <w:shd w:fill="FFFFFF" w:val="clear"/>
        </w:rPr>
        <w:t xml:space="preserve"> "</w:t>
      </w:r>
      <w:r>
        <w:rPr>
          <w:rFonts w:ascii="Times New Roman;Times;serif" w:hAnsi="Times New Roman;Times;serif"/>
          <w:i/>
          <w:color w:val="000000"/>
          <w:sz w:val="20"/>
          <w:shd w:fill="FFFFFF" w:val="clear"/>
        </w:rPr>
        <w:t>Fair Value Measurements"</w:t>
      </w:r>
      <w:r>
        <w:rPr>
          <w:rFonts w:ascii="Times New Roman;Times;serif" w:hAnsi="Times New Roman;Times;serif"/>
          <w:color w:val="000000"/>
          <w:sz w:val="20"/>
          <w:shd w:fill="FFFFFF" w:val="clear"/>
        </w:rPr>
        <w:t>,</w:t>
      </w:r>
      <w:r>
        <w:rPr>
          <w:rFonts w:ascii="Times New Roman;Times;serif" w:hAnsi="Times New Roman;Times;serif"/>
          <w:sz w:val="20"/>
        </w:rPr>
        <w:t xml:space="preserve"> goodwill is reviewed for impairment on a reporting unit basis annually during the </w:t>
      </w:r>
      <w:r>
        <w:rPr>
          <w:rStyle w:val="Emphasis"/>
          <w:rFonts w:ascii="Times New Roman;Times;serif" w:hAnsi="Times New Roman;Times;serif"/>
          <w:sz w:val="20"/>
        </w:rPr>
        <w:t>fourth</w:t>
      </w:r>
      <w:r>
        <w:rPr>
          <w:rFonts w:ascii="Times New Roman;Times;serif" w:hAnsi="Times New Roman;Times;serif"/>
          <w:sz w:val="20"/>
        </w:rPr>
        <w:t xml:space="preserve"> quarter of each year and whenever events or changes in circumstances indicate the carrying value of goodwill </w:t>
      </w:r>
      <w:r>
        <w:rPr>
          <w:rStyle w:val="Emphasis"/>
          <w:rFonts w:ascii="Times New Roman;Times;serif" w:hAnsi="Times New Roman;Times;serif"/>
          <w:sz w:val="20"/>
        </w:rPr>
        <w:t>may not</w:t>
      </w:r>
      <w:r>
        <w:rPr>
          <w:rFonts w:ascii="Times New Roman;Times;serif" w:hAnsi="Times New Roman;Times;serif"/>
          <w:sz w:val="20"/>
        </w:rPr>
        <w:t xml:space="preserve"> be recoverable. In testing goodwill for impairment, we </w:t>
      </w:r>
      <w:r>
        <w:rPr>
          <w:rStyle w:val="Emphasis"/>
          <w:rFonts w:ascii="Times New Roman;Times;serif" w:hAnsi="Times New Roman;Times;serif"/>
          <w:sz w:val="20"/>
        </w:rPr>
        <w:t xml:space="preserve">may </w:t>
      </w:r>
      <w:r>
        <w:rPr>
          <w:rFonts w:ascii="Times New Roman;Times;serif" w:hAnsi="Times New Roman;Times;serif"/>
          <w:sz w:val="20"/>
        </w:rPr>
        <w:t xml:space="preserve">perform both a qualitative assessment and quantitative assessment. For the qualitative test, the assessment is based on a review of general macroeconomic conditions, industry and market conditions, changes in cost factors, overall financial performance (both actual and expected performance) and other reporting unit-specific events such as significant changes in management, customers, litigation or a change in the carrying amount of net assets. If it is determined that a potential impairment </w:t>
      </w:r>
      <w:r>
        <w:rPr>
          <w:rStyle w:val="Emphasis"/>
          <w:rFonts w:ascii="Times New Roman;Times;serif" w:hAnsi="Times New Roman;Times;serif"/>
          <w:sz w:val="20"/>
        </w:rPr>
        <w:t xml:space="preserve">may </w:t>
      </w:r>
      <w:r>
        <w:rPr>
          <w:rFonts w:ascii="Times New Roman;Times;serif" w:hAnsi="Times New Roman;Times;serif"/>
          <w:sz w:val="20"/>
        </w:rPr>
        <w:t>exist, we would proceed with a quantitative assessment. In cases where we elect to perform a quantitative assessment, we estimate the fair value of these reporting units using a weighting of fair values derived from income and market approaches. Under the income approach, we determine the fair value of a reporting unit based on the present value of estimated future cash flows. Cash flow projections are based on management's estimates of revenue growth rates and operating margins, taking into consideration industry and market conditions. The discount rate used is based on a weighted average cost of capital adjusted for the relevant risk associated with the characteristics of the business and the projected cash flows. The market approach estimates fair value based on market multiples of revenue and earnings derived from comparable publicly traded companies with similar operating and investment characteristics as the reporting unit.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Times;serif" w:hAnsi="Times New Roman;Times;serif"/>
          <w:sz w:val="20"/>
          <w:u w:val="single"/>
        </w:rPr>
        <w:t>2025</w:t>
      </w:r>
      <w:r>
        <w:rPr>
          <w:rFonts w:ascii="Times New Roman;Times;serif" w:hAnsi="Times New Roman;Times;serif"/>
          <w:sz w:val="20"/>
          <w:u w:val="single"/>
        </w:rPr>
        <w:t> Annual Impairment Test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On </w:t>
      </w:r>
      <w:r>
        <w:rPr>
          <w:rStyle w:val="Emphasis"/>
          <w:rFonts w:ascii="Times New Roman;Times;serif" w:hAnsi="Times New Roman;Times;serif"/>
          <w:sz w:val="20"/>
          <w:shd w:fill="FFFFFF" w:val="clear"/>
        </w:rPr>
        <w:t xml:space="preserve">October 1, 2025, </w:t>
      </w:r>
      <w:r>
        <w:rPr>
          <w:rFonts w:ascii="Times New Roman;Times;serif" w:hAnsi="Times New Roman;Times;serif"/>
          <w:sz w:val="20"/>
          <w:shd w:fill="FFFFFF" w:val="clear"/>
        </w:rPr>
        <w:t>the Comp</w:t>
      </w:r>
      <w:r>
        <w:rPr>
          <w:rFonts w:ascii="Times New Roman;Times;serif" w:hAnsi="Times New Roman;Times;serif"/>
          <w:sz w:val="20"/>
        </w:rPr>
        <w:t xml:space="preserve">any completed a quantitative assessment of our annual goodwill impairment test for our four existing reporting units. We concluded that the fair value of the Company's Power Solutions and Protection (excluding Enercon and CUI), Connectivity Solutions, Enercon and CUI reporting units exceeded the carrying value and that there was </w:t>
      </w:r>
      <w:r>
        <w:rPr>
          <w:rStyle w:val="Emphasis"/>
          <w:rFonts w:ascii="Times New Roman;Times;serif" w:hAnsi="Times New Roman;Times;serif"/>
          <w:sz w:val="20"/>
        </w:rPr>
        <w:t>no</w:t>
      </w:r>
      <w:r>
        <w:rPr>
          <w:rFonts w:ascii="Times New Roman;Times;serif" w:hAnsi="Times New Roman;Times;serif"/>
          <w:sz w:val="20"/>
        </w:rPr>
        <w:t xml:space="preserve"> indication of impairment.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excess of estimated fair values over carrying value, including goodwill for each of our reporting units that had goodwill as of the </w:t>
      </w:r>
      <w:r>
        <w:rPr>
          <w:rStyle w:val="Emphasis"/>
          <w:rFonts w:ascii="Times New Roman;Times;serif" w:hAnsi="Times New Roman;Times;serif"/>
          <w:sz w:val="20"/>
        </w:rPr>
        <w:t>2025</w:t>
      </w:r>
      <w:r>
        <w:rPr>
          <w:rFonts w:ascii="Times New Roman;Times;serif" w:hAnsi="Times New Roman;Times;serif"/>
          <w:sz w:val="20"/>
        </w:rPr>
        <w:t xml:space="preserve"> annual impairment test were as follows:</w:t>
      </w:r>
    </w:p>
    <w:p>
      <w:pPr>
        <w:pStyle w:val="TextBody"/>
        <w:bidi w:val="0"/>
        <w:spacing w:before="0" w:after="0"/>
        <w:ind w:left="0" w:right="0" w:hanging="0"/>
        <w:jc w:val="left"/>
        <w:rPr/>
      </w:pPr>
      <w:r>
        <w:rPr/>
        <w:t> </w:t>
      </w:r>
    </w:p>
    <w:tbl>
      <w:tblPr>
        <w:tblW w:w="8860" w:type="dxa"/>
        <w:jc w:val="left"/>
        <w:tblInd w:w="0" w:type="dxa"/>
        <w:tblLayout w:type="fixed"/>
        <w:tblCellMar>
          <w:top w:w="0" w:type="dxa"/>
          <w:left w:w="0" w:type="dxa"/>
          <w:bottom w:w="28" w:type="dxa"/>
          <w:right w:w="0" w:type="dxa"/>
        </w:tblCellMar>
      </w:tblPr>
      <w:tblGrid>
        <w:gridCol w:w="3935"/>
        <w:gridCol w:w="60"/>
        <w:gridCol w:w="4805"/>
        <w:gridCol w:w="60"/>
      </w:tblGrid>
      <w:tr>
        <w:trPr/>
        <w:tc>
          <w:tcPr>
            <w:tcW w:w="393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Reporting Unit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805" w:type="dxa"/>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 by Which Estimated Fair Value Exceeds Carrying Value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9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Power Solutions and Protection (excluding CUI)</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48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39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Connectivity Solutions</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48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391%</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39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CUI</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480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tc>
        <w:tc>
          <w:tcPr>
            <w:tcW w:w="60" w:type="dxa"/>
            <w:tcBorders/>
            <w:shd w:fill="CCEEFF" w:val="clear"/>
            <w:tcMar>
              <w:bottom w:w="0" w:type="dxa"/>
            </w:tcMar>
            <w:vAlign w:val="center"/>
          </w:tcPr>
          <w:p>
            <w:pPr>
              <w:pStyle w:val="TableContents"/>
              <w:bidi w:val="0"/>
              <w:spacing w:before="0" w:after="0"/>
              <w:jc w:val="left"/>
              <w:rPr/>
            </w:pPr>
            <w:r>
              <w:rPr/>
              <w:t> </w:t>
            </w:r>
          </w:p>
        </w:tc>
      </w:tr>
      <w:tr>
        <w:trPr/>
        <w:tc>
          <w:tcPr>
            <w:tcW w:w="393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Enercon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0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283"/>
        <w:jc w:val="left"/>
        <w:rPr/>
      </w:pPr>
      <w:r>
        <w:rPr>
          <w:rStyle w:val="Emphasis"/>
          <w:rFonts w:ascii="Times New Roman;Times;serif" w:hAnsi="Times New Roman;Times;serif"/>
          <w:sz w:val="20"/>
          <w:u w:val="single"/>
        </w:rPr>
        <w:t>2024</w:t>
      </w:r>
      <w:r>
        <w:rPr>
          <w:rFonts w:ascii="Times New Roman;Times;serif" w:hAnsi="Times New Roman;Times;serif"/>
          <w:sz w:val="20"/>
          <w:u w:val="single"/>
        </w:rPr>
        <w:t> Annual Impairment Test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jc w:val="both"/>
        <w:rPr/>
      </w:pPr>
      <w:r>
        <w:rPr>
          <w:rFonts w:ascii="Times New Roman;Times;serif" w:hAnsi="Times New Roman;Times;serif"/>
          <w:sz w:val="20"/>
          <w:shd w:fill="FFFFFF" w:val="clear"/>
        </w:rPr>
        <w:t xml:space="preserve">On </w:t>
      </w:r>
      <w:r>
        <w:rPr>
          <w:rStyle w:val="Emphasis"/>
          <w:rFonts w:ascii="Times New Roman;Times;serif" w:hAnsi="Times New Roman;Times;serif"/>
          <w:sz w:val="20"/>
          <w:shd w:fill="FFFFFF" w:val="clear"/>
        </w:rPr>
        <w:t xml:space="preserve">October 1, 2024, </w:t>
      </w:r>
      <w:r>
        <w:rPr>
          <w:rFonts w:ascii="Times New Roman;Times;serif" w:hAnsi="Times New Roman;Times;serif"/>
          <w:sz w:val="20"/>
          <w:shd w:fill="FFFFFF" w:val="clear"/>
        </w:rPr>
        <w:t>the Comp</w:t>
      </w:r>
      <w:r>
        <w:rPr>
          <w:rFonts w:ascii="Times New Roman;Times;serif" w:hAnsi="Times New Roman;Times;serif"/>
          <w:sz w:val="20"/>
        </w:rPr>
        <w:t xml:space="preserve">any completed a quantitative assessment of our annual goodwill impairment test for our Power Solutions and Protection (excluding CUI), Connectivity Solutions, and CUI reporting units.  </w:t>
      </w:r>
      <w:r>
        <w:rPr>
          <w:rFonts w:ascii="Times New Roman;Times;serif" w:hAnsi="Times New Roman;Times;serif"/>
          <w:sz w:val="20"/>
          <w:shd w:fill="FFFFFF" w:val="clear"/>
        </w:rPr>
        <w:t xml:space="preserve">The Company performed a qualitative analysis (Step </w:t>
      </w:r>
      <w:r>
        <w:rPr>
          <w:rStyle w:val="Emphasis"/>
          <w:rFonts w:ascii="Times New Roman;Times;serif" w:hAnsi="Times New Roman;Times;serif"/>
          <w:sz w:val="20"/>
          <w:shd w:fill="FFFFFF" w:val="clear"/>
        </w:rPr>
        <w:t>0</w:t>
      </w:r>
      <w:r>
        <w:rPr>
          <w:rFonts w:ascii="Times New Roman;Times;serif" w:hAnsi="Times New Roman;Times;serif"/>
          <w:sz w:val="20"/>
          <w:shd w:fill="FFFFFF" w:val="clear"/>
        </w:rPr>
        <w:t xml:space="preserve">) on the reporting units as of the </w:t>
      </w:r>
      <w:r>
        <w:rPr>
          <w:rStyle w:val="Emphasis"/>
          <w:rFonts w:ascii="Times New Roman;Times;serif" w:hAnsi="Times New Roman;Times;serif"/>
          <w:sz w:val="20"/>
          <w:shd w:fill="FFFFFF" w:val="clear"/>
        </w:rPr>
        <w:t xml:space="preserve">October 1, 2024 </w:t>
      </w:r>
      <w:r>
        <w:rPr>
          <w:rFonts w:ascii="Times New Roman;Times;serif" w:hAnsi="Times New Roman;Times;serif"/>
          <w:sz w:val="20"/>
          <w:shd w:fill="FFFFFF" w:val="clear"/>
        </w:rPr>
        <w:t xml:space="preserve">testing date and </w:t>
      </w:r>
      <w:r>
        <w:rPr>
          <w:rFonts w:ascii="Times New Roman;Times;serif" w:hAnsi="Times New Roman;Times;serif"/>
          <w:sz w:val="20"/>
        </w:rPr>
        <w:t xml:space="preserve">concluded that the fair value these reporting units exceeded the carrying value and that there was </w:t>
      </w:r>
      <w:r>
        <w:rPr>
          <w:rStyle w:val="Emphasis"/>
          <w:rFonts w:ascii="Times New Roman;Times;serif" w:hAnsi="Times New Roman;Times;serif"/>
          <w:sz w:val="20"/>
        </w:rPr>
        <w:t>no</w:t>
      </w:r>
      <w:r>
        <w:rPr>
          <w:rFonts w:ascii="Times New Roman;Times;serif" w:hAnsi="Times New Roman;Times;serif"/>
          <w:sz w:val="20"/>
        </w:rPr>
        <w:t xml:space="preserve"> indication of impairment. </w:t>
      </w:r>
    </w:p>
    <w:p>
      <w:pPr>
        <w:pStyle w:val="TextBody"/>
        <w:bidi w:val="0"/>
        <w:spacing w:before="0" w:after="0"/>
        <w:jc w:val="both"/>
        <w:rPr/>
      </w:pPr>
      <w:r>
        <w:rPr/>
        <w:t xml:space="preserve">  </w:t>
      </w:r>
    </w:p>
    <w:p>
      <w:pPr>
        <w:pStyle w:val="TextBody"/>
        <w:bidi w:val="0"/>
        <w:jc w:val="both"/>
        <w:rPr/>
      </w:pPr>
      <w:r>
        <w:rPr>
          <w:rFonts w:ascii="Times New Roman;Times;serif" w:hAnsi="Times New Roman;Times;serif"/>
          <w:sz w:val="20"/>
        </w:rPr>
        <w:t xml:space="preserve">As noted above, the fair value determined in connection with the goodwill impairment test completed in the </w:t>
      </w:r>
      <w:r>
        <w:rPr>
          <w:rStyle w:val="Emphasis"/>
          <w:rFonts w:ascii="Times New Roman;Times;serif" w:hAnsi="Times New Roman;Times;serif"/>
          <w:sz w:val="20"/>
        </w:rPr>
        <w:t>fourth</w:t>
      </w:r>
      <w:r>
        <w:rPr>
          <w:rFonts w:ascii="Times New Roman;Times;serif" w:hAnsi="Times New Roman;Times;serif"/>
          <w:sz w:val="20"/>
        </w:rPr>
        <w:t xml:space="preserve"> quarter of </w:t>
      </w:r>
      <w:r>
        <w:rPr>
          <w:rStyle w:val="Emphasis"/>
          <w:rFonts w:ascii="Times New Roman;Times;serif" w:hAnsi="Times New Roman;Times;serif"/>
          <w:sz w:val="20"/>
        </w:rPr>
        <w:t>2025</w:t>
      </w:r>
      <w:r>
        <w:rPr>
          <w:rFonts w:ascii="Times New Roman;Times;serif" w:hAnsi="Times New Roman;Times;serif"/>
          <w:sz w:val="20"/>
        </w:rPr>
        <w:t xml:space="preserve"> exceeded the carrying value for each reporting unit. Therefore, there was no impairment of goodwill. However, i </w:t>
      </w:r>
      <w:r>
        <w:rPr>
          <w:rFonts w:ascii="Times New Roman;Times;serif" w:hAnsi="Times New Roman;Times;serif"/>
          <w:sz w:val="20"/>
          <w:shd w:fill="FFFFFF" w:val="clear"/>
        </w:rPr>
        <w:t xml:space="preserve">f the fair value decreases in future periods, the Company </w:t>
      </w:r>
      <w:r>
        <w:rPr>
          <w:rStyle w:val="Emphasis"/>
          <w:rFonts w:ascii="Times New Roman;Times;serif" w:hAnsi="Times New Roman;Times;serif"/>
          <w:sz w:val="20"/>
          <w:shd w:fill="FFFFFF" w:val="clear"/>
        </w:rPr>
        <w:t xml:space="preserve">may </w:t>
      </w:r>
      <w:r>
        <w:rPr>
          <w:rFonts w:ascii="Times New Roman;Times;serif" w:hAnsi="Times New Roman;Times;serif"/>
          <w:sz w:val="20"/>
          <w:shd w:fill="FFFFFF" w:val="clear"/>
        </w:rPr>
        <w:t>need to complete an interim goodwill impairment test and any potential goodwill impairment charge would be dependent upon the estimated fair value of the reporting unit at that time and the outcome of the impairm</w:t>
      </w:r>
      <w:r>
        <w:rPr>
          <w:rFonts w:ascii="Times New Roman;Times;serif" w:hAnsi="Times New Roman;Times;serif"/>
          <w:sz w:val="20"/>
        </w:rPr>
        <w:t xml:space="preserve"> ent test. The fair values of the assets and liabilities of the reporting unit, including the intangible assets, could vary depending on various factors.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The future occurrence of a potential indicator of impairment, such as a decrease in expected net earnings, adverse equity market conditions, a decline in current market multiples, a sustained decrease in the price of our common stock, a significant adverse change in legal factors or business climates, an adverse action or assessment by a regulator, unanticipated competition, strategic decisions made in response to economic or competitive conditions, or a more-likely-than-</w:t>
      </w:r>
      <w:r>
        <w:rPr>
          <w:rStyle w:val="Emphasis"/>
          <w:rFonts w:ascii="Times New Roman;Times;serif" w:hAnsi="Times New Roman;Times;serif"/>
          <w:sz w:val="20"/>
        </w:rPr>
        <w:t>not</w:t>
      </w:r>
      <w:r>
        <w:rPr>
          <w:rFonts w:ascii="Times New Roman;Times;serif" w:hAnsi="Times New Roman;Times;serif"/>
          <w:sz w:val="20"/>
        </w:rPr>
        <w:t xml:space="preserve"> expectation that a reporting unit or a significant portion of a reporting unit will be sold or disposed of, could require an interim assessment for some or all of the reporting units before the next required annual assessment. In the event of significant adverse changes of the nature described above, it </w:t>
      </w:r>
      <w:r>
        <w:rPr>
          <w:rStyle w:val="Emphasis"/>
          <w:rFonts w:ascii="Times New Roman;Times;serif" w:hAnsi="Times New Roman;Times;serif"/>
          <w:sz w:val="20"/>
        </w:rPr>
        <w:t xml:space="preserve">may </w:t>
      </w:r>
      <w:r>
        <w:rPr>
          <w:rFonts w:ascii="Times New Roman;Times;serif" w:hAnsi="Times New Roman;Times;serif"/>
          <w:sz w:val="20"/>
        </w:rPr>
        <w:t>be necessary for us to recognize an additional non-cash impairment of goodwill, which could have a material adverse effect on our consolidated financial condition and consolidated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Other Intangible Assets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identifiable intangible assets include patents, technology, license agreements, non-compete agreements and trademarks. Amounts assigned to these intangible assets have been determined by management. Management considered a number of factors in determining the allocations, including valuations and independent appraisals. Trademarks have indefinite lives and are reviewed for impairment on an annual basis, or when there is a triggering event. Other intangible assets, excluding trademarks, are being amortized over 1 to 17 years.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Company tests indefinite-lived intangible assets for impairment using a fair value approach, the relief-from-royalty method (a form of the income approach). </w:t>
      </w:r>
      <w:r>
        <w:rPr>
          <w:rFonts w:ascii="Times New Roman;Times;serif" w:hAnsi="Times New Roman;Times;serif"/>
          <w:sz w:val="20"/>
          <w:shd w:fill="FFFFFF" w:val="clear"/>
        </w:rPr>
        <w:t xml:space="preserve">At </w:t>
      </w:r>
      <w:r>
        <w:rPr>
          <w:rStyle w:val="Emphasis"/>
          <w:rFonts w:ascii="Times New Roman;Times;serif" w:hAnsi="Times New Roman;Times;serif"/>
          <w:sz w:val="20"/>
        </w:rPr>
        <w:t>December 31, 2025</w:t>
      </w:r>
      <w:r>
        <w:rPr>
          <w:rFonts w:ascii="Times New Roman;Times;serif" w:hAnsi="Times New Roman;Times;serif"/>
          <w:sz w:val="20"/>
          <w:shd w:fill="FFFFFF" w:val="clear"/>
        </w:rPr>
        <w:t>, the Company's indefinite-lived intangible assets related to the trademarks acquired in the Enercon, CUI, Power Solutions, Connectivity Solutions, Cinch and Fibreco acquisitions.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definite and indefinite-lived intangible assets are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07"/>
        <w:gridCol w:w="60"/>
        <w:gridCol w:w="192"/>
        <w:gridCol w:w="1071"/>
        <w:gridCol w:w="60"/>
        <w:gridCol w:w="60"/>
        <w:gridCol w:w="189"/>
        <w:gridCol w:w="896"/>
        <w:gridCol w:w="60"/>
        <w:gridCol w:w="60"/>
        <w:gridCol w:w="165"/>
        <w:gridCol w:w="924"/>
        <w:gridCol w:w="60"/>
        <w:gridCol w:w="60"/>
        <w:gridCol w:w="192"/>
        <w:gridCol w:w="1071"/>
        <w:gridCol w:w="60"/>
        <w:gridCol w:w="60"/>
        <w:gridCol w:w="189"/>
        <w:gridCol w:w="896"/>
        <w:gridCol w:w="60"/>
        <w:gridCol w:w="60"/>
        <w:gridCol w:w="165"/>
        <w:gridCol w:w="924"/>
        <w:gridCol w:w="64"/>
      </w:tblGrid>
      <w:tr>
        <w:trPr/>
        <w:tc>
          <w:tcPr>
            <w:tcW w:w="26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7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7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 2024</w:t>
            </w:r>
          </w:p>
        </w:tc>
        <w:tc>
          <w:tcPr>
            <w:tcW w:w="64" w:type="dxa"/>
            <w:tcBorders/>
            <w:shd w:fill="FFFFFF" w:val="clear"/>
            <w:vAlign w:val="center"/>
          </w:tcPr>
          <w:p>
            <w:pPr>
              <w:pStyle w:val="TableContents"/>
              <w:bidi w:val="0"/>
              <w:spacing w:before="0" w:after="283"/>
              <w:jc w:val="left"/>
              <w:rPr/>
            </w:pPr>
            <w:r>
              <w:rPr/>
              <w:t> </w:t>
            </w:r>
          </w:p>
        </w:tc>
      </w:tr>
      <w:tr>
        <w:trPr/>
        <w:tc>
          <w:tcPr>
            <w:tcW w:w="26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Gross 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Net 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Gross Carrying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Accumulated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Net Carrying</w:t>
            </w:r>
          </w:p>
        </w:tc>
        <w:tc>
          <w:tcPr>
            <w:tcW w:w="64" w:type="dxa"/>
            <w:tcBorders/>
            <w:shd w:fill="FFFFFF" w:val="clear"/>
            <w:vAlign w:val="center"/>
          </w:tcPr>
          <w:p>
            <w:pPr>
              <w:pStyle w:val="TableContents"/>
              <w:bidi w:val="0"/>
              <w:spacing w:before="0" w:after="283"/>
              <w:jc w:val="left"/>
              <w:rPr/>
            </w:pPr>
            <w:r>
              <w:rPr/>
              <w:t> </w:t>
            </w:r>
          </w:p>
        </w:tc>
      </w:tr>
      <w:tr>
        <w:trPr/>
        <w:tc>
          <w:tcPr>
            <w:tcW w:w="26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Amount</w:t>
            </w:r>
          </w:p>
        </w:tc>
        <w:tc>
          <w:tcPr>
            <w:tcW w:w="64" w:type="dxa"/>
            <w:tcBorders/>
            <w:shd w:fill="FFFFFF" w:val="clear"/>
            <w:vAlign w:val="center"/>
          </w:tcPr>
          <w:p>
            <w:pPr>
              <w:pStyle w:val="TableContents"/>
              <w:bidi w:val="0"/>
              <w:spacing w:before="0" w:after="283"/>
              <w:jc w:val="left"/>
              <w:rPr/>
            </w:pPr>
            <w:r>
              <w:rPr/>
              <w:t> </w:t>
            </w:r>
          </w:p>
        </w:tc>
      </w:tr>
      <w:tr>
        <w:trPr/>
        <w:tc>
          <w:tcPr>
            <w:tcW w:w="2607"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Patents, licenses and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44,039</w:t>
            </w:r>
          </w:p>
        </w:tc>
        <w:tc>
          <w:tcPr>
            <w:tcW w:w="64" w:type="dxa"/>
            <w:tcBorders/>
            <w:shd w:fill="CCEEFF" w:val="clear"/>
            <w:vAlign w:val="center"/>
          </w:tcPr>
          <w:p>
            <w:pPr>
              <w:pStyle w:val="TableContents"/>
              <w:bidi w:val="0"/>
              <w:spacing w:before="0" w:after="283"/>
              <w:jc w:val="left"/>
              <w:rPr/>
            </w:pPr>
            <w:r>
              <w:rPr/>
              <w:t> </w:t>
            </w:r>
          </w:p>
        </w:tc>
      </w:tr>
      <w:tr>
        <w:trPr/>
        <w:tc>
          <w:tcPr>
            <w:tcW w:w="260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149,730</w:t>
            </w:r>
          </w:p>
        </w:tc>
        <w:tc>
          <w:tcPr>
            <w:tcW w:w="64" w:type="dxa"/>
            <w:tcBorders/>
            <w:shd w:fill="FFFFFF" w:val="clear"/>
            <w:vAlign w:val="center"/>
          </w:tcPr>
          <w:p>
            <w:pPr>
              <w:pStyle w:val="TableContents"/>
              <w:bidi w:val="0"/>
              <w:spacing w:before="0" w:after="283"/>
              <w:jc w:val="left"/>
              <w:rPr/>
            </w:pPr>
            <w:r>
              <w:rPr/>
              <w:t> </w:t>
            </w:r>
          </w:p>
        </w:tc>
      </w:tr>
      <w:tr>
        <w:trPr/>
        <w:tc>
          <w:tcPr>
            <w:tcW w:w="26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38,179</w:t>
            </w:r>
          </w:p>
        </w:tc>
        <w:tc>
          <w:tcPr>
            <w:tcW w:w="64" w:type="dxa"/>
            <w:tcBorders/>
            <w:shd w:fill="CCEEFF" w:val="clear"/>
            <w:vAlign w:val="center"/>
          </w:tcPr>
          <w:p>
            <w:pPr>
              <w:pStyle w:val="TableContents"/>
              <w:bidi w:val="0"/>
              <w:spacing w:before="0" w:after="283"/>
              <w:jc w:val="left"/>
              <w:rPr/>
            </w:pPr>
            <w:r>
              <w:rPr/>
              <w:t> </w:t>
            </w:r>
          </w:p>
        </w:tc>
      </w:tr>
      <w:tr>
        <w:trPr/>
        <w:tc>
          <w:tcPr>
            <w:tcW w:w="26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26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231,948</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shd w:fill="FFFFFF" w:val="clear"/>
        </w:rPr>
        <w:t>The</w:t>
      </w:r>
      <w:r>
        <w:rPr>
          <w:rFonts w:ascii="Times New Roman;Times;serif" w:hAnsi="Times New Roman;Times;serif"/>
          <w:sz w:val="20"/>
        </w:rPr>
        <w:t xml:space="preserve"> increases in gross</w:t>
      </w:r>
      <w:r>
        <w:rPr>
          <w:rFonts w:ascii="Times New Roman;Times;serif" w:hAnsi="Times New Roman;Times;serif"/>
          <w:sz w:val="20"/>
          <w:shd w:fill="FFFFFF" w:val="clear"/>
        </w:rPr>
        <w:t xml:space="preserve"> carrying amounts noted above as of </w:t>
      </w:r>
      <w:r>
        <w:rPr>
          <w:rStyle w:val="Emphasis"/>
          <w:rFonts w:ascii="Times New Roman;Times;serif" w:hAnsi="Times New Roman;Times;serif"/>
          <w:sz w:val="20"/>
          <w:shd w:fill="FFFFFF" w:val="clear"/>
        </w:rPr>
        <w:t xml:space="preserve">December 31, 2025 </w:t>
      </w:r>
      <w:r>
        <w:rPr>
          <w:rFonts w:ascii="Times New Roman;Times;serif" w:hAnsi="Times New Roman;Times;serif"/>
          <w:sz w:val="20"/>
          <w:shd w:fill="FFFFFF" w:val="clear"/>
        </w:rPr>
        <w:t xml:space="preserve">related intangibles acquired in connection with the Enercon transaction, as further detailed in Note </w:t>
      </w:r>
      <w:r>
        <w:rPr>
          <w:rStyle w:val="Emphasis"/>
          <w:rFonts w:ascii="Times New Roman;Times;serif" w:hAnsi="Times New Roman;Times;serif"/>
          <w:sz w:val="20"/>
          <w:shd w:fill="FFFFFF" w:val="clear"/>
        </w:rPr>
        <w:t>3,</w:t>
      </w:r>
      <w:r>
        <w:rPr>
          <w:rFonts w:ascii="Times New Roman;Times;serif" w:hAnsi="Times New Roman;Times;serif"/>
          <w:sz w:val="20"/>
          <w:shd w:fill="FFFFFF" w:val="clear"/>
        </w:rPr>
        <w:t xml:space="preserve"> "</w:t>
      </w:r>
      <w:r>
        <w:rPr>
          <w:rFonts w:ascii="Times New Roman;Times;serif" w:hAnsi="Times New Roman;Times;serif"/>
          <w:i/>
          <w:sz w:val="20"/>
          <w:shd w:fill="FFFFFF" w:val="clear"/>
        </w:rPr>
        <w:t>Acquisition</w:t>
      </w:r>
      <w:r>
        <w:rPr>
          <w:rFonts w:ascii="Times New Roman;Times;serif" w:hAnsi="Times New Roman;Times;serif"/>
          <w:sz w:val="20"/>
          <w:shd w:fill="FFFFFF" w:val="clear"/>
        </w:rPr>
        <w:t>". </w:t>
      </w:r>
      <w:r>
        <w:rPr>
          <w:rFonts w:ascii="Times New Roman;Times;serif" w:hAnsi="Times New Roman;Times;serif"/>
          <w:sz w:val="20"/>
        </w:rPr>
        <w:t>Amortization expense was $14.8 million, $6.5 million and $4.7 million during each of </w:t>
      </w:r>
      <w:r>
        <w:rPr>
          <w:rStyle w:val="Emphasis"/>
          <w:rFonts w:ascii="Times New Roman;Times;serif" w:hAnsi="Times New Roman;Times;serif"/>
          <w:sz w:val="20"/>
        </w:rPr>
        <w:t>2025</w:t>
      </w:r>
      <w:r>
        <w:rPr>
          <w:rFonts w:ascii="Times New Roman;Times;serif" w:hAnsi="Times New Roman;Times;serif"/>
          <w:sz w:val="20"/>
        </w:rPr>
        <w:t>,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Estimated amortization expense for intangible assets for the next </w:t>
      </w:r>
      <w:r>
        <w:rPr>
          <w:rStyle w:val="Emphasis"/>
          <w:rFonts w:ascii="Times New Roman;Times;serif" w:hAnsi="Times New Roman;Times;serif"/>
          <w:sz w:val="20"/>
        </w:rPr>
        <w:t>five</w:t>
      </w:r>
      <w:r>
        <w:rPr>
          <w:rFonts w:ascii="Times New Roman;Times;serif" w:hAnsi="Times New Roman;Times;serif"/>
          <w:sz w:val="20"/>
        </w:rPr>
        <w:t xml:space="preserve"> years is as follows: </w:t>
      </w:r>
    </w:p>
    <w:p>
      <w:pPr>
        <w:pStyle w:val="TextBody"/>
        <w:bidi w:val="0"/>
        <w:spacing w:before="0" w:after="0"/>
        <w:ind w:left="0" w:right="0" w:hanging="0"/>
        <w:jc w:val="left"/>
        <w:rPr/>
      </w:pPr>
      <w:r>
        <w:rPr/>
        <w:t> </w:t>
      </w:r>
    </w:p>
    <w:tbl>
      <w:tblPr>
        <w:tblW w:w="3054" w:type="dxa"/>
        <w:jc w:val="left"/>
        <w:tblInd w:w="0" w:type="dxa"/>
        <w:tblLayout w:type="fixed"/>
        <w:tblCellMar>
          <w:top w:w="0" w:type="dxa"/>
          <w:left w:w="0" w:type="dxa"/>
          <w:bottom w:w="28" w:type="dxa"/>
          <w:right w:w="0" w:type="dxa"/>
        </w:tblCellMar>
      </w:tblPr>
      <w:tblGrid>
        <w:gridCol w:w="1130"/>
        <w:gridCol w:w="60"/>
        <w:gridCol w:w="314"/>
        <w:gridCol w:w="1490"/>
        <w:gridCol w:w="60"/>
      </w:tblGrid>
      <w:tr>
        <w:trPr/>
        <w:tc>
          <w:tcPr>
            <w:tcW w:w="113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0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Amortization Expense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14,781</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 w:type="dxa"/>
            <w:tcBorders/>
            <w:shd w:fill="FFFFFF" w:val="clear"/>
            <w:tcMar>
              <w:bottom w:w="0" w:type="dxa"/>
            </w:tcMar>
            <w:vAlign w:val="center"/>
          </w:tcPr>
          <w:p>
            <w:pPr>
              <w:pStyle w:val="TableContents"/>
              <w:bidi w:val="0"/>
              <w:spacing w:before="0" w:after="283"/>
              <w:ind w:left="0" w:right="0" w:hanging="0"/>
              <w:jc w:val="left"/>
              <w:rPr/>
            </w:pPr>
            <w:r>
              <w:rPr/>
              <w:t> </w:t>
            </w:r>
          </w:p>
        </w:tc>
        <w:tc>
          <w:tcPr>
            <w:tcW w:w="14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4" w:type="dxa"/>
            <w:tcBorders/>
            <w:shd w:fill="CCEEFF" w:val="clear"/>
            <w:tcMar>
              <w:bottom w:w="0" w:type="dxa"/>
            </w:tcMar>
            <w:vAlign w:val="center"/>
          </w:tcPr>
          <w:p>
            <w:pPr>
              <w:pStyle w:val="TableContents"/>
              <w:bidi w:val="0"/>
              <w:spacing w:before="0" w:after="283"/>
              <w:ind w:left="0" w:right="0" w:hanging="0"/>
              <w:jc w:val="left"/>
              <w:rPr/>
            </w:pPr>
            <w:r>
              <w:rPr/>
              <w:t> </w:t>
            </w:r>
          </w:p>
        </w:tc>
        <w:tc>
          <w:tcPr>
            <w:tcW w:w="14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1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4" w:type="dxa"/>
            <w:tcBorders/>
            <w:shd w:fill="FFFFFF" w:val="clear"/>
            <w:tcMar>
              <w:bottom w:w="0" w:type="dxa"/>
            </w:tcMar>
            <w:vAlign w:val="center"/>
          </w:tcPr>
          <w:p>
            <w:pPr>
              <w:pStyle w:val="TableContents"/>
              <w:bidi w:val="0"/>
              <w:spacing w:before="0" w:after="283"/>
              <w:ind w:left="0" w:right="0" w:hanging="0"/>
              <w:jc w:val="left"/>
              <w:rPr/>
            </w:pPr>
            <w:r>
              <w:rPr/>
              <w:t> </w:t>
            </w:r>
          </w:p>
        </w:tc>
        <w:tc>
          <w:tcPr>
            <w:tcW w:w="14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4" w:type="dxa"/>
            <w:tcBorders/>
            <w:shd w:fill="CCEEFF" w:val="clear"/>
            <w:tcMar>
              <w:bottom w:w="0" w:type="dxa"/>
            </w:tcMar>
            <w:vAlign w:val="center"/>
          </w:tcPr>
          <w:p>
            <w:pPr>
              <w:pStyle w:val="TableContents"/>
              <w:bidi w:val="0"/>
              <w:spacing w:before="0" w:after="283"/>
              <w:ind w:left="0" w:right="0" w:hanging="0"/>
              <w:jc w:val="left"/>
              <w:rPr/>
            </w:pPr>
            <w:r>
              <w:rPr/>
              <w:t> </w:t>
            </w:r>
          </w:p>
        </w:tc>
        <w:tc>
          <w:tcPr>
            <w:tcW w:w="14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12,259</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Emphasis"/>
          <w:rFonts w:ascii="Times New Roman;Times;serif" w:hAnsi="Times New Roman;Times;serif"/>
          <w:sz w:val="20"/>
          <w:u w:val="single"/>
        </w:rPr>
        <w:t>2025</w:t>
      </w:r>
      <w:r>
        <w:rPr>
          <w:rFonts w:ascii="Times New Roman;Times;serif" w:hAnsi="Times New Roman;Times;serif"/>
          <w:sz w:val="20"/>
          <w:u w:val="single"/>
        </w:rPr>
        <w:t xml:space="preserve"> and </w:t>
      </w:r>
      <w:r>
        <w:rPr>
          <w:rStyle w:val="Emphasis"/>
          <w:rFonts w:ascii="Times New Roman;Times;serif" w:hAnsi="Times New Roman;Times;serif"/>
          <w:sz w:val="20"/>
          <w:u w:val="single"/>
        </w:rPr>
        <w:t>2024</w:t>
      </w:r>
      <w:r>
        <w:rPr>
          <w:rFonts w:ascii="Times New Roman;Times;serif" w:hAnsi="Times New Roman;Times;serif"/>
          <w:sz w:val="20"/>
          <w:u w:val="single"/>
        </w:rPr>
        <w:t> Impairment Tests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The Company completed its annual indefinite-lived intangible assets impairment test as of </w:t>
      </w:r>
      <w:r>
        <w:rPr>
          <w:rStyle w:val="Emphasis"/>
          <w:rFonts w:ascii="Times New Roman;Times;serif" w:hAnsi="Times New Roman;Times;serif"/>
          <w:sz w:val="20"/>
          <w:shd w:fill="FFFFFF" w:val="clear"/>
        </w:rPr>
        <w:t>October 1, 2025 </w:t>
      </w:r>
      <w:r>
        <w:rPr>
          <w:rFonts w:ascii="Times New Roman;Times;serif" w:hAnsi="Times New Roman;Times;serif"/>
          <w:sz w:val="20"/>
          <w:shd w:fill="FFFFFF" w:val="clear"/>
        </w:rPr>
        <w:t xml:space="preserve">and </w:t>
      </w:r>
      <w:r>
        <w:rPr>
          <w:rStyle w:val="Emphasis"/>
          <w:rFonts w:ascii="Times New Roman;Times;serif" w:hAnsi="Times New Roman;Times;serif"/>
          <w:sz w:val="20"/>
          <w:shd w:fill="FFFFFF" w:val="clear"/>
        </w:rPr>
        <w:t xml:space="preserve">October 1, 2024. </w:t>
      </w:r>
      <w:r>
        <w:rPr>
          <w:rFonts w:ascii="Times New Roman;Times;serif" w:hAnsi="Times New Roman;Times;serif"/>
          <w:sz w:val="20"/>
          <w:shd w:fill="FFFFFF" w:val="clear"/>
        </w:rPr>
        <w:t xml:space="preserve">At the </w:t>
      </w:r>
      <w:r>
        <w:rPr>
          <w:rStyle w:val="Emphasis"/>
          <w:rFonts w:ascii="Times New Roman;Times;serif" w:hAnsi="Times New Roman;Times;serif"/>
          <w:sz w:val="20"/>
          <w:shd w:fill="FFFFFF" w:val="clear"/>
        </w:rPr>
        <w:t xml:space="preserve">October 1, 2025 </w:t>
      </w:r>
      <w:r>
        <w:rPr>
          <w:rFonts w:ascii="Times New Roman;Times;serif" w:hAnsi="Times New Roman;Times;serif"/>
          <w:sz w:val="20"/>
          <w:shd w:fill="FFFFFF" w:val="clear"/>
        </w:rPr>
        <w:t>testing date, it was concluded tha</w:t>
      </w:r>
      <w:r>
        <w:rPr>
          <w:rFonts w:ascii="Times New Roman;Times;serif" w:hAnsi="Times New Roman;Times;serif"/>
          <w:sz w:val="20"/>
        </w:rPr>
        <w:t>t </w:t>
      </w:r>
      <w:r>
        <w:rPr>
          <w:rStyle w:val="Emphasis"/>
          <w:rFonts w:ascii="Times New Roman;Times;serif" w:hAnsi="Times New Roman;Times;serif"/>
          <w:sz w:val="20"/>
        </w:rPr>
        <w:t>no</w:t>
      </w:r>
      <w:r>
        <w:rPr>
          <w:rFonts w:ascii="Times New Roman;Times;serif" w:hAnsi="Times New Roman;Times;serif"/>
          <w:sz w:val="20"/>
        </w:rPr>
        <w:t xml:space="preserve"> indication of impairment was evident at the </w:t>
      </w:r>
      <w:r>
        <w:rPr>
          <w:rStyle w:val="Emphasis"/>
          <w:rFonts w:ascii="Times New Roman;Times;serif" w:hAnsi="Times New Roman;Times;serif"/>
          <w:sz w:val="20"/>
        </w:rPr>
        <w:t xml:space="preserve">October 1, 2025 </w:t>
      </w:r>
      <w:r>
        <w:rPr>
          <w:rFonts w:ascii="Times New Roman;Times;serif" w:hAnsi="Times New Roman;Times;serif"/>
          <w:sz w:val="20"/>
        </w:rPr>
        <w:t>test date for the Company's indefinite-lived intangible assets. At</w:t>
      </w:r>
      <w:r>
        <w:rPr>
          <w:rFonts w:ascii="Times New Roman;Times;serif" w:hAnsi="Times New Roman;Times;serif"/>
          <w:sz w:val="20"/>
          <w:shd w:fill="FFFFFF" w:val="clear"/>
        </w:rPr>
        <w:t xml:space="preserve"> the </w:t>
      </w:r>
      <w:r>
        <w:rPr>
          <w:rStyle w:val="Emphasis"/>
          <w:rFonts w:ascii="Times New Roman;Times;serif" w:hAnsi="Times New Roman;Times;serif"/>
          <w:sz w:val="20"/>
          <w:shd w:fill="FFFFFF" w:val="clear"/>
        </w:rPr>
        <w:t xml:space="preserve">October 1, 2024 </w:t>
      </w:r>
      <w:r>
        <w:rPr>
          <w:rFonts w:ascii="Times New Roman;Times;serif" w:hAnsi="Times New Roman;Times;serif"/>
          <w:sz w:val="20"/>
          <w:shd w:fill="FFFFFF" w:val="clear"/>
        </w:rPr>
        <w:t xml:space="preserve">testing date, it was concluded that an impairment existed related to the Company's CUI tradename given the trade restrictions with </w:t>
      </w:r>
      <w:r>
        <w:rPr>
          <w:rStyle w:val="Emphasis"/>
          <w:rFonts w:ascii="Times New Roman;Times;serif" w:hAnsi="Times New Roman;Times;serif"/>
          <w:sz w:val="20"/>
          <w:shd w:fill="FFFFFF" w:val="clear"/>
        </w:rPr>
        <w:t>one</w:t>
      </w:r>
      <w:r>
        <w:rPr>
          <w:rFonts w:ascii="Times New Roman;Times;serif" w:hAnsi="Times New Roman;Times;serif"/>
          <w:sz w:val="20"/>
          <w:shd w:fill="FFFFFF" w:val="clear"/>
        </w:rPr>
        <w:t xml:space="preserve"> of its large suppliers in the PRC. In connection with the trade restriction, and the resulting loss of sales to our customers, the Company recorded a $0.4 million impairment charge related to the CUI tradename within the Company's Power Solutions and Protection segment during the year ended </w:t>
      </w:r>
      <w:r>
        <w:rPr>
          <w:rStyle w:val="Emphasis"/>
          <w:rFonts w:ascii="Times New Roman;Times;serif" w:hAnsi="Times New Roman;Times;serif"/>
          <w:sz w:val="20"/>
          <w:shd w:fill="FFFFFF" w:val="clear"/>
        </w:rPr>
        <w:t xml:space="preserve">December 31, 2024. </w:t>
      </w:r>
      <w:r>
        <w:rPr>
          <w:rFonts w:ascii="Times New Roman;Times;serif" w:hAnsi="Times New Roman;Times;serif"/>
          <w:sz w:val="20"/>
          <w:shd w:fill="FFFFFF" w:val="clear"/>
        </w:rPr>
        <w:t xml:space="preserve">Management has concluded that the fair value of these trademarks exceeded the related carrying values at </w:t>
      </w:r>
      <w:r>
        <w:rPr>
          <w:rStyle w:val="Emphasis"/>
          <w:rFonts w:ascii="Times New Roman;Times;serif" w:hAnsi="Times New Roman;Times;serif"/>
          <w:sz w:val="20"/>
          <w:shd w:fill="FFFFFF" w:val="clear"/>
        </w:rPr>
        <w:t>December 31, 2025</w:t>
      </w:r>
      <w:r>
        <w:rPr>
          <w:rFonts w:ascii="Times New Roman;Times;serif" w:hAnsi="Times New Roman;Times;serif"/>
          <w:sz w:val="20"/>
          <w:shd w:fill="FFFFFF" w:val="clear"/>
        </w:rPr>
        <w:t> and </w:t>
      </w:r>
      <w:r>
        <w:rPr>
          <w:rStyle w:val="Emphasis"/>
          <w:rFonts w:ascii="Times New Roman;Times;serif" w:hAnsi="Times New Roman;Times;serif"/>
          <w:sz w:val="20"/>
        </w:rPr>
        <w:t xml:space="preserve"> December 31, 2024</w:t>
      </w:r>
      <w:r>
        <w:rPr>
          <w:rFonts w:ascii="Times New Roman;Times;serif" w:hAnsi="Times New Roman;Times;serif"/>
          <w:sz w:val="20"/>
          <w:shd w:fill="FFFFFF" w:val="clear"/>
        </w:rPr>
        <w:t xml:space="preserve">, with </w:t>
      </w:r>
      <w:r>
        <w:rPr>
          <w:rFonts w:ascii="Times New Roman;Times;serif" w:hAnsi="Times New Roman;Times;serif"/>
          <w:sz w:val="20"/>
        </w:rPr>
        <w:t>no indication of impairment at either date.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950" w:type="dxa"/>
        <w:jc w:val="left"/>
        <w:tblInd w:w="0" w:type="dxa"/>
        <w:tblLayout w:type="fixed"/>
        <w:tblCellMar>
          <w:top w:w="0" w:type="dxa"/>
          <w:left w:w="0" w:type="dxa"/>
          <w:bottom w:w="0" w:type="dxa"/>
          <w:right w:w="0" w:type="dxa"/>
        </w:tblCellMar>
      </w:tblPr>
      <w:tblGrid>
        <w:gridCol w:w="170"/>
        <w:gridCol w:w="278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rPr>
              <w:t>6.</w:t>
            </w:r>
          </w:p>
        </w:tc>
        <w:tc>
          <w:tcPr>
            <w:tcW w:w="27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FAIR VALUE MEASUREMENTS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tables show the Company's cash, cash equivalents and other marketable and held to maturity securities by significant investment category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w:t>
      </w:r>
    </w:p>
    <w:p>
      <w:pPr>
        <w:pStyle w:val="TextBody"/>
        <w:bidi w:val="0"/>
        <w:spacing w:before="0" w:after="0"/>
        <w:ind w:left="0" w:right="0" w:hanging="0"/>
        <w:jc w:val="both"/>
        <w:rPr/>
      </w:pPr>
      <w:r>
        <w:rPr/>
        <w:t> </w:t>
      </w:r>
    </w:p>
    <w:tbl>
      <w:tblPr>
        <w:tblW w:w="9846" w:type="dxa"/>
        <w:jc w:val="left"/>
        <w:tblInd w:w="0" w:type="dxa"/>
        <w:tblLayout w:type="fixed"/>
        <w:tblCellMar>
          <w:top w:w="0" w:type="dxa"/>
          <w:left w:w="0" w:type="dxa"/>
          <w:bottom w:w="0" w:type="dxa"/>
          <w:right w:w="0" w:type="dxa"/>
        </w:tblCellMar>
      </w:tblPr>
      <w:tblGrid>
        <w:gridCol w:w="3290"/>
        <w:gridCol w:w="60"/>
        <w:gridCol w:w="220"/>
        <w:gridCol w:w="1044"/>
        <w:gridCol w:w="60"/>
        <w:gridCol w:w="60"/>
        <w:gridCol w:w="152"/>
        <w:gridCol w:w="722"/>
        <w:gridCol w:w="60"/>
        <w:gridCol w:w="60"/>
        <w:gridCol w:w="384"/>
        <w:gridCol w:w="1825"/>
        <w:gridCol w:w="60"/>
        <w:gridCol w:w="60"/>
        <w:gridCol w:w="350"/>
        <w:gridCol w:w="1364"/>
        <w:gridCol w:w="75"/>
      </w:tblGrid>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2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2025</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 Current Assets</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ind w:left="0" w:right="0" w:hanging="0"/>
              <w:jc w:val="left"/>
              <w:rPr/>
            </w:pPr>
            <w:r>
              <w:rPr/>
              <w:t> </w:t>
            </w:r>
          </w:p>
        </w:tc>
        <w:tc>
          <w:tcPr>
            <w:tcW w:w="1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 (Rabbi Trust)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46" w:type="dxa"/>
        <w:jc w:val="left"/>
        <w:tblInd w:w="0" w:type="dxa"/>
        <w:tblLayout w:type="fixed"/>
        <w:tblCellMar>
          <w:top w:w="0" w:type="dxa"/>
          <w:left w:w="0" w:type="dxa"/>
          <w:bottom w:w="0" w:type="dxa"/>
          <w:right w:w="0" w:type="dxa"/>
        </w:tblCellMar>
      </w:tblPr>
      <w:tblGrid>
        <w:gridCol w:w="3290"/>
        <w:gridCol w:w="60"/>
        <w:gridCol w:w="220"/>
        <w:gridCol w:w="1044"/>
        <w:gridCol w:w="60"/>
        <w:gridCol w:w="60"/>
        <w:gridCol w:w="152"/>
        <w:gridCol w:w="722"/>
        <w:gridCol w:w="60"/>
        <w:gridCol w:w="60"/>
        <w:gridCol w:w="384"/>
        <w:gridCol w:w="1825"/>
        <w:gridCol w:w="60"/>
        <w:gridCol w:w="60"/>
        <w:gridCol w:w="350"/>
        <w:gridCol w:w="1364"/>
        <w:gridCol w:w="75"/>
      </w:tblGrid>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21"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2024</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 Current Assets</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0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ind w:left="0" w:right="0" w:hanging="0"/>
              <w:jc w:val="left"/>
              <w:rPr/>
            </w:pPr>
            <w:r>
              <w:rPr/>
              <w:t> </w:t>
            </w:r>
          </w:p>
        </w:tc>
        <w:tc>
          <w:tcPr>
            <w:tcW w:w="1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 (Rabbi Trust)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7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w:t>
            </w:r>
          </w:p>
        </w:tc>
        <w:tc>
          <w:tcPr>
            <w:tcW w:w="75"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our available-for-sale securities primarily consisted of investments held in a rabbi trust which are intended to fund the Company’s Supplemental Executive Retirement Plan (“SERP”) obligations. These securities are measured at fair value using quoted prices in active markets for identical assets (Level </w:t>
      </w:r>
      <w:r>
        <w:rPr>
          <w:rStyle w:val="Emphasis"/>
          <w:rFonts w:ascii="Times New Roman;Times;serif" w:hAnsi="Times New Roman;Times;serif"/>
          <w:sz w:val="20"/>
        </w:rPr>
        <w:t>1</w:t>
      </w:r>
      <w:r>
        <w:rPr>
          <w:rFonts w:ascii="Times New Roman;Times;serif" w:hAnsi="Times New Roman;Times;serif"/>
          <w:sz w:val="20"/>
        </w:rPr>
        <w:t xml:space="preserve">) inputs and amounted to $0.6 million at </w:t>
      </w:r>
      <w:r>
        <w:rPr>
          <w:rStyle w:val="Emphasis"/>
          <w:rFonts w:ascii="Times New Roman;Times;serif" w:hAnsi="Times New Roman;Times;serif"/>
          <w:sz w:val="20"/>
        </w:rPr>
        <w:t>December 31, 2025</w:t>
      </w:r>
      <w:r>
        <w:rPr>
          <w:rFonts w:ascii="Times New Roman;Times;serif" w:hAnsi="Times New Roman;Times;serif"/>
          <w:sz w:val="20"/>
        </w:rPr>
        <w:t xml:space="preserve"> and $0.6 million at </w:t>
      </w:r>
      <w:r>
        <w:rPr>
          <w:rStyle w:val="Emphasis"/>
          <w:rFonts w:ascii="Times New Roman;Times;serif" w:hAnsi="Times New Roman;Times;serif"/>
          <w:sz w:val="20"/>
        </w:rPr>
        <w:t>December 31, 2024</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Throughout </w:t>
      </w:r>
      <w:r>
        <w:rPr>
          <w:rStyle w:val="Emphasis"/>
          <w:rFonts w:ascii="Times New Roman;Times;serif" w:hAnsi="Times New Roman;Times;serif"/>
          <w:sz w:val="20"/>
        </w:rPr>
        <w:t>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the Company entered into a series of foreign currency forward contracts, the fair value of which was $1.8 milli</w:t>
      </w:r>
      <w:r>
        <w:rPr>
          <w:rFonts w:ascii="Times New Roman;Times;serif" w:hAnsi="Times New Roman;Times;serif"/>
          <w:sz w:val="20"/>
          <w:shd w:fill="FFFFFF" w:val="clear"/>
        </w:rPr>
        <w:t>on</w:t>
      </w:r>
      <w:r>
        <w:rPr>
          <w:rFonts w:ascii="Times New Roman;Times;serif" w:hAnsi="Times New Roman;Times;serif"/>
          <w:sz w:val="20"/>
        </w:rPr>
        <w:t xml:space="preserve"> at </w:t>
      </w:r>
      <w:r>
        <w:rPr>
          <w:rStyle w:val="Emphasis"/>
          <w:rFonts w:ascii="Times New Roman;Times;serif" w:hAnsi="Times New Roman;Times;serif"/>
          <w:sz w:val="20"/>
        </w:rPr>
        <w:t xml:space="preserve"> December 31, 2025</w:t>
      </w:r>
      <w:r>
        <w:rPr>
          <w:rFonts w:ascii="Times New Roman;Times;serif" w:hAnsi="Times New Roman;Times;serif"/>
          <w:sz w:val="20"/>
        </w:rPr>
        <w:t> and ($1.0) m</w:t>
      </w:r>
      <w:r>
        <w:rPr>
          <w:rFonts w:ascii="Times New Roman;Times;serif" w:hAnsi="Times New Roman;Times;serif"/>
          <w:sz w:val="20"/>
          <w:shd w:fill="FFFFFF" w:val="clear"/>
        </w:rPr>
        <w:t>illion a</w:t>
      </w:r>
      <w:r>
        <w:rPr>
          <w:rFonts w:ascii="Times New Roman;Times;serif" w:hAnsi="Times New Roman;Times;serif"/>
          <w:sz w:val="20"/>
        </w:rPr>
        <w:t xml:space="preserve">t </w:t>
      </w:r>
      <w:r>
        <w:rPr>
          <w:rStyle w:val="Emphasis"/>
          <w:rFonts w:ascii="Times New Roman;Times;serif" w:hAnsi="Times New Roman;Times;serif"/>
          <w:sz w:val="20"/>
        </w:rPr>
        <w:t>December 31, 2024</w:t>
      </w:r>
      <w:r>
        <w:rPr>
          <w:rFonts w:ascii="Times New Roman;Times;serif" w:hAnsi="Times New Roman;Times;serif"/>
          <w:sz w:val="20"/>
        </w:rPr>
        <w:t xml:space="preserve">. The estimated fair value of foreign currency forward contracts is based on quotes received from the applicable counterparty, and represents the estimated amount we would receive or pay to settle the contracts, taking into consideration current exchange rates which can be validated through readily observable data from external sources (Level </w:t>
      </w:r>
      <w:r>
        <w:rPr>
          <w:rStyle w:val="Emphasis"/>
          <w:rFonts w:ascii="Times New Roman;Times;serif" w:hAnsi="Times New Roman;Times;serif"/>
          <w:sz w:val="20"/>
        </w:rPr>
        <w:t>2</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is a party to </w:t>
      </w:r>
      <w:r>
        <w:rPr>
          <w:rStyle w:val="Emphasis"/>
          <w:rFonts w:ascii="Times New Roman;Times;serif" w:hAnsi="Times New Roman;Times;serif"/>
          <w:sz w:val="20"/>
        </w:rPr>
        <w:t>two</w:t>
      </w:r>
      <w:r>
        <w:rPr>
          <w:rFonts w:ascii="Times New Roman;Times;serif" w:hAnsi="Times New Roman;Times;serif"/>
          <w:sz w:val="20"/>
        </w:rPr>
        <w:t xml:space="preserve"> interest rate swap agreements</w:t>
      </w:r>
      <w:r>
        <w:rPr>
          <w:rFonts w:ascii="Times New Roman;Times;serif" w:hAnsi="Times New Roman;Times;serif"/>
          <w:sz w:val="20"/>
          <w:shd w:fill="FFFFFF" w:val="clear"/>
        </w:rPr>
        <w:t xml:space="preserve"> as further described in Note </w:t>
      </w:r>
      <w:r>
        <w:rPr>
          <w:rStyle w:val="Emphasis"/>
          <w:rFonts w:ascii="Times New Roman;Times;serif" w:hAnsi="Times New Roman;Times;serif"/>
          <w:sz w:val="20"/>
          <w:shd w:fill="FFFFFF" w:val="clear"/>
        </w:rPr>
        <w:t>13,</w:t>
      </w:r>
      <w:r>
        <w:rPr>
          <w:rFonts w:ascii="Times New Roman;Times;serif" w:hAnsi="Times New Roman;Times;serif"/>
          <w:sz w:val="20"/>
          <w:shd w:fill="FFFFFF" w:val="clear"/>
        </w:rPr>
        <w:t xml:space="preserve"> </w:t>
      </w:r>
      <w:r>
        <w:rPr>
          <w:rFonts w:ascii="Times New Roman;Times;serif" w:hAnsi="Times New Roman;Times;serif"/>
          <w:i/>
          <w:sz w:val="20"/>
          <w:shd w:fill="FFFFFF" w:val="clear"/>
        </w:rPr>
        <w:t>"Derivative Instruments and Hedging Activities". </w:t>
      </w:r>
      <w:r>
        <w:rPr>
          <w:rFonts w:ascii="Times New Roman;Times;serif" w:hAnsi="Times New Roman;Times;serif"/>
          <w:sz w:val="20"/>
        </w:rPr>
        <w:t xml:space="preserve">The fair value of the interest rate swap agreements was $0.9 million and $2.7 million at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respectively, which was based on data received from the counterparty, and represents the estimated amount we would receive or pay to settle the agreements, taking into consideration current and projected future interest rates as well as the creditworthiness of the parties, all of which can be validated through readily observable data from external sources.</w:t>
      </w:r>
    </w:p>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 w:hAnsi="Times New Roman"/>
          <w:caps w:val="false"/>
          <w:smallCaps w:val="false"/>
          <w:sz w:val="20"/>
        </w:rPr>
        <w:t xml:space="preserve">The fair values of our derivative financial instruments (which are measured using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fair value inputs) and their classifications in our consolidated balance sheets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were as follows:</w:t>
      </w:r>
    </w:p>
    <w:p>
      <w:pPr>
        <w:pStyle w:val="TextBody"/>
        <w:bidi w:val="0"/>
        <w:spacing w:before="0" w:after="0"/>
        <w:ind w:left="0" w:right="0" w:hanging="0"/>
        <w:jc w:val="left"/>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215"/>
        <w:gridCol w:w="2390"/>
        <w:gridCol w:w="60"/>
        <w:gridCol w:w="326"/>
        <w:gridCol w:w="1268"/>
        <w:gridCol w:w="60"/>
        <w:gridCol w:w="60"/>
        <w:gridCol w:w="326"/>
        <w:gridCol w:w="1268"/>
        <w:gridCol w:w="60"/>
      </w:tblGrid>
      <w:tr>
        <w:trPr/>
        <w:tc>
          <w:tcPr>
            <w:tcW w:w="3215" w:type="dxa"/>
            <w:tcBorders/>
            <w:shd w:fill="FFFFFF" w:val="clear"/>
            <w:vAlign w:val="center"/>
          </w:tcPr>
          <w:p>
            <w:pPr>
              <w:pStyle w:val="TableContents"/>
              <w:bidi w:val="0"/>
              <w:spacing w:before="0" w:after="283"/>
              <w:ind w:left="0" w:right="0" w:hanging="0"/>
              <w:jc w:val="left"/>
              <w:rPr/>
            </w:pPr>
            <w:r>
              <w:rPr/>
              <w:t> </w:t>
            </w:r>
          </w:p>
        </w:tc>
        <w:tc>
          <w:tcPr>
            <w:tcW w:w="23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 Sheet 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assets:</w:t>
            </w:r>
          </w:p>
        </w:tc>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forward contracts:</w:t>
            </w:r>
          </w:p>
        </w:tc>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Designated as cash flow hedges</w:t>
            </w:r>
          </w:p>
        </w:tc>
        <w:tc>
          <w:tcPr>
            <w:tcW w:w="2390"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 designated as hedging instruments</w:t>
            </w:r>
          </w:p>
        </w:tc>
        <w:tc>
          <w:tcPr>
            <w:tcW w:w="2390"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ind w:left="0" w:right="0" w:hanging="0"/>
              <w:jc w:val="left"/>
              <w:rPr/>
            </w:pPr>
            <w:r>
              <w:rPr/>
              <w:t> </w:t>
            </w:r>
          </w:p>
        </w:tc>
        <w:tc>
          <w:tcPr>
            <w:tcW w:w="126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 agreements:</w:t>
            </w:r>
          </w:p>
        </w:tc>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Designated as a cash flow hedge</w:t>
            </w:r>
          </w:p>
        </w:tc>
        <w:tc>
          <w:tcPr>
            <w:tcW w:w="2390"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2,730</w:t>
            </w:r>
          </w:p>
        </w:tc>
        <w:tc>
          <w:tcPr>
            <w:tcW w:w="60" w:type="dxa"/>
            <w:tcBorders/>
            <w:shd w:fill="FFFFFF" w:val="clear"/>
            <w:vAlign w:val="center"/>
          </w:tcPr>
          <w:p>
            <w:pPr>
              <w:pStyle w:val="TableContents"/>
              <w:bidi w:val="0"/>
              <w:spacing w:before="0" w:after="283"/>
              <w:jc w:val="left"/>
              <w:rPr/>
            </w:pPr>
            <w:r>
              <w:rPr/>
              <w:t> </w:t>
            </w:r>
          </w:p>
        </w:tc>
      </w:tr>
      <w:tr>
        <w:trPr/>
        <w:tc>
          <w:tcPr>
            <w:tcW w:w="5605" w:type="dxa"/>
            <w:gridSpan w:val="2"/>
            <w:tcBorders/>
            <w:shd w:fill="CCEEFF" w:val="clear"/>
            <w:vAlign w:val="center"/>
          </w:tcPr>
          <w:p>
            <w:pPr>
              <w:pStyle w:val="TableContents"/>
              <w:bidi w:val="0"/>
              <w:spacing w:before="0" w:after="0"/>
              <w:ind w:left="0" w:right="0" w:firstLine="360"/>
              <w:jc w:val="left"/>
              <w:rPr/>
            </w:pPr>
            <w:r>
              <w:rPr>
                <w:rStyle w:val="Emphasis"/>
                <w:rFonts w:ascii="Times New Roman" w:hAnsi="Times New Roman"/>
                <w:caps w:val="false"/>
                <w:smallCaps w:val="false"/>
                <w:sz w:val="20"/>
              </w:rPr>
              <w:t>Total derivative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2,730</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left"/>
              <w:rPr/>
            </w:pPr>
            <w:r>
              <w:rPr/>
              <w:t> </w:t>
            </w:r>
          </w:p>
        </w:tc>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liabilities:</w:t>
            </w:r>
          </w:p>
        </w:tc>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forward contracts:</w:t>
            </w:r>
          </w:p>
        </w:tc>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Designated as cash flow hedges</w:t>
            </w:r>
          </w:p>
        </w:tc>
        <w:tc>
          <w:tcPr>
            <w:tcW w:w="2390"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 designated as hedging instruments</w:t>
            </w:r>
          </w:p>
        </w:tc>
        <w:tc>
          <w:tcPr>
            <w:tcW w:w="2390"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sz w:val="20"/>
              </w:rPr>
              <w:t>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919</w:t>
            </w:r>
          </w:p>
        </w:tc>
        <w:tc>
          <w:tcPr>
            <w:tcW w:w="60" w:type="dxa"/>
            <w:tcBorders/>
            <w:shd w:fill="FFFFFF" w:val="clear"/>
            <w:vAlign w:val="center"/>
          </w:tcPr>
          <w:p>
            <w:pPr>
              <w:pStyle w:val="TableContents"/>
              <w:bidi w:val="0"/>
              <w:spacing w:before="0" w:after="0"/>
              <w:jc w:val="left"/>
              <w:rPr/>
            </w:pPr>
            <w:r>
              <w:rPr/>
              <w:t> </w:t>
            </w:r>
          </w:p>
        </w:tc>
      </w:tr>
      <w:tr>
        <w:trPr/>
        <w:tc>
          <w:tcPr>
            <w:tcW w:w="5605" w:type="dxa"/>
            <w:gridSpan w:val="2"/>
            <w:tcBorders/>
            <w:shd w:fill="CCEEFF" w:val="clear"/>
            <w:vAlign w:val="center"/>
          </w:tcPr>
          <w:p>
            <w:pPr>
              <w:pStyle w:val="TableContents"/>
              <w:bidi w:val="0"/>
              <w:spacing w:before="0" w:after="0"/>
              <w:ind w:left="0" w:right="0" w:firstLine="360"/>
              <w:jc w:val="left"/>
              <w:rPr/>
            </w:pPr>
            <w:r>
              <w:rPr>
                <w:rStyle w:val="Emphasis"/>
                <w:rFonts w:ascii="Times New Roman" w:hAnsi="Times New Roman"/>
                <w:caps w:val="false"/>
                <w:smallCaps w:val="false"/>
                <w:sz w:val="20"/>
              </w:rPr>
              <w:t>Total derivative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In connection with the acquisition of Enercon as further described in Note </w:t>
      </w:r>
      <w:r>
        <w:rPr>
          <w:rStyle w:val="Emphasis"/>
          <w:rFonts w:ascii="Times New Roman;Times;serif" w:hAnsi="Times New Roman;Times;serif"/>
          <w:sz w:val="20"/>
        </w:rPr>
        <w:t>3,</w:t>
      </w:r>
      <w:r>
        <w:rPr>
          <w:rFonts w:ascii="Times New Roman;Times;serif" w:hAnsi="Times New Roman;Times;serif"/>
          <w:sz w:val="20"/>
        </w:rPr>
        <w:t xml:space="preserve"> </w:t>
      </w:r>
      <w:r>
        <w:rPr>
          <w:rFonts w:ascii="Times New Roman;Times;serif" w:hAnsi="Times New Roman;Times;serif"/>
          <w:i/>
          <w:sz w:val="20"/>
        </w:rPr>
        <w:t>"Acquisition"</w:t>
      </w:r>
      <w:r>
        <w:rPr>
          <w:rFonts w:ascii="Times New Roman;Times;serif" w:hAnsi="Times New Roman;Times;serif"/>
          <w:sz w:val="20"/>
        </w:rPr>
        <w:t xml:space="preserve">, the Sellers are eligible to receive the potential Earnout Payments based on the achievement of certain financial metrics in </w:t>
      </w:r>
      <w:r>
        <w:rPr>
          <w:rStyle w:val="Emphasis"/>
          <w:rFonts w:ascii="Times New Roman;Times;serif" w:hAnsi="Times New Roman;Times;serif"/>
          <w:sz w:val="20"/>
        </w:rPr>
        <w:t>2025</w:t>
      </w:r>
      <w:r>
        <w:rPr>
          <w:rFonts w:ascii="Times New Roman;Times;serif" w:hAnsi="Times New Roman;Times;serif"/>
          <w:sz w:val="20"/>
        </w:rPr>
        <w:t xml:space="preserve"> and </w:t>
      </w:r>
      <w:r>
        <w:rPr>
          <w:rStyle w:val="Emphasis"/>
          <w:rFonts w:ascii="Times New Roman;Times;serif" w:hAnsi="Times New Roman;Times;serif"/>
          <w:sz w:val="20"/>
        </w:rPr>
        <w:t>2026</w:t>
      </w:r>
      <w:r>
        <w:rPr>
          <w:rFonts w:ascii="Times New Roman;Times;serif" w:hAnsi="Times New Roman;Times;serif"/>
          <w:sz w:val="20"/>
        </w:rPr>
        <w:t xml:space="preserve"> Earnout Periods. As this contingent consideration will be settled in cash by Bel if the related metrics are achieved, this contingent consideration has been classified as a liability on the accompanying balance sheets at </w:t>
      </w:r>
      <w:r>
        <w:rPr>
          <w:rStyle w:val="Emphasis"/>
          <w:rFonts w:ascii="Times New Roman;Times;serif" w:hAnsi="Times New Roman;Times;serif"/>
          <w:sz w:val="20"/>
        </w:rPr>
        <w:t xml:space="preserve"> December 31, 2025 </w:t>
      </w:r>
      <w:r>
        <w:rPr>
          <w:rFonts w:ascii="Times New Roman;Times;serif" w:hAnsi="Times New Roman;Times;serif"/>
          <w:sz w:val="20"/>
        </w:rPr>
        <w:t xml:space="preserve">and </w:t>
      </w:r>
      <w:r>
        <w:rPr>
          <w:rStyle w:val="Emphasis"/>
          <w:rFonts w:ascii="Times New Roman;Times;serif" w:hAnsi="Times New Roman;Times;serif"/>
          <w:sz w:val="20"/>
        </w:rPr>
        <w:t xml:space="preserve">December 31, 2024. </w:t>
      </w:r>
      <w:r>
        <w:rPr>
          <w:rFonts w:ascii="Times New Roman;Times;serif" w:hAnsi="Times New Roman;Times;serif"/>
          <w:sz w:val="20"/>
        </w:rPr>
        <w:t xml:space="preserve">The earnout liabilities were initially recorded at a fair value of $3.3 million at the acquisition date, with subsequent remeasurement to fair value as of the balance sheet dates calculated using Level </w:t>
      </w:r>
      <w:r>
        <w:rPr>
          <w:rStyle w:val="Emphasis"/>
          <w:rFonts w:ascii="Times New Roman;Times;serif" w:hAnsi="Times New Roman;Times;serif"/>
          <w:sz w:val="20"/>
        </w:rPr>
        <w:t>3</w:t>
      </w:r>
      <w:r>
        <w:rPr>
          <w:rFonts w:ascii="Times New Roman;Times;serif" w:hAnsi="Times New Roman;Times;serif"/>
          <w:sz w:val="20"/>
        </w:rPr>
        <w:t xml:space="preserve"> unobservable inputs.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inputs to the valuation approach for the contingent earnout liabilities include the Company's forecasted Enercon EBITDA (as defined under the terms of the Purchase Agreement) for each of </w:t>
      </w:r>
      <w:r>
        <w:rPr>
          <w:rStyle w:val="Emphasis"/>
          <w:rFonts w:ascii="Times New Roman;Times;serif" w:hAnsi="Times New Roman;Times;serif"/>
          <w:sz w:val="20"/>
        </w:rPr>
        <w:t>2025</w:t>
      </w:r>
      <w:r>
        <w:rPr>
          <w:rFonts w:ascii="Times New Roman;Times;serif" w:hAnsi="Times New Roman;Times;serif"/>
          <w:sz w:val="20"/>
        </w:rPr>
        <w:t xml:space="preserve"> and </w:t>
      </w:r>
      <w:r>
        <w:rPr>
          <w:rStyle w:val="Emphasis"/>
          <w:rFonts w:ascii="Times New Roman;Times;serif" w:hAnsi="Times New Roman;Times;serif"/>
          <w:sz w:val="20"/>
        </w:rPr>
        <w:t>2026,</w:t>
      </w:r>
      <w:r>
        <w:rPr>
          <w:rFonts w:ascii="Times New Roman;Times;serif" w:hAnsi="Times New Roman;Times;serif"/>
          <w:sz w:val="20"/>
        </w:rPr>
        <w:t xml:space="preserve"> an estimated EBITDA volatility measure of 52.1%, an expected term of 2 years and a discount rate on the Earnout Payments of 6.66%. The fair value of the earnout liabilities as of </w:t>
      </w:r>
      <w:r>
        <w:rPr>
          <w:rStyle w:val="Emphasis"/>
          <w:rFonts w:ascii="Times New Roman;Times;serif" w:hAnsi="Times New Roman;Times;serif"/>
          <w:sz w:val="20"/>
        </w:rPr>
        <w:t>December 31, 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were as follows:</w:t>
      </w:r>
    </w:p>
    <w:p>
      <w:pPr>
        <w:pStyle w:val="TextBody"/>
        <w:bidi w:val="0"/>
        <w:spacing w:before="0" w:after="0"/>
        <w:ind w:left="0" w:right="0" w:hanging="0"/>
        <w:jc w:val="both"/>
        <w:rPr/>
      </w:pPr>
      <w:r>
        <w:rPr/>
        <w:t> </w:t>
      </w:r>
    </w:p>
    <w:tbl>
      <w:tblPr>
        <w:tblW w:w="8508" w:type="dxa"/>
        <w:jc w:val="left"/>
        <w:tblInd w:w="0" w:type="dxa"/>
        <w:tblLayout w:type="fixed"/>
        <w:tblCellMar>
          <w:top w:w="0" w:type="dxa"/>
          <w:left w:w="0" w:type="dxa"/>
          <w:bottom w:w="0" w:type="dxa"/>
          <w:right w:w="0" w:type="dxa"/>
        </w:tblCellMar>
      </w:tblPr>
      <w:tblGrid>
        <w:gridCol w:w="2690"/>
        <w:gridCol w:w="2390"/>
        <w:gridCol w:w="60"/>
        <w:gridCol w:w="326"/>
        <w:gridCol w:w="1268"/>
        <w:gridCol w:w="60"/>
        <w:gridCol w:w="60"/>
        <w:gridCol w:w="326"/>
        <w:gridCol w:w="1268"/>
        <w:gridCol w:w="60"/>
      </w:tblGrid>
      <w:tr>
        <w:trPr/>
        <w:tc>
          <w:tcPr>
            <w:tcW w:w="2690" w:type="dxa"/>
            <w:tcBorders/>
            <w:shd w:fill="FFFFFF" w:val="clear"/>
            <w:vAlign w:val="center"/>
          </w:tcPr>
          <w:p>
            <w:pPr>
              <w:pStyle w:val="TableContents"/>
              <w:bidi w:val="0"/>
              <w:spacing w:before="0" w:after="283"/>
              <w:jc w:val="left"/>
              <w:rPr/>
            </w:pPr>
            <w:r>
              <w:rPr/>
              <w:t> </w:t>
            </w:r>
          </w:p>
        </w:tc>
        <w:tc>
          <w:tcPr>
            <w:tcW w:w="239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ind w:left="0" w:right="0" w:hanging="0"/>
              <w:jc w:val="left"/>
              <w:rPr/>
            </w:pPr>
            <w:r>
              <w:rPr/>
              <w:t> </w:t>
            </w:r>
          </w:p>
        </w:tc>
        <w:tc>
          <w:tcPr>
            <w:tcW w:w="23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Balance Sheet 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Liabilities:</w:t>
            </w:r>
          </w:p>
        </w:tc>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12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Payment liability - 2025</w:t>
            </w:r>
          </w:p>
        </w:tc>
        <w:tc>
          <w:tcPr>
            <w:tcW w:w="239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Payment liability - 2026</w:t>
            </w:r>
          </w:p>
        </w:tc>
        <w:tc>
          <w:tcPr>
            <w:tcW w:w="239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239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change in the earnout liability balances from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relate solely to changes in the fair value of the Earnout Payments which have been recognized through earnings during the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Aside from the earnout liability described above, the Company does </w:t>
      </w:r>
      <w:r>
        <w:rPr>
          <w:rStyle w:val="Emphasis"/>
          <w:rFonts w:ascii="Times New Roman;Times;serif" w:hAnsi="Times New Roman;Times;serif"/>
          <w:sz w:val="20"/>
        </w:rPr>
        <w:t>not</w:t>
      </w:r>
      <w:r>
        <w:rPr>
          <w:rFonts w:ascii="Times New Roman;Times;serif" w:hAnsi="Times New Roman;Times;serif"/>
          <w:sz w:val="20"/>
        </w:rPr>
        <w:t xml:space="preserve"> have any other financial assets measured at fair value on a recurring basis categorized as Level </w:t>
      </w:r>
      <w:r>
        <w:rPr>
          <w:rStyle w:val="Emphasis"/>
          <w:rFonts w:ascii="Times New Roman;Times;serif" w:hAnsi="Times New Roman;Times;serif"/>
          <w:sz w:val="20"/>
        </w:rPr>
        <w:t>3,</w:t>
      </w:r>
      <w:r>
        <w:rPr>
          <w:rFonts w:ascii="Times New Roman;Times;serif" w:hAnsi="Times New Roman;Times;serif"/>
          <w:sz w:val="20"/>
        </w:rPr>
        <w:t xml:space="preserve"> and there were </w:t>
      </w:r>
      <w:r>
        <w:rPr>
          <w:rStyle w:val="Emphasis"/>
          <w:rFonts w:ascii="Times New Roman;Times;serif" w:hAnsi="Times New Roman;Times;serif"/>
          <w:sz w:val="20"/>
        </w:rPr>
        <w:t>no</w:t>
      </w:r>
      <w:r>
        <w:rPr>
          <w:rFonts w:ascii="Times New Roman;Times;serif" w:hAnsi="Times New Roman;Times;serif"/>
          <w:sz w:val="20"/>
        </w:rPr>
        <w:t xml:space="preserve"> transfers in or out of Level </w:t>
      </w:r>
      <w:r>
        <w:rPr>
          <w:rStyle w:val="Emphasis"/>
          <w:rFonts w:ascii="Times New Roman;Times;serif" w:hAnsi="Times New Roman;Times;serif"/>
          <w:sz w:val="20"/>
        </w:rPr>
        <w:t>1,</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or Level </w:t>
      </w:r>
      <w:r>
        <w:rPr>
          <w:rStyle w:val="Emphasis"/>
          <w:rFonts w:ascii="Times New Roman;Times;serif" w:hAnsi="Times New Roman;Times;serif"/>
          <w:sz w:val="20"/>
        </w:rPr>
        <w:t>3</w:t>
      </w:r>
      <w:r>
        <w:rPr>
          <w:rFonts w:ascii="Times New Roman;Times;serif" w:hAnsi="Times New Roman;Times;serif"/>
          <w:sz w:val="20"/>
        </w:rPr>
        <w:t xml:space="preserve"> during </w:t>
      </w:r>
      <w:r>
        <w:rPr>
          <w:rStyle w:val="Emphasis"/>
          <w:rFonts w:ascii="Times New Roman;Times;serif" w:hAnsi="Times New Roman;Times;serif"/>
          <w:sz w:val="20"/>
        </w:rPr>
        <w:t>2025</w:t>
      </w:r>
      <w:r>
        <w:rPr>
          <w:rFonts w:ascii="Times New Roman;Times;serif" w:hAnsi="Times New Roman;Times;serif"/>
          <w:sz w:val="20"/>
        </w:rPr>
        <w:t xml:space="preserve"> or </w:t>
      </w:r>
      <w:r>
        <w:rPr>
          <w:rStyle w:val="Emphasis"/>
          <w:rFonts w:ascii="Times New Roman;Times;serif" w:hAnsi="Times New Roman;Times;serif"/>
          <w:sz w:val="20"/>
        </w:rPr>
        <w:t>2024</w:t>
      </w:r>
      <w:r>
        <w:rPr>
          <w:rFonts w:ascii="Times New Roman;Times;serif" w:hAnsi="Times New Roman;Times;serif"/>
          <w:sz w:val="20"/>
        </w:rPr>
        <w:t xml:space="preserve">. There were </w:t>
      </w:r>
      <w:r>
        <w:rPr>
          <w:rStyle w:val="Emphasis"/>
          <w:rFonts w:ascii="Times New Roman;Times;serif" w:hAnsi="Times New Roman;Times;serif"/>
          <w:sz w:val="20"/>
        </w:rPr>
        <w:t>no</w:t>
      </w:r>
      <w:r>
        <w:rPr>
          <w:rFonts w:ascii="Times New Roman;Times;serif" w:hAnsi="Times New Roman;Times;serif"/>
          <w:sz w:val="20"/>
        </w:rPr>
        <w:t xml:space="preserve"> changes to the Company’s valuation techniques used to measure asset fair values on a recurring or nonrecurring basis during </w:t>
      </w:r>
      <w:r>
        <w:rPr>
          <w:rStyle w:val="Emphasis"/>
          <w:rFonts w:ascii="Times New Roman;Times;serif" w:hAnsi="Times New Roman;Times;serif"/>
          <w:sz w:val="20"/>
        </w:rPr>
        <w:t>2025</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performed its annual impairment test of indefinite-lived intangible assets and determined that no impairment charges were required. In the prior year,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Company recorded an adjustment to the carrying value of the CUI tradename, reducing it to its estimated fair value. This adjustment was recognized as an impairment loss within the consolidated statements of operations. Aside from the CUI tradename impairment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did not have any other financial assets or indefinite-lived intangible assets measured at fair value on a nonrecurring basis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financial assets measured at fair value on a nonrecurring basis as of either reporting date, except as noted above.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other financial instruments, such as cash and cash equivalents, accounts receivable, accounts payable and accrued expenses, which are </w:t>
      </w:r>
      <w:r>
        <w:rPr>
          <w:rStyle w:val="Emphasis"/>
          <w:rFonts w:ascii="Times New Roman;Times;serif" w:hAnsi="Times New Roman;Times;serif"/>
          <w:sz w:val="20"/>
        </w:rPr>
        <w:t>not</w:t>
      </w:r>
      <w:r>
        <w:rPr>
          <w:rFonts w:ascii="Times New Roman;Times;serif" w:hAnsi="Times New Roman;Times;serif"/>
          <w:sz w:val="20"/>
        </w:rPr>
        <w:t xml:space="preserve"> measured at fair value on a recurring basis but are recorded at amounts that approximate fair value due to their liquid or short-term nature. The fair value of the Company’s long-term debt is estimated using a discounted cash flow method based on interest rates that are currently available for debt issuances with similar terms and maturities.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the estimated fair value of total debt was </w:t>
      </w:r>
      <w:r>
        <w:rPr>
          <w:rFonts w:ascii="Times New Roman;Times;serif" w:hAnsi="Times New Roman;Times;serif"/>
          <w:color w:val="000000"/>
          <w:sz w:val="20"/>
        </w:rPr>
        <w:t>$196.5 millio</w:t>
      </w:r>
      <w:r>
        <w:rPr>
          <w:rFonts w:ascii="Times New Roman;Times;serif" w:hAnsi="Times New Roman;Times;serif"/>
          <w:sz w:val="20"/>
        </w:rPr>
        <w:t xml:space="preserve">n and $286.6 million, respectively, compared to a carrying amount of $197.5 million and $287.5 million, respectively. The Company did </w:t>
      </w:r>
      <w:r>
        <w:rPr>
          <w:rStyle w:val="Emphasis"/>
          <w:rFonts w:ascii="Times New Roman;Times;serif" w:hAnsi="Times New Roman;Times;serif"/>
          <w:sz w:val="20"/>
        </w:rPr>
        <w:t>not</w:t>
      </w:r>
      <w:r>
        <w:rPr>
          <w:rFonts w:ascii="Times New Roman;Times;serif" w:hAnsi="Times New Roman;Times;serif"/>
          <w:sz w:val="20"/>
        </w:rPr>
        <w:t xml:space="preserve"> have any other financial liabilities within the scope of the fair value disclosure requirements as of </w:t>
      </w:r>
      <w:r>
        <w:rPr>
          <w:rStyle w:val="Emphasis"/>
          <w:rFonts w:ascii="Times New Roman;Times;serif" w:hAnsi="Times New Roman;Times;serif"/>
          <w:sz w:val="20"/>
        </w:rPr>
        <w:t>December 31, 2025</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Nonfinancial assets and liabilities, such as goodwill, indefinite-lived intangible assets and long-lived assets, are accounted for at fair value on a nonrecurring basis. These items are tested for impairment upon the occurrence of a triggering event or in the case of goodwill, on at least an annual basis. Se</w:t>
      </w:r>
      <w:r>
        <w:rPr>
          <w:rFonts w:ascii="Times New Roman;Times;serif" w:hAnsi="Times New Roman;Times;serif"/>
          <w:sz w:val="20"/>
          <w:shd w:fill="FFFFFF" w:val="clear"/>
        </w:rPr>
        <w:t xml:space="preserve">e Note </w:t>
      </w:r>
      <w:r>
        <w:rPr>
          <w:rStyle w:val="Emphasis"/>
          <w:rFonts w:ascii="Times New Roman;Times;serif" w:hAnsi="Times New Roman;Times;serif"/>
          <w:sz w:val="20"/>
          <w:shd w:fill="FFFFFF" w:val="clear"/>
        </w:rPr>
        <w:t>5,</w:t>
      </w:r>
      <w:r>
        <w:rPr>
          <w:rFonts w:ascii="Times New Roman;Times;serif" w:hAnsi="Times New Roman;Times;serif"/>
          <w:sz w:val="20"/>
          <w:shd w:fill="FFFFFF" w:val="clear"/>
        </w:rPr>
        <w:t xml:space="preserve"> </w:t>
      </w:r>
      <w:r>
        <w:rPr>
          <w:rFonts w:ascii="Times New Roman;Times;serif" w:hAnsi="Times New Roman;Times;serif"/>
          <w:i/>
          <w:sz w:val="20"/>
          <w:shd w:fill="FFFFFF" w:val="clear"/>
        </w:rPr>
        <w:t>"Goodwill and Other Intangible Assets,"</w:t>
      </w:r>
      <w:r>
        <w:rPr>
          <w:rFonts w:ascii="Times New Roman;Times;serif" w:hAnsi="Times New Roman;Times;serif"/>
          <w:sz w:val="20"/>
          <w:shd w:fill="FFFFFF" w:val="clear"/>
        </w:rPr>
        <w:t xml:space="preserve"> for further information about goodwill and other indefinite-lived intangible assets.  </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1570" w:type="dxa"/>
        <w:jc w:val="left"/>
        <w:tblInd w:w="0" w:type="dxa"/>
        <w:tblLayout w:type="fixed"/>
        <w:tblCellMar>
          <w:top w:w="0" w:type="dxa"/>
          <w:left w:w="0" w:type="dxa"/>
          <w:bottom w:w="0" w:type="dxa"/>
          <w:right w:w="0" w:type="dxa"/>
        </w:tblCellMar>
      </w:tblPr>
      <w:tblGrid>
        <w:gridCol w:w="170"/>
        <w:gridCol w:w="140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shd w:fill="FFFFFF" w:val="clear"/>
              </w:rPr>
              <w:t>7.</w:t>
            </w:r>
          </w:p>
        </w:tc>
        <w:tc>
          <w:tcPr>
            <w:tcW w:w="1400"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OTHER ASSETS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the Company had obligations of $18.9 million and $18.0 million, respectively, associated with its SERP. As a means of informally funding these obligations, the Company has invested in life insurance policies related to certain employees and marketable securities held in a rabbi trust.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these assets had a combined value of $18.4 million and $17.0 million, respectively.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Company-Owned Life Insurance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Investments in company-owned life insurance policies ("COLI") were made with the intention of utilizing them as a long-term funding source for the Company's SERP obligations. However, the cash surrender value of the COLI does </w:t>
      </w:r>
      <w:r>
        <w:rPr>
          <w:rStyle w:val="Emphasis"/>
          <w:rFonts w:ascii="Times New Roman;Times;serif" w:hAnsi="Times New Roman;Times;serif"/>
          <w:sz w:val="20"/>
        </w:rPr>
        <w:t>not</w:t>
      </w:r>
      <w:r>
        <w:rPr>
          <w:rFonts w:ascii="Times New Roman;Times;serif" w:hAnsi="Times New Roman;Times;serif"/>
          <w:sz w:val="20"/>
        </w:rPr>
        <w:t xml:space="preserve"> represent a committed funding source for these obligations. Any proceeds from these policies are subject to claims from creditors. The cash surrender value of the COLI of $17.8 million and $16.4 million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respectively, is included in other assets in the accompanying consolidated balance sheets. The volatility in global equity markets in recent years has also had an effect on the cash surrender value of the COLI policies. The Company recorded </w:t>
      </w:r>
      <w:r>
        <w:rPr>
          <w:rFonts w:ascii="Times New Roman;Times;serif" w:hAnsi="Times New Roman;Times;serif"/>
          <w:sz w:val="20"/>
          <w:shd w:fill="FFFFFF" w:val="clear"/>
        </w:rPr>
        <w:t xml:space="preserve">income to </w:t>
      </w:r>
      <w:r>
        <w:rPr>
          <w:rFonts w:ascii="Times New Roman;Times;serif" w:hAnsi="Times New Roman;Times;serif"/>
          <w:sz w:val="20"/>
        </w:rPr>
        <w:t xml:space="preserve">account for the </w:t>
      </w:r>
      <w:r>
        <w:rPr>
          <w:rFonts w:ascii="Times New Roman;Times;serif" w:hAnsi="Times New Roman;Times;serif"/>
          <w:sz w:val="20"/>
          <w:shd w:fill="FFFFFF" w:val="clear"/>
        </w:rPr>
        <w:t>increase in</w:t>
      </w:r>
      <w:r>
        <w:rPr>
          <w:rFonts w:ascii="Times New Roman;Times;serif" w:hAnsi="Times New Roman;Times;serif"/>
          <w:sz w:val="20"/>
        </w:rPr>
        <w:t xml:space="preserve"> cash surrender value in the amount of $1.4 million, $1.3 million and $1.3 million during the years ended </w:t>
      </w:r>
      <w:r>
        <w:rPr>
          <w:rStyle w:val="Emphasis"/>
          <w:rFonts w:ascii="Times New Roman;Times;serif" w:hAnsi="Times New Roman;Times;serif"/>
          <w:sz w:val="20"/>
        </w:rPr>
        <w:t>December 31, 2025, 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respectively. These fluctuations are classified as other income (expense), net on the consolidated statements of operations for all periods presented. This classification is consistent with the costs associated with the long-term employee benefit obligations that the COLI is intended to fund.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Other Investments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the Company held, in the aforementioned rabbi trust, available-for-sale investments at a cost of $0.6 million at each date. Together with the COLI described above, these investments are intended to fund the Company's SERP obligations and are classified as other assets in the accompanying consolidated balance sheets. The Company monitors these investments for impairment on an ongoing basis.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the fair market value of these investments was $0.6 million at each date.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450" w:type="dxa"/>
        <w:jc w:val="left"/>
        <w:tblInd w:w="0" w:type="dxa"/>
        <w:tblLayout w:type="fixed"/>
        <w:tblCellMar>
          <w:top w:w="0" w:type="dxa"/>
          <w:left w:w="0" w:type="dxa"/>
          <w:bottom w:w="0" w:type="dxa"/>
          <w:right w:w="0" w:type="dxa"/>
        </w:tblCellMar>
      </w:tblPr>
      <w:tblGrid>
        <w:gridCol w:w="170"/>
        <w:gridCol w:w="128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rPr>
              <w:t>8.</w:t>
            </w:r>
          </w:p>
        </w:tc>
        <w:tc>
          <w:tcPr>
            <w:tcW w:w="12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inventories are as follows:</w:t>
      </w:r>
    </w:p>
    <w:p>
      <w:pPr>
        <w:pStyle w:val="TextBody"/>
        <w:bidi w:val="0"/>
        <w:spacing w:before="0" w:after="0"/>
        <w:ind w:left="0" w:right="0" w:hanging="0"/>
        <w:jc w:val="left"/>
        <w:rPr/>
      </w:pPr>
      <w:r>
        <w:rPr/>
        <w:t> </w:t>
      </w:r>
    </w:p>
    <w:tbl>
      <w:tblPr>
        <w:tblW w:w="3280" w:type="dxa"/>
        <w:jc w:val="left"/>
        <w:tblInd w:w="0" w:type="dxa"/>
        <w:tblLayout w:type="fixed"/>
        <w:tblCellMar>
          <w:top w:w="0" w:type="dxa"/>
          <w:left w:w="0" w:type="dxa"/>
          <w:bottom w:w="0" w:type="dxa"/>
          <w:right w:w="0" w:type="dxa"/>
        </w:tblCellMar>
      </w:tblPr>
      <w:tblGrid>
        <w:gridCol w:w="1400"/>
        <w:gridCol w:w="60"/>
        <w:gridCol w:w="125"/>
        <w:gridCol w:w="695"/>
        <w:gridCol w:w="60"/>
        <w:gridCol w:w="60"/>
        <w:gridCol w:w="125"/>
        <w:gridCol w:w="695"/>
        <w:gridCol w:w="60"/>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74,750</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53,569</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33,051</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955" w:type="dxa"/>
        <w:jc w:val="left"/>
        <w:tblInd w:w="0" w:type="dxa"/>
        <w:tblLayout w:type="fixed"/>
        <w:tblCellMar>
          <w:top w:w="0" w:type="dxa"/>
          <w:left w:w="0" w:type="dxa"/>
          <w:bottom w:w="0" w:type="dxa"/>
          <w:right w:w="0" w:type="dxa"/>
        </w:tblCellMar>
      </w:tblPr>
      <w:tblGrid>
        <w:gridCol w:w="170"/>
        <w:gridCol w:w="378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rPr>
              <w:t>9.</w:t>
            </w:r>
          </w:p>
        </w:tc>
        <w:tc>
          <w:tcPr>
            <w:tcW w:w="37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 consist of the following:</w:t>
      </w:r>
    </w:p>
    <w:p>
      <w:pPr>
        <w:pStyle w:val="TextBody"/>
        <w:bidi w:val="0"/>
        <w:spacing w:before="0" w:after="0"/>
        <w:ind w:left="0" w:right="0" w:hanging="0"/>
        <w:jc w:val="left"/>
        <w:rPr/>
      </w:pPr>
      <w:r>
        <w:rPr/>
        <w:t> </w:t>
      </w:r>
    </w:p>
    <w:tbl>
      <w:tblPr>
        <w:tblW w:w="4745" w:type="dxa"/>
        <w:jc w:val="left"/>
        <w:tblInd w:w="0" w:type="dxa"/>
        <w:tblLayout w:type="fixed"/>
        <w:tblCellMar>
          <w:top w:w="0" w:type="dxa"/>
          <w:left w:w="0" w:type="dxa"/>
          <w:bottom w:w="0" w:type="dxa"/>
          <w:right w:w="0" w:type="dxa"/>
        </w:tblCellMar>
      </w:tblPr>
      <w:tblGrid>
        <w:gridCol w:w="2825"/>
        <w:gridCol w:w="60"/>
        <w:gridCol w:w="125"/>
        <w:gridCol w:w="695"/>
        <w:gridCol w:w="80"/>
        <w:gridCol w:w="60"/>
        <w:gridCol w:w="125"/>
        <w:gridCol w:w="695"/>
        <w:gridCol w:w="80"/>
      </w:tblGrid>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19,385</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99,747</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5,243</w:t>
            </w:r>
          </w:p>
        </w:tc>
        <w:tc>
          <w:tcPr>
            <w:tcW w:w="8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124,490</w:t>
            </w:r>
          </w:p>
        </w:tc>
        <w:tc>
          <w:tcPr>
            <w:tcW w:w="8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Depreciation expense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xml:space="preserve"> was</w:t>
      </w:r>
      <w:r>
        <w:rPr>
          <w:rFonts w:ascii="Times New Roman;Times;serif" w:hAnsi="Times New Roman;Times;serif"/>
          <w:sz w:val="20"/>
          <w:shd w:fill="FFFFFF" w:val="clear"/>
        </w:rPr>
        <w:t> $11.8 million, $9.9 mil</w:t>
      </w:r>
      <w:r>
        <w:rPr>
          <w:rFonts w:ascii="Times New Roman;Times;serif" w:hAnsi="Times New Roman;Times;serif"/>
          <w:sz w:val="20"/>
        </w:rPr>
        <w:t>lion and $8.6 million, respectively. </w:t>
      </w:r>
      <w:r>
        <w:rPr>
          <w:rFonts w:ascii="Times New Roman;Times;serif" w:hAnsi="Times New Roman;Times;serif"/>
          <w:sz w:val="20"/>
          <w:shd w:fill="FFFFFF" w:val="clear"/>
        </w:rPr>
        <w:t xml:space="preserve">At </w:t>
      </w:r>
      <w:r>
        <w:rPr>
          <w:rStyle w:val="Emphasis"/>
          <w:rFonts w:ascii="Times New Roman;Times;serif" w:hAnsi="Times New Roman;Times;serif"/>
          <w:sz w:val="20"/>
        </w:rPr>
        <w:t>December 31, 2025</w:t>
      </w:r>
      <w:r>
        <w:rPr>
          <w:rFonts w:ascii="Times New Roman;Times;serif" w:hAnsi="Times New Roman;Times;serif"/>
          <w:sz w:val="20"/>
        </w:rPr>
        <w:t>, no property was classified as assets held for sale within other current assets on the accompanying condensed consolidated balance sheets. </w:t>
      </w:r>
      <w:r>
        <w:rPr>
          <w:rFonts w:ascii="Times New Roman;Times;serif" w:hAnsi="Times New Roman;Times;serif"/>
          <w:sz w:val="20"/>
          <w:shd w:fill="FFFFFF" w:val="clear"/>
        </w:rPr>
        <w:t>At </w:t>
      </w:r>
      <w:r>
        <w:rPr>
          <w:rStyle w:val="Emphasis"/>
          <w:rFonts w:ascii="Times New Roman;Times;serif" w:hAnsi="Times New Roman;Times;serif"/>
          <w:sz w:val="20"/>
        </w:rPr>
        <w:t xml:space="preserve"> December 31, 2024</w:t>
      </w:r>
      <w:r>
        <w:rPr>
          <w:rFonts w:ascii="Times New Roman;Times;serif" w:hAnsi="Times New Roman;Times;serif"/>
          <w:sz w:val="20"/>
          <w:shd w:fill="FFFFFF" w:val="clear"/>
        </w:rPr>
        <w:t>, a total of $2.1 million of property was classified as assets held for sale on the accompanying consolidated balance sheet related to several buildings in Zhongshan, PRC and Glen Rock, Pennsylvania. </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395" w:type="dxa"/>
        <w:jc w:val="left"/>
        <w:tblInd w:w="0" w:type="dxa"/>
        <w:tblLayout w:type="fixed"/>
        <w:tblCellMar>
          <w:top w:w="0" w:type="dxa"/>
          <w:left w:w="0" w:type="dxa"/>
          <w:bottom w:w="0" w:type="dxa"/>
          <w:right w:w="0" w:type="dxa"/>
        </w:tblCellMar>
      </w:tblPr>
      <w:tblGrid>
        <w:gridCol w:w="560"/>
        <w:gridCol w:w="1835"/>
      </w:tblGrid>
      <w:tr>
        <w:trPr/>
        <w:tc>
          <w:tcPr>
            <w:tcW w:w="560" w:type="dxa"/>
            <w:tcBorders/>
            <w:vAlign w:val="center"/>
          </w:tcPr>
          <w:p>
            <w:pPr>
              <w:pStyle w:val="TableContents"/>
              <w:bidi w:val="0"/>
              <w:spacing w:before="0" w:after="283"/>
              <w:jc w:val="left"/>
              <w:rPr/>
            </w:pPr>
            <w:r>
              <w:rPr>
                <w:rStyle w:val="Emphasis"/>
              </w:rPr>
              <w:t>10.</w:t>
            </w:r>
            <w:r>
              <w:rPr/>
              <w:t>    </w:t>
            </w:r>
          </w:p>
        </w:tc>
        <w:tc>
          <w:tcPr>
            <w:tcW w:w="1835" w:type="dxa"/>
            <w:tcBorders/>
            <w:vAlign w:val="center"/>
          </w:tcPr>
          <w:p>
            <w:pPr>
              <w:pStyle w:val="TableContents"/>
              <w:bidi w:val="0"/>
              <w:spacing w:before="0" w:after="283"/>
              <w:jc w:val="left"/>
              <w:rPr/>
            </w:pPr>
            <w:r>
              <w:rPr/>
              <w:t>INCOME TAXES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and its subsidiaries file income tax returns in the U.S. federal jurisdiction and various states and foreign jurisdictions. The Company is </w:t>
      </w:r>
      <w:r>
        <w:rPr>
          <w:rStyle w:val="Emphasis"/>
          <w:rFonts w:ascii="Times New Roman;Times;serif" w:hAnsi="Times New Roman;Times;serif"/>
          <w:sz w:val="20"/>
        </w:rPr>
        <w:t>no</w:t>
      </w:r>
      <w:r>
        <w:rPr>
          <w:rFonts w:ascii="Times New Roman;Times;serif" w:hAnsi="Times New Roman;Times;serif"/>
          <w:sz w:val="20"/>
        </w:rPr>
        <w:t xml:space="preserve"> longer subject to U.S. federal examinations by tax authorities for years before </w:t>
      </w:r>
      <w:r>
        <w:rPr>
          <w:rStyle w:val="Emphasis"/>
          <w:rFonts w:ascii="Times New Roman;Times;serif" w:hAnsi="Times New Roman;Times;serif"/>
          <w:sz w:val="20"/>
        </w:rPr>
        <w:t>2022</w:t>
      </w:r>
      <w:r>
        <w:rPr>
          <w:rFonts w:ascii="Times New Roman;Times;serif" w:hAnsi="Times New Roman;Times;serif"/>
          <w:sz w:val="20"/>
        </w:rPr>
        <w:t xml:space="preserve"> and for state examinations before </w:t>
      </w:r>
      <w:r>
        <w:rPr>
          <w:rStyle w:val="Emphasis"/>
          <w:rFonts w:ascii="Times New Roman;Times;serif" w:hAnsi="Times New Roman;Times;serif"/>
          <w:sz w:val="20"/>
        </w:rPr>
        <w:t>2019.</w:t>
      </w:r>
      <w:r>
        <w:rPr>
          <w:rFonts w:ascii="Times New Roman;Times;serif" w:hAnsi="Times New Roman;Times;serif"/>
          <w:sz w:val="20"/>
        </w:rPr>
        <w:t xml:space="preserve"> Regarding foreign subsidiaries, the Company is </w:t>
      </w:r>
      <w:r>
        <w:rPr>
          <w:rStyle w:val="Emphasis"/>
          <w:rFonts w:ascii="Times New Roman;Times;serif" w:hAnsi="Times New Roman;Times;serif"/>
          <w:sz w:val="20"/>
        </w:rPr>
        <w:t>no</w:t>
      </w:r>
      <w:r>
        <w:rPr>
          <w:rFonts w:ascii="Times New Roman;Times;serif" w:hAnsi="Times New Roman;Times;serif"/>
          <w:sz w:val="20"/>
        </w:rPr>
        <w:t xml:space="preserve"> longer subject to examination by tax authorities for years before </w:t>
      </w:r>
      <w:r>
        <w:rPr>
          <w:rStyle w:val="Emphasis"/>
          <w:rFonts w:ascii="Times New Roman;Times;serif" w:hAnsi="Times New Roman;Times;serif"/>
          <w:sz w:val="20"/>
        </w:rPr>
        <w:t>2015</w:t>
      </w:r>
      <w:r>
        <w:rPr>
          <w:rFonts w:ascii="Times New Roman;Times;serif" w:hAnsi="Times New Roman;Times;serif"/>
          <w:sz w:val="20"/>
        </w:rPr>
        <w:t xml:space="preserve"> in Asia and generally </w:t>
      </w:r>
      <w:r>
        <w:rPr>
          <w:rStyle w:val="Emphasis"/>
          <w:rFonts w:ascii="Times New Roman;Times;serif" w:hAnsi="Times New Roman;Times;serif"/>
          <w:sz w:val="20"/>
        </w:rPr>
        <w:t>2017</w:t>
      </w:r>
      <w:r>
        <w:rPr>
          <w:rFonts w:ascii="Times New Roman;Times;serif" w:hAnsi="Times New Roman;Times;serif"/>
          <w:sz w:val="20"/>
        </w:rPr>
        <w:t xml:space="preserve"> in Europe.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4, 2025, </w:t>
      </w:r>
      <w:r>
        <w:rPr>
          <w:rFonts w:ascii="Times New Roman" w:hAnsi="Times New Roman"/>
          <w:caps w:val="false"/>
          <w:smallCaps w:val="false"/>
          <w:sz w:val="20"/>
        </w:rPr>
        <w:t xml:space="preserve">the United States Congress enacted The One Big Beautiful Bill Act (the “Act”) which includes several significant corporate provisions, including the restoration of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bonus depreciation; the immediate expensing of domestic research and experimentation expenditures; modifications to the Section </w:t>
      </w:r>
      <w:r>
        <w:rPr>
          <w:rStyle w:val="Emphasis"/>
          <w:rFonts w:ascii="Times New Roman" w:hAnsi="Times New Roman"/>
          <w:caps w:val="false"/>
          <w:smallCaps w:val="false"/>
          <w:sz w:val="20"/>
        </w:rPr>
        <w:t>163</w:t>
      </w:r>
      <w:r>
        <w:rPr>
          <w:rFonts w:ascii="Times New Roman" w:hAnsi="Times New Roman"/>
          <w:caps w:val="false"/>
          <w:smallCaps w:val="false"/>
          <w:sz w:val="20"/>
        </w:rPr>
        <w:t xml:space="preserve">(j) interest limitations; and updates to the rules for global intangible low-taxes income and foreign-derived intangible income. The Company recognized the impacts of the Act provisions in our financial results to the extent they are applicable to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We will continue to evaluate the impact of these provisions on our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subsequent consolidated financial statements, including impacts to our international tax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Election to Expense Domestic Research and Experimentation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the requirements of Section </w:t>
      </w:r>
      <w:r>
        <w:rPr>
          <w:rStyle w:val="Emphasis"/>
          <w:rFonts w:ascii="Times New Roman" w:hAnsi="Times New Roman"/>
          <w:caps w:val="false"/>
          <w:smallCaps w:val="false"/>
          <w:sz w:val="20"/>
        </w:rPr>
        <w:t>174</w:t>
      </w:r>
      <w:r>
        <w:rPr>
          <w:rFonts w:ascii="Times New Roman" w:hAnsi="Times New Roman"/>
          <w:caps w:val="false"/>
          <w:smallCaps w:val="false"/>
          <w:sz w:val="20"/>
        </w:rPr>
        <w:t xml:space="preserve"> of the Internal Revenue Code, effective for the years beginning after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taxpayers are required to capitalize and amortize domestic research and experimentation (R&amp;E) expenditures over a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-year period.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elected, pursuant to provisions issued under the Act to expense over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years the prior year capitalization of domestic R&amp;E.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result of this election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an accelerated deduction for previously capitalized R&amp;E expenditures incurred in the prior year, resulting in a reduction in taxable income for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of approximately $11.4 million. The Company’s deferred tax assets reflect the impact of the election, and the Company believes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its deferred tax assets will be realized, based on the Company’s forecasted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income from operations before income taxes and the provision for income taxes are as follows: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Domestic and foreign income before taxes is as follows:</w:t>
      </w:r>
    </w:p>
    <w:p>
      <w:pPr>
        <w:pStyle w:val="TextBody"/>
        <w:bidi w:val="0"/>
        <w:spacing w:before="0" w:after="0"/>
        <w:ind w:left="0" w:right="0" w:hanging="0"/>
        <w:jc w:val="both"/>
        <w:rPr/>
      </w:pPr>
      <w:r>
        <w:rPr/>
        <w:t> </w:t>
      </w:r>
    </w:p>
    <w:tbl>
      <w:tblPr>
        <w:tblW w:w="3290" w:type="dxa"/>
        <w:jc w:val="left"/>
        <w:tblInd w:w="0" w:type="dxa"/>
        <w:tblLayout w:type="fixed"/>
        <w:tblCellMar>
          <w:top w:w="0" w:type="dxa"/>
          <w:left w:w="0" w:type="dxa"/>
          <w:bottom w:w="0" w:type="dxa"/>
          <w:right w:w="0" w:type="dxa"/>
        </w:tblCellMar>
      </w:tblPr>
      <w:tblGrid>
        <w:gridCol w:w="785"/>
        <w:gridCol w:w="60"/>
        <w:gridCol w:w="125"/>
        <w:gridCol w:w="590"/>
        <w:gridCol w:w="60"/>
        <w:gridCol w:w="60"/>
        <w:gridCol w:w="125"/>
        <w:gridCol w:w="590"/>
        <w:gridCol w:w="60"/>
        <w:gridCol w:w="60"/>
        <w:gridCol w:w="125"/>
        <w:gridCol w:w="590"/>
        <w:gridCol w:w="60"/>
      </w:tblGrid>
      <w:tr>
        <w:trPr/>
        <w:tc>
          <w:tcPr>
            <w:tcW w:w="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December 31,</w:t>
            </w:r>
          </w:p>
        </w:tc>
        <w:tc>
          <w:tcPr>
            <w:tcW w:w="60" w:type="dxa"/>
            <w:tcBorders/>
            <w:shd w:fill="FFFF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Domestic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51,550</w:t>
            </w:r>
          </w:p>
        </w:tc>
        <w:tc>
          <w:tcPr>
            <w:tcW w:w="60" w:type="dxa"/>
            <w:tcBorders/>
            <w:shd w:fill="CCEE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31,750</w:t>
            </w:r>
          </w:p>
        </w:tc>
        <w:tc>
          <w:tcPr>
            <w:tcW w:w="60" w:type="dxa"/>
            <w:tcBorders/>
            <w:shd w:fill="FFFFFF" w:val="clear"/>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Federal, state and foreign income tax expense (benefit) consists of the following:</w:t>
      </w:r>
    </w:p>
    <w:p>
      <w:pPr>
        <w:pStyle w:val="TextBody"/>
        <w:bidi w:val="0"/>
        <w:spacing w:before="0" w:after="0"/>
        <w:ind w:left="0" w:right="0" w:hanging="0"/>
        <w:jc w:val="both"/>
        <w:rPr/>
      </w:pPr>
      <w:r>
        <w:rPr/>
        <w:t> </w:t>
      </w:r>
    </w:p>
    <w:tbl>
      <w:tblPr>
        <w:tblW w:w="3315" w:type="dxa"/>
        <w:jc w:val="left"/>
        <w:tblInd w:w="0" w:type="dxa"/>
        <w:tblLayout w:type="fixed"/>
        <w:tblCellMar>
          <w:top w:w="0" w:type="dxa"/>
          <w:left w:w="0" w:type="dxa"/>
          <w:bottom w:w="0" w:type="dxa"/>
          <w:right w:w="0" w:type="dxa"/>
        </w:tblCellMar>
      </w:tblPr>
      <w:tblGrid>
        <w:gridCol w:w="770"/>
        <w:gridCol w:w="60"/>
        <w:gridCol w:w="125"/>
        <w:gridCol w:w="590"/>
        <w:gridCol w:w="60"/>
        <w:gridCol w:w="60"/>
        <w:gridCol w:w="125"/>
        <w:gridCol w:w="590"/>
        <w:gridCol w:w="80"/>
        <w:gridCol w:w="60"/>
        <w:gridCol w:w="125"/>
        <w:gridCol w:w="590"/>
        <w:gridCol w:w="80"/>
      </w:tblGrid>
      <w:tr>
        <w:trPr/>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11,403</w:t>
            </w:r>
          </w:p>
        </w:tc>
        <w:tc>
          <w:tcPr>
            <w:tcW w:w="8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w:t>
            </w:r>
          </w:p>
        </w:tc>
        <w:tc>
          <w:tcPr>
            <w:tcW w:w="8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w:t>
            </w:r>
          </w:p>
        </w:tc>
        <w:tc>
          <w:tcPr>
            <w:tcW w:w="8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13,341</w:t>
            </w:r>
          </w:p>
        </w:tc>
        <w:tc>
          <w:tcPr>
            <w:tcW w:w="8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Upon adoption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Improvements to Income Tax Disclosures, as described in Note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Fonts w:ascii="Times New Roman" w:hAnsi="Times New Roman"/>
          <w:i/>
          <w:caps w:val="false"/>
          <w:smallCaps w:val="false"/>
          <w:sz w:val="20"/>
        </w:rPr>
        <w:t>Description of Business and Summary of Significant Accounting Policies</w:t>
      </w:r>
      <w:r>
        <w:rPr>
          <w:rFonts w:ascii="Times New Roman" w:hAnsi="Times New Roman"/>
          <w:caps w:val="false"/>
          <w:smallCaps w:val="false"/>
          <w:sz w:val="20"/>
        </w:rPr>
        <w:t>" under the caption “</w:t>
      </w:r>
      <w:r>
        <w:rPr>
          <w:rFonts w:ascii="Times New Roman" w:hAnsi="Times New Roman"/>
          <w:i/>
          <w:caps w:val="false"/>
          <w:smallCaps w:val="false"/>
          <w:sz w:val="20"/>
        </w:rPr>
        <w:t>Recently Issued Accounting Standards – Recently Adopted Accounting Standards</w:t>
      </w:r>
      <w:r>
        <w:rPr>
          <w:rFonts w:ascii="Times New Roman" w:hAnsi="Times New Roman"/>
          <w:caps w:val="false"/>
          <w:smallCaps w:val="false"/>
          <w:sz w:val="20"/>
        </w:rPr>
        <w:t>”, the reconciliation of taxes at the federal statutory rate to our provision for income taxes was as follows: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9"/>
        <w:gridCol w:w="60"/>
        <w:gridCol w:w="125"/>
        <w:gridCol w:w="920"/>
        <w:gridCol w:w="80"/>
        <w:gridCol w:w="60"/>
        <w:gridCol w:w="60"/>
        <w:gridCol w:w="620"/>
        <w:gridCol w:w="185"/>
        <w:gridCol w:w="60"/>
        <w:gridCol w:w="125"/>
        <w:gridCol w:w="920"/>
        <w:gridCol w:w="80"/>
        <w:gridCol w:w="60"/>
        <w:gridCol w:w="60"/>
        <w:gridCol w:w="620"/>
        <w:gridCol w:w="185"/>
        <w:gridCol w:w="60"/>
        <w:gridCol w:w="125"/>
        <w:gridCol w:w="920"/>
        <w:gridCol w:w="80"/>
        <w:gridCol w:w="60"/>
        <w:gridCol w:w="60"/>
        <w:gridCol w:w="620"/>
        <w:gridCol w:w="191"/>
      </w:tblGrid>
      <w:tr>
        <w:trPr/>
        <w:tc>
          <w:tcPr>
            <w:tcW w:w="3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8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December 31,</w:t>
            </w:r>
          </w:p>
        </w:tc>
        <w:tc>
          <w:tcPr>
            <w:tcW w:w="191" w:type="dxa"/>
            <w:tcBorders/>
            <w:shd w:fill="FFFFFF" w:val="clear"/>
            <w:vAlign w:val="center"/>
          </w:tcPr>
          <w:p>
            <w:pPr>
              <w:pStyle w:val="TableContents"/>
              <w:bidi w:val="0"/>
              <w:spacing w:before="0" w:after="283"/>
              <w:jc w:val="left"/>
              <w:rPr/>
            </w:pPr>
            <w:r>
              <w:rPr/>
              <w:t> </w:t>
            </w:r>
          </w:p>
        </w:tc>
      </w:tr>
      <w:tr>
        <w:trPr/>
        <w:tc>
          <w:tcPr>
            <w:tcW w:w="3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191" w:type="dxa"/>
            <w:tcBorders/>
            <w:shd w:fill="FFFFFF" w:val="clear"/>
            <w:vAlign w:val="center"/>
          </w:tcPr>
          <w:p>
            <w:pPr>
              <w:pStyle w:val="TableContents"/>
              <w:bidi w:val="0"/>
              <w:spacing w:before="0" w:after="283"/>
              <w:jc w:val="left"/>
              <w:rPr/>
            </w:pPr>
            <w:r>
              <w:rPr/>
              <w:t> </w:t>
            </w:r>
          </w:p>
        </w:tc>
      </w:tr>
      <w:tr>
        <w:trPr/>
        <w:tc>
          <w:tcPr>
            <w:tcW w:w="3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Tax Expense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Tax Rate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Tax Expense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Tax Rate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Tax Expense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20"/>
              </w:rPr>
              <w:t>Tax Rate</w:t>
            </w:r>
          </w:p>
        </w:tc>
        <w:tc>
          <w:tcPr>
            <w:tcW w:w="191" w:type="dxa"/>
            <w:tcBorders/>
            <w:shd w:fill="FFFFFF" w:val="clear"/>
            <w:vAlign w:val="center"/>
          </w:tcPr>
          <w:p>
            <w:pPr>
              <w:pStyle w:val="TableContents"/>
              <w:bidi w:val="0"/>
              <w:spacing w:before="0" w:after="283"/>
              <w:jc w:val="left"/>
              <w:rPr/>
            </w:pPr>
            <w:r>
              <w:rPr/>
              <w:t> </w:t>
            </w:r>
          </w:p>
        </w:tc>
      </w:tr>
      <w:tr>
        <w:trPr/>
        <w:tc>
          <w:tcPr>
            <w:tcW w:w="38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Federal statutory income tax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State and local income taxes, net of federal income tax effect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Tax Effects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386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Macau</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869"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Rate differential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Adjustments relating to prior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386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Rate differential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Nontaxable controlled foreign corporation ("CFC")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Withholding tax on Dividends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foreign jurisdictions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91"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changes in tax laws/rates enacted in the current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386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cross-border tax laws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86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Global intangible low-taxed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Foreign-derived intangible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Adjustments to transition tax</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86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Research and development tax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w:t>
            </w:r>
          </w:p>
        </w:tc>
        <w:tc>
          <w:tcPr>
            <w:tcW w:w="19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r>
      <w:tr>
        <w:trPr/>
        <w:tc>
          <w:tcPr>
            <w:tcW w:w="386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Share-based payment awards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Change in COLI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Intercompany bad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Section 162(m) limitation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unrecognized tax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9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The states and local jurisdictions that contribute the majority (greater than </w:t>
      </w:r>
      <w:r>
        <w:rPr>
          <w:rStyle w:val="Emphasis"/>
          <w:rFonts w:ascii="Times New Roman;Times;serif" w:hAnsi="Times New Roman;Times;serif"/>
          <w:sz w:val="20"/>
        </w:rPr>
        <w:t>50%</w:t>
      </w:r>
      <w:r>
        <w:rPr>
          <w:rFonts w:ascii="Times New Roman;Times;serif" w:hAnsi="Times New Roman;Times;serif"/>
          <w:sz w:val="20"/>
        </w:rPr>
        <w:t>) of the tax effect in this category include Minnesota, California, Florida, and New Jersey.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Upon adoption of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09,</w:t>
      </w:r>
      <w:r>
        <w:rPr>
          <w:rFonts w:ascii="Times New Roman;Times;serif" w:hAnsi="Times New Roman;Times;serif"/>
          <w:sz w:val="20"/>
        </w:rPr>
        <w:t xml:space="preserve"> Improvements to Income Tax Disclosures, as described in Note </w:t>
      </w:r>
      <w:r>
        <w:rPr>
          <w:rStyle w:val="Emphasis"/>
          <w:rFonts w:ascii="Times New Roman;Times;serif" w:hAnsi="Times New Roman;Times;serif"/>
          <w:sz w:val="20"/>
        </w:rPr>
        <w:t>1,</w:t>
      </w:r>
      <w:r>
        <w:rPr>
          <w:rFonts w:ascii="Times New Roman;Times;serif" w:hAnsi="Times New Roman;Times;serif"/>
          <w:sz w:val="20"/>
        </w:rPr>
        <w:t xml:space="preserve"> "</w:t>
      </w:r>
      <w:r>
        <w:rPr>
          <w:rFonts w:ascii="Times New Roman;Times;serif" w:hAnsi="Times New Roman;Times;serif"/>
          <w:i/>
          <w:sz w:val="20"/>
        </w:rPr>
        <w:t>Description of Business and Summary of Significant Accounting Policies</w:t>
      </w:r>
      <w:r>
        <w:rPr>
          <w:rFonts w:ascii="Times New Roman;Times;serif" w:hAnsi="Times New Roman;Times;serif"/>
          <w:sz w:val="20"/>
        </w:rPr>
        <w:t>" under the caption “</w:t>
      </w:r>
      <w:r>
        <w:rPr>
          <w:rFonts w:ascii="Times New Roman;Times;serif" w:hAnsi="Times New Roman;Times;serif"/>
          <w:i/>
          <w:sz w:val="20"/>
        </w:rPr>
        <w:t>Recently Issued Accounting Standards – Recently Adopted Accounting Standards</w:t>
      </w:r>
      <w:r>
        <w:rPr>
          <w:rFonts w:ascii="Times New Roman;Times;serif" w:hAnsi="Times New Roman;Times;serif"/>
          <w:sz w:val="20"/>
        </w:rPr>
        <w:t>”, cash paid for income taxes, net of refunds, was as follows: </w:t>
      </w:r>
    </w:p>
    <w:p>
      <w:pPr>
        <w:pStyle w:val="TextBody"/>
        <w:bidi w:val="0"/>
        <w:spacing w:before="0" w:after="0"/>
        <w:ind w:left="0" w:right="0" w:hanging="0"/>
        <w:jc w:val="both"/>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1985"/>
        <w:gridCol w:w="60"/>
        <w:gridCol w:w="125"/>
        <w:gridCol w:w="590"/>
        <w:gridCol w:w="60"/>
        <w:gridCol w:w="60"/>
        <w:gridCol w:w="125"/>
        <w:gridCol w:w="590"/>
        <w:gridCol w:w="60"/>
        <w:gridCol w:w="60"/>
        <w:gridCol w:w="125"/>
        <w:gridCol w:w="590"/>
        <w:gridCol w:w="75"/>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December 31,</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Federal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19,003</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Slovakia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Macau</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Israel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w:t>
            </w:r>
          </w:p>
        </w:tc>
        <w:tc>
          <w:tcPr>
            <w:tcW w:w="75"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foreign taxes paid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w:t>
            </w:r>
          </w:p>
        </w:tc>
        <w:tc>
          <w:tcPr>
            <w:tcW w:w="7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taxes paid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the Company has gross foreign net operating losses (“NOLs”) of $14.8 million and $14.4 million which amount to $3.9 million of deferred tax assets for each period. The Company has </w:t>
      </w:r>
      <w:r>
        <w:rPr>
          <w:rStyle w:val="Emphasis"/>
          <w:rFonts w:ascii="Times New Roman;Times;serif" w:hAnsi="Times New Roman;Times;serif"/>
          <w:sz w:val="20"/>
        </w:rPr>
        <w:t>no</w:t>
      </w:r>
      <w:r>
        <w:rPr>
          <w:rFonts w:ascii="Times New Roman;Times;serif" w:hAnsi="Times New Roman;Times;serif"/>
          <w:sz w:val="20"/>
        </w:rPr>
        <w:t xml:space="preserve"> federal or state NOLs during these periods. In addition, the Company has $0.2 million and $0.3 million of credit carryforwards for each period. The Company believes that it is more likely than </w:t>
      </w:r>
      <w:r>
        <w:rPr>
          <w:rStyle w:val="Emphasis"/>
          <w:rFonts w:ascii="Times New Roman;Times;serif" w:hAnsi="Times New Roman;Times;serif"/>
          <w:sz w:val="20"/>
        </w:rPr>
        <w:t>not</w:t>
      </w:r>
      <w:r>
        <w:rPr>
          <w:rFonts w:ascii="Times New Roman;Times;serif" w:hAnsi="Times New Roman;Times;serif"/>
          <w:sz w:val="20"/>
        </w:rPr>
        <w:t xml:space="preserve"> that the benefit arising from certain NOL, credit carryforwards and acquisition assets will </w:t>
      </w:r>
      <w:r>
        <w:rPr>
          <w:rStyle w:val="Emphasis"/>
          <w:rFonts w:ascii="Times New Roman;Times;serif" w:hAnsi="Times New Roman;Times;serif"/>
          <w:sz w:val="20"/>
        </w:rPr>
        <w:t>not</w:t>
      </w:r>
      <w:r>
        <w:rPr>
          <w:rFonts w:ascii="Times New Roman;Times;serif" w:hAnsi="Times New Roman;Times;serif"/>
          <w:sz w:val="20"/>
        </w:rPr>
        <w:t xml:space="preserve"> be realized. In recognition of this risk, the Company has provided a valuation allowance of $2.1 million and $1.8 million on these deferred tax assets for each period. The federal and certain foreign NOLs can be carried forward indefinitely, the state and certain foreign NOLs expire at various times during </w:t>
      </w:r>
      <w:r>
        <w:rPr>
          <w:rStyle w:val="Emphasis"/>
          <w:rFonts w:ascii="Times New Roman;Times;serif" w:hAnsi="Times New Roman;Times;serif"/>
          <w:sz w:val="20"/>
        </w:rPr>
        <w:t>2029</w:t>
      </w:r>
      <w:r>
        <w:rPr>
          <w:rFonts w:ascii="Times New Roman;Times;serif" w:hAnsi="Times New Roman;Times;serif"/>
          <w:sz w:val="20"/>
        </w:rPr>
        <w:t xml:space="preserve"> – </w:t>
      </w:r>
      <w:r>
        <w:rPr>
          <w:rStyle w:val="Emphasis"/>
          <w:rFonts w:ascii="Times New Roman;Times;serif" w:hAnsi="Times New Roman;Times;serif"/>
          <w:sz w:val="20"/>
        </w:rPr>
        <w:t>2044</w:t>
      </w:r>
      <w:r>
        <w:rPr>
          <w:rFonts w:ascii="Times New Roman;Times;serif" w:hAnsi="Times New Roman;Times;serif"/>
          <w:sz w:val="20"/>
        </w:rPr>
        <w:t xml:space="preserve"> and the tax credit carryforwards expire at various times during </w:t>
      </w:r>
      <w:r>
        <w:rPr>
          <w:rStyle w:val="Emphasis"/>
          <w:rFonts w:ascii="Times New Roman;Times;serif" w:hAnsi="Times New Roman;Times;serif"/>
          <w:sz w:val="20"/>
        </w:rPr>
        <w:t>2032</w:t>
      </w:r>
      <w:r>
        <w:rPr>
          <w:rFonts w:ascii="Times New Roman;Times;serif" w:hAnsi="Times New Roman;Times;serif"/>
          <w:sz w:val="20"/>
        </w:rPr>
        <w:t xml:space="preserve"> – </w:t>
      </w:r>
      <w:r>
        <w:rPr>
          <w:rStyle w:val="Emphasis"/>
          <w:rFonts w:ascii="Times New Roman;Times;serif" w:hAnsi="Times New Roman;Times;serif"/>
          <w:sz w:val="20"/>
        </w:rPr>
        <w:t>2044.</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indefinitely reinvested with respect to undistributed earnings from some of our Asian subsidiaries.  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deferred tax expense recorded for foreign tax costs associated with the future remittance of these undistributed earnings.  The Company remains permanently reinvested with respect to undistributed earnings from our other foreign subsidiaries.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practicable to estimate the amount of deferred tax liability, if any, with respect to these permanently reinvested undistributed earnings.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Components of deferred income tax assets and liabilities are as follows:</w:t>
      </w:r>
    </w:p>
    <w:p>
      <w:pPr>
        <w:pStyle w:val="TextBody"/>
        <w:bidi w:val="0"/>
        <w:spacing w:before="0" w:after="0"/>
        <w:ind w:left="0" w:right="0" w:hanging="0"/>
        <w:jc w:val="both"/>
        <w:rPr/>
      </w:pPr>
      <w:r>
        <w:rPr/>
        <w:t> </w:t>
      </w:r>
    </w:p>
    <w:tbl>
      <w:tblPr>
        <w:tblW w:w="7688" w:type="dxa"/>
        <w:jc w:val="left"/>
        <w:tblInd w:w="0" w:type="dxa"/>
        <w:tblLayout w:type="fixed"/>
        <w:tblCellMar>
          <w:top w:w="0" w:type="dxa"/>
          <w:left w:w="0" w:type="dxa"/>
          <w:bottom w:w="0" w:type="dxa"/>
          <w:right w:w="0" w:type="dxa"/>
        </w:tblCellMar>
      </w:tblPr>
      <w:tblGrid>
        <w:gridCol w:w="5720"/>
        <w:gridCol w:w="60"/>
        <w:gridCol w:w="136"/>
        <w:gridCol w:w="708"/>
        <w:gridCol w:w="80"/>
        <w:gridCol w:w="60"/>
        <w:gridCol w:w="136"/>
        <w:gridCol w:w="708"/>
        <w:gridCol w:w="80"/>
      </w:tblGrid>
      <w:tr>
        <w:trPr/>
        <w:tc>
          <w:tcPr>
            <w:tcW w:w="5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Tax Effect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Tax Effect</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State tax credits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Reserves and accruals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6,970</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Federal, state and foreign net operating loss and credit carryforwards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4,247</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Amortization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9,845</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Lease accounting</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6,157</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accruals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6,054</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Total deferred tax assets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33,747</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7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29,154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31,903</w:t>
            </w:r>
          </w:p>
        </w:tc>
        <w:tc>
          <w:tcPr>
            <w:tcW w:w="80" w:type="dxa"/>
            <w:tcBorders/>
            <w:shd w:fill="CCEEFF" w:val="clear"/>
            <w:vAlign w:val="center"/>
          </w:tcPr>
          <w:p>
            <w:pPr>
              <w:pStyle w:val="TableContents"/>
              <w:bidi w:val="0"/>
              <w:spacing w:before="0" w:after="0"/>
              <w:jc w:val="left"/>
              <w:rPr/>
            </w:pPr>
            <w:r>
              <w:rPr/>
              <w:t> </w:t>
            </w:r>
          </w:p>
        </w:tc>
      </w:tr>
      <w:tr>
        <w:trPr/>
        <w:tc>
          <w:tcPr>
            <w:tcW w:w="57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Unfunded pension liability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Amortization</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34,903</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Lease accounting</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5,960</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accruals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w:t>
            </w:r>
          </w:p>
        </w:tc>
        <w:tc>
          <w:tcPr>
            <w:tcW w:w="80" w:type="dxa"/>
            <w:tcBorders/>
            <w:shd w:fill="CCEEFF" w:val="clear"/>
            <w:vAlign w:val="center"/>
          </w:tcPr>
          <w:p>
            <w:pPr>
              <w:pStyle w:val="TableContents"/>
              <w:bidi w:val="0"/>
              <w:spacing w:before="0" w:after="283"/>
              <w:jc w:val="left"/>
              <w:rPr/>
            </w:pPr>
            <w:r>
              <w:rPr/>
              <w:t> </w:t>
            </w:r>
          </w:p>
        </w:tc>
      </w:tr>
      <w:tr>
        <w:trPr/>
        <w:tc>
          <w:tcPr>
            <w:tcW w:w="572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44,389</w:t>
            </w:r>
          </w:p>
        </w:tc>
        <w:tc>
          <w:tcPr>
            <w:tcW w:w="80" w:type="dxa"/>
            <w:tcBorders/>
            <w:shd w:fill="FFFFFF" w:val="clear"/>
            <w:vAlign w:val="center"/>
          </w:tcPr>
          <w:p>
            <w:pPr>
              <w:pStyle w:val="TableContents"/>
              <w:bidi w:val="0"/>
              <w:spacing w:before="0" w:after="283"/>
              <w:jc w:val="left"/>
              <w:rPr/>
            </w:pPr>
            <w:r>
              <w:rPr/>
              <w:t> </w:t>
            </w:r>
          </w:p>
        </w:tc>
      </w:tr>
      <w:tr>
        <w:trPr/>
        <w:tc>
          <w:tcPr>
            <w:tcW w:w="572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Net deferred tax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has approximately $17.5 million, $18.1 million and $19.8 million, respectively, of liabilities for uncertain tax positions. These amounts, if recognized, would reduce the Company’s effective tax rate.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approximately $2.0 million of the Company’s liabilities for uncertain tax positions are expected to be resolved during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by way of expiration of the related statutes of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the beginning and ending amount of the liability for uncertain tax positions, including the portion included in income taxes payable, is as follows:</w:t>
      </w:r>
    </w:p>
    <w:p>
      <w:pPr>
        <w:pStyle w:val="TextBody"/>
        <w:bidi w:val="0"/>
        <w:spacing w:before="0" w:after="0"/>
        <w:ind w:left="0" w:right="0" w:hanging="0"/>
        <w:jc w:val="both"/>
        <w:rPr/>
      </w:pPr>
      <w:r>
        <w:rPr/>
        <w:t> </w:t>
      </w:r>
    </w:p>
    <w:tbl>
      <w:tblPr>
        <w:tblW w:w="7062" w:type="dxa"/>
        <w:jc w:val="left"/>
        <w:tblInd w:w="0" w:type="dxa"/>
        <w:tblLayout w:type="fixed"/>
        <w:tblCellMar>
          <w:top w:w="0" w:type="dxa"/>
          <w:left w:w="0" w:type="dxa"/>
          <w:bottom w:w="0" w:type="dxa"/>
          <w:right w:w="0" w:type="dxa"/>
        </w:tblCellMar>
      </w:tblPr>
      <w:tblGrid>
        <w:gridCol w:w="4805"/>
        <w:gridCol w:w="60"/>
        <w:gridCol w:w="168"/>
        <w:gridCol w:w="796"/>
        <w:gridCol w:w="108"/>
        <w:gridCol w:w="81"/>
        <w:gridCol w:w="168"/>
        <w:gridCol w:w="796"/>
        <w:gridCol w:w="80"/>
      </w:tblGrid>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Liability for uncertain tax positions -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18,127</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19,823</w:t>
            </w:r>
          </w:p>
        </w:tc>
        <w:tc>
          <w:tcPr>
            <w:tcW w:w="8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based on tax positions related to the current year</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w:t>
            </w:r>
          </w:p>
        </w:tc>
        <w:tc>
          <w:tcPr>
            <w:tcW w:w="80"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Translation adjustment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Settlement/expiration of statutes of limitations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Liability for uncertain tax positions - December 31</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policy is to recognize interest and penalties related to uncertain tax positions as a component of the current provision for income taxes. During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recognized $0.2 million, $0.3 million and $0.4 million, respectively, in interest and penalties in the consolidated statements of operations. During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recognized a benefit of $0.4 million, $1.1 million and $2.3 million, respectively, for the reversal of such interest and penalties, relating to the expiration of statues of limitations and settlement of the acquired liability for uncertain tax positions. The Company has approximately $1.1 million, $1.2 million and $2.0 million accrued for the payment of interest and penalties at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respectively, which is included in both income taxes payable and liability for uncertain tax positions in the consolidated balance sheets.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05" w:type="dxa"/>
        <w:jc w:val="left"/>
        <w:tblInd w:w="0" w:type="dxa"/>
        <w:tblLayout w:type="fixed"/>
        <w:tblCellMar>
          <w:top w:w="0" w:type="dxa"/>
          <w:left w:w="0" w:type="dxa"/>
          <w:bottom w:w="0" w:type="dxa"/>
          <w:right w:w="0" w:type="dxa"/>
        </w:tblCellMar>
      </w:tblPr>
      <w:tblGrid>
        <w:gridCol w:w="275"/>
        <w:gridCol w:w="53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rPr>
              <w:t>11.</w:t>
            </w:r>
          </w:p>
        </w:tc>
        <w:tc>
          <w:tcPr>
            <w:tcW w:w="5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DEBT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a Credit and Security Agreement with KeyBank National Association (as amended, the "Credit Agreement" or the "CSA") which currently provides for a maximum revolving credit facility of $400 million. Prior to </w:t>
      </w:r>
      <w:r>
        <w:rPr>
          <w:rStyle w:val="Emphasis"/>
          <w:rFonts w:ascii="Times New Roman;Times;serif" w:hAnsi="Times New Roman;Times;serif"/>
          <w:sz w:val="20"/>
        </w:rPr>
        <w:t xml:space="preserve">May 2, 2025, </w:t>
      </w:r>
      <w:r>
        <w:rPr>
          <w:rFonts w:ascii="Times New Roman;Times;serif" w:hAnsi="Times New Roman;Times;serif"/>
          <w:sz w:val="20"/>
        </w:rPr>
        <w:t xml:space="preserve">the CSA had provided for a $325 million maximum revolving amount, approximately $240 million of which had been drawn in incremental borrowings in </w:t>
      </w:r>
      <w:r>
        <w:rPr>
          <w:rStyle w:val="Emphasis"/>
          <w:rFonts w:ascii="Times New Roman;Times;serif" w:hAnsi="Times New Roman;Times;serif"/>
          <w:sz w:val="20"/>
        </w:rPr>
        <w:t xml:space="preserve">November 2024 </w:t>
      </w:r>
      <w:r>
        <w:rPr>
          <w:rFonts w:ascii="Times New Roman;Times;serif" w:hAnsi="Times New Roman;Times;serif"/>
          <w:sz w:val="20"/>
        </w:rPr>
        <w:t xml:space="preserve">in order to finance a substantial portion of the closing cash payment associated with the Enercon acquisition. On </w:t>
      </w:r>
      <w:r>
        <w:rPr>
          <w:rStyle w:val="Emphasis"/>
          <w:rFonts w:ascii="Times New Roman;Times;serif" w:hAnsi="Times New Roman;Times;serif"/>
          <w:sz w:val="20"/>
        </w:rPr>
        <w:t xml:space="preserve">May 2, 2025, </w:t>
      </w:r>
      <w:r>
        <w:rPr>
          <w:rFonts w:ascii="Times New Roman;Times;serif" w:hAnsi="Times New Roman;Times;serif"/>
          <w:sz w:val="20"/>
        </w:rPr>
        <w:t xml:space="preserve">Bel entered into a Fourth Amendment Agreement (the “Fourth Amendment”) to the Credit Agreement, which made certain amendments to the Credit Agreement including: (i) increasing the maximum revolving amount from $325 million to $400 million pursuant to Section </w:t>
      </w:r>
      <w:r>
        <w:rPr>
          <w:rStyle w:val="Emphasis"/>
          <w:rFonts w:ascii="Times New Roman;Times;serif" w:hAnsi="Times New Roman;Times;serif"/>
          <w:sz w:val="20"/>
        </w:rPr>
        <w:t>2.10</w:t>
      </w:r>
      <w:r>
        <w:rPr>
          <w:rFonts w:ascii="Times New Roman;Times;serif" w:hAnsi="Times New Roman;Times;serif"/>
          <w:sz w:val="20"/>
        </w:rPr>
        <w:t xml:space="preserve">(b)(i)(A) of the Credit Agreement; (ii) extending the commitment period (and the final maturity for revolving loans borrowed under the Credit Agreement) to </w:t>
      </w:r>
      <w:r>
        <w:rPr>
          <w:rStyle w:val="Emphasis"/>
          <w:rFonts w:ascii="Times New Roman;Times;serif" w:hAnsi="Times New Roman;Times;serif"/>
          <w:sz w:val="20"/>
        </w:rPr>
        <w:t xml:space="preserve">September 1, 2028; </w:t>
      </w:r>
      <w:r>
        <w:rPr>
          <w:rFonts w:ascii="Times New Roman;Times;serif" w:hAnsi="Times New Roman;Times;serif"/>
          <w:sz w:val="20"/>
        </w:rPr>
        <w:t>and (iii) providing an incremental extension of credit to the Company of $75 million concurrently with the effectiveness of the Fourth Amendment, consisting of (</w:t>
      </w:r>
      <w:r>
        <w:rPr>
          <w:rStyle w:val="Emphasis"/>
          <w:rFonts w:ascii="Times New Roman;Times;serif" w:hAnsi="Times New Roman;Times;serif"/>
          <w:sz w:val="20"/>
        </w:rPr>
        <w:t>x</w:t>
      </w:r>
      <w:r>
        <w:rPr>
          <w:rFonts w:ascii="Times New Roman;Times;serif" w:hAnsi="Times New Roman;Times;serif"/>
          <w:sz w:val="20"/>
        </w:rPr>
        <w:t>) a $50 million commitment from Wells Fargo Bank, N.A., which joined the Credit Agreement as a new revolving lender pursuant to the Fourth Amendment, and (y) an aggregate $25 million commitment increase, on a pro rata basis, from the existing lenders party to the Credit Agreement.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Pursuant to the Fourth Amendment, the parties additionally agreed to the text of a Conformed Amended and Restated Credit and Security Agreement (the “Conformed Amended and Restated Credit and Security Agreement”), which amended and restated the text of the Credit Agreement including so as to reflect and integrate the changes implemented pursuant to the Fourth Amendment, as well as the changes implemented pursuant to the previously disclosed First Amendment Agreement dated as of </w:t>
      </w:r>
      <w:r>
        <w:rPr>
          <w:rStyle w:val="Emphasis"/>
          <w:rFonts w:ascii="Times New Roman" w:hAnsi="Times New Roman"/>
          <w:caps w:val="false"/>
          <w:smallCaps w:val="false"/>
          <w:sz w:val="20"/>
        </w:rPr>
        <w:t xml:space="preserve">January 12, 2023, </w:t>
      </w:r>
      <w:r>
        <w:rPr>
          <w:rFonts w:ascii="Times New Roman" w:hAnsi="Times New Roman"/>
          <w:caps w:val="false"/>
          <w:smallCaps w:val="false"/>
          <w:sz w:val="20"/>
        </w:rPr>
        <w:t xml:space="preserve">the Second Amendment Agreement dated as of </w:t>
      </w:r>
      <w:r>
        <w:rPr>
          <w:rStyle w:val="Emphasis"/>
          <w:rFonts w:ascii="Times New Roman" w:hAnsi="Times New Roman"/>
          <w:caps w:val="false"/>
          <w:smallCaps w:val="false"/>
          <w:sz w:val="20"/>
        </w:rPr>
        <w:t xml:space="preserve">September 18, 2024 </w:t>
      </w:r>
      <w:r>
        <w:rPr>
          <w:rFonts w:ascii="Times New Roman" w:hAnsi="Times New Roman"/>
          <w:caps w:val="false"/>
          <w:smallCaps w:val="false"/>
          <w:sz w:val="20"/>
        </w:rPr>
        <w:t xml:space="preserve">and the Third Amendment Agreement dated as of </w:t>
      </w:r>
      <w:r>
        <w:rPr>
          <w:rStyle w:val="Emphasis"/>
          <w:rFonts w:ascii="Times New Roman" w:hAnsi="Times New Roman"/>
          <w:caps w:val="false"/>
          <w:smallCaps w:val="false"/>
          <w:sz w:val="20"/>
        </w:rPr>
        <w:t>November 14, 2024.</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outstanding borrowings under the revolver amounted to </w:t>
      </w:r>
      <w:r>
        <w:rPr>
          <w:rFonts w:ascii="Times New Roman;Times;serif" w:hAnsi="Times New Roman;Times;serif"/>
          <w:sz w:val="20"/>
          <w:shd w:fill="FFFFFF" w:val="clear"/>
        </w:rPr>
        <w:t>$197.5</w:t>
      </w:r>
      <w:r>
        <w:rPr>
          <w:rFonts w:ascii="Times New Roman;Times;serif" w:hAnsi="Times New Roman;Times;serif"/>
          <w:sz w:val="20"/>
        </w:rPr>
        <w:t xml:space="preserve"> million and $287.5 million, respectively. The unused credit available under the credit facility was </w:t>
      </w:r>
      <w:r>
        <w:rPr>
          <w:rFonts w:ascii="Times New Roman;Times;serif" w:hAnsi="Times New Roman;Times;serif"/>
          <w:sz w:val="20"/>
          <w:shd w:fill="FFFFFF" w:val="clear"/>
        </w:rPr>
        <w:t>$202.5 m</w:t>
      </w:r>
      <w:r>
        <w:rPr>
          <w:rFonts w:ascii="Times New Roman;Times;serif" w:hAnsi="Times New Roman;Times;serif"/>
          <w:sz w:val="20"/>
        </w:rPr>
        <w:t>illion at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$37.5 million at </w:t>
      </w:r>
      <w:r>
        <w:rPr>
          <w:rStyle w:val="Emphasis"/>
          <w:rFonts w:ascii="Times New Roman;Times;serif" w:hAnsi="Times New Roman;Times;serif"/>
          <w:sz w:val="20"/>
        </w:rPr>
        <w:t>December 31, 2024</w:t>
      </w:r>
      <w:r>
        <w:rPr>
          <w:rFonts w:ascii="Times New Roman;Times;serif" w:hAnsi="Times New Roman;Times;serif"/>
          <w:sz w:val="20"/>
        </w:rPr>
        <w:t>. The Company incurred</w:t>
      </w:r>
      <w:r>
        <w:rPr>
          <w:rFonts w:ascii="Times New Roman;Times;serif" w:hAnsi="Times New Roman;Times;serif"/>
          <w:sz w:val="20"/>
          <w:shd w:fill="FFFFFF" w:val="clear"/>
        </w:rPr>
        <w:t xml:space="preserve"> $14.8 mi</w:t>
      </w:r>
      <w:r>
        <w:rPr>
          <w:rFonts w:ascii="Times New Roman;Times;serif" w:hAnsi="Times New Roman;Times;serif"/>
          <w:sz w:val="20"/>
        </w:rPr>
        <w:t xml:space="preserve">llion, $4.1 million, and $2.9 million of interest expense during the years ended </w:t>
      </w:r>
      <w:r>
        <w:rPr>
          <w:rStyle w:val="Emphasis"/>
          <w:rFonts w:ascii="Times New Roman;Times;serif" w:hAnsi="Times New Roman;Times;serif"/>
          <w:sz w:val="20"/>
        </w:rPr>
        <w:t>December 31, 2025</w:t>
      </w:r>
      <w:r>
        <w:rPr>
          <w:rFonts w:ascii="Times New Roman;Times;serif" w:hAnsi="Times New Roman;Times;serif"/>
          <w:sz w:val="20"/>
        </w:rPr>
        <w:t> </w:t>
      </w:r>
      <w:r>
        <w:rPr>
          <w:rStyle w:val="Emphasis"/>
          <w:rFonts w:ascii="Times New Roman;Times;serif" w:hAnsi="Times New Roman;Times;serif"/>
          <w:sz w:val="20"/>
        </w:rPr>
        <w:t>2024</w:t>
      </w:r>
      <w:r>
        <w:rPr>
          <w:rFonts w:ascii="Times New Roman;Times;serif" w:hAnsi="Times New Roman;Times;serif"/>
          <w:sz w:val="20"/>
        </w:rPr>
        <w:t xml:space="preserve">, and </w:t>
      </w:r>
      <w:r>
        <w:rPr>
          <w:rStyle w:val="Emphasis"/>
          <w:rFonts w:ascii="Times New Roman;Times;serif" w:hAnsi="Times New Roman;Times;serif"/>
          <w:sz w:val="20"/>
        </w:rPr>
        <w:t>2023</w:t>
      </w:r>
      <w:r>
        <w:rPr>
          <w:rFonts w:ascii="Times New Roman;Times;serif" w:hAnsi="Times New Roman;Times;serif"/>
          <w:sz w:val="20"/>
        </w:rPr>
        <w:t xml:space="preserve">, respectively, in connection with interest due on its outstanding borrowings under the CSA during each period, including the effects of the </w:t>
      </w:r>
      <w:r>
        <w:rPr>
          <w:rStyle w:val="Emphasis"/>
          <w:rFonts w:ascii="Times New Roman;Times;serif" w:hAnsi="Times New Roman;Times;serif"/>
          <w:sz w:val="20"/>
        </w:rPr>
        <w:t>2021</w:t>
      </w:r>
      <w:r>
        <w:rPr>
          <w:rFonts w:ascii="Times New Roman;Times;serif" w:hAnsi="Times New Roman;Times;serif"/>
          <w:sz w:val="20"/>
        </w:rPr>
        <w:t xml:space="preserve"> Swaps (as hereinafter defined) and amortization of deferred financing costs.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effective rate of interest for our total outstanding borrowings, including the impact of the </w:t>
      </w:r>
      <w:r>
        <w:rPr>
          <w:rStyle w:val="Emphasis"/>
          <w:rFonts w:ascii="Times New Roman;Times;serif" w:hAnsi="Times New Roman;Times;serif"/>
          <w:sz w:val="20"/>
        </w:rPr>
        <w:t>2021</w:t>
      </w:r>
      <w:r>
        <w:rPr>
          <w:rFonts w:ascii="Times New Roman;Times;serif" w:hAnsi="Times New Roman;Times;serif"/>
          <w:sz w:val="20"/>
        </w:rPr>
        <w:t xml:space="preserve"> Swaps discussed below, was 4.42% and 5.47%, respectively,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 xml:space="preserve">December 31, 2024. </w:t>
      </w:r>
      <w:r>
        <w:rPr>
          <w:rFonts w:ascii="Times New Roman;Times;serif" w:hAnsi="Times New Roman;Times;serif"/>
          <w:sz w:val="20"/>
        </w:rPr>
        <w:t xml:space="preserve">The interest rate in effect for the fixed-rate portion of our outstanding borrowings ($60 million at each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was 2.59% and 2.84%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respectively. The weighted-average interest rate in effect for the variable-rate portion of our outstanding borrowings ($137.5 million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was 3.63%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consisted of SOFR plus the Company’s credit spread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as determined per the terms of the CSA. No outstanding borrowings were subject to a variable interest rate at </w:t>
      </w:r>
      <w:r>
        <w:rPr>
          <w:rStyle w:val="Emphasis"/>
          <w:rFonts w:ascii="Times New Roman;Times;serif" w:hAnsi="Times New Roman;Times;serif"/>
          <w:sz w:val="20"/>
        </w:rPr>
        <w:t>December 31,</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In order to manage our interest rate exposure on the remaining borrowings, and as further described in Note </w:t>
      </w:r>
      <w:r>
        <w:rPr>
          <w:rStyle w:val="Emphasis"/>
          <w:rFonts w:ascii="Times New Roman;Times;serif" w:hAnsi="Times New Roman;Times;serif"/>
          <w:sz w:val="20"/>
        </w:rPr>
        <w:t>13,</w:t>
      </w:r>
      <w:r>
        <w:rPr>
          <w:rFonts w:ascii="Times New Roman;Times;serif" w:hAnsi="Times New Roman;Times;serif"/>
          <w:sz w:val="20"/>
        </w:rPr>
        <w:t xml:space="preserve"> </w:t>
      </w:r>
      <w:r>
        <w:rPr>
          <w:rFonts w:ascii="Times New Roman;Times;serif" w:hAnsi="Times New Roman;Times;serif"/>
          <w:i/>
          <w:sz w:val="20"/>
        </w:rPr>
        <w:t>"Derivative Instruments and Hedging Activities"</w:t>
      </w:r>
      <w:r>
        <w:rPr>
          <w:rFonts w:ascii="Times New Roman;Times;serif" w:hAnsi="Times New Roman;Times;serif"/>
          <w:sz w:val="20"/>
        </w:rPr>
        <w:t xml:space="preserve">, the Company is party to the </w:t>
      </w:r>
      <w:r>
        <w:rPr>
          <w:rStyle w:val="Emphasis"/>
          <w:rFonts w:ascii="Times New Roman;Times;serif" w:hAnsi="Times New Roman;Times;serif"/>
          <w:sz w:val="20"/>
        </w:rPr>
        <w:t>2021</w:t>
      </w:r>
      <w:r>
        <w:rPr>
          <w:rFonts w:ascii="Times New Roman;Times;serif" w:hAnsi="Times New Roman;Times;serif"/>
          <w:sz w:val="20"/>
        </w:rPr>
        <w:t xml:space="preserve"> Swaps, each with an aggregate notional amount of $30 million, or $60 million in the aggregate, the effect of which is to fix the SOFR portion (or, for periods prior to </w:t>
      </w:r>
      <w:r>
        <w:rPr>
          <w:rStyle w:val="Emphasis"/>
          <w:rFonts w:ascii="Times New Roman;Times;serif" w:hAnsi="Times New Roman;Times;serif"/>
          <w:sz w:val="20"/>
        </w:rPr>
        <w:t xml:space="preserve">January 31, 2023, </w:t>
      </w:r>
      <w:r>
        <w:rPr>
          <w:rFonts w:ascii="Times New Roman;Times;serif" w:hAnsi="Times New Roman;Times;serif"/>
          <w:sz w:val="20"/>
        </w:rPr>
        <w:t xml:space="preserve">the LIBOR portion) of the interest rate on a portion of our outstanding debt on our Revolver (or such portion thereof up to the aggregate $60 million notional amount of the </w:t>
      </w:r>
      <w:r>
        <w:rPr>
          <w:rStyle w:val="Emphasis"/>
          <w:rFonts w:ascii="Times New Roman;Times;serif" w:hAnsi="Times New Roman;Times;serif"/>
          <w:sz w:val="20"/>
        </w:rPr>
        <w:t>2021</w:t>
      </w:r>
      <w:r>
        <w:rPr>
          <w:rFonts w:ascii="Times New Roman;Times;serif" w:hAnsi="Times New Roman;Times;serif"/>
          <w:sz w:val="20"/>
        </w:rPr>
        <w:t xml:space="preserve"> Swaps).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Under the terms of its Credit Agreement, the Company is entitled, subject to the satisfaction of certain conditions, to request additional commitments under the revolver or the addition of a term loan facility in the aggregate principal amount of up to $100 million for all such increases (revolver and term) to the extent that existing or new lenders agree to provide such additional commitments and/or term loans.  In addition to requesting loans denominated in U.S. dollars, the Credit Agreement provides that up to a U.S. dollar equivalent principal amount of $15 million of the revolver </w:t>
      </w:r>
      <w:r>
        <w:rPr>
          <w:rStyle w:val="Emphasis"/>
          <w:rFonts w:ascii="Times New Roman;Times;serif" w:hAnsi="Times New Roman;Times;serif"/>
          <w:sz w:val="20"/>
        </w:rPr>
        <w:t xml:space="preserve">may </w:t>
      </w:r>
      <w:r>
        <w:rPr>
          <w:rFonts w:ascii="Times New Roman;Times;serif" w:hAnsi="Times New Roman;Times;serif"/>
          <w:sz w:val="20"/>
        </w:rPr>
        <w:t>be borrowed by Bel in alternate foreign currencies including Euros, Pounds Sterling, Japanese Yen and such other currency as requested by Bel and consented to by KeyBank and each lender.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connection with the Credit Agreement, the Company and certain of the Company’s material U.S. subsidiaries (together with the Company, the “Loan Parties”) provided to the administrative agent, for the benefit of the lenders, guaranty of payment.  As a result, the obligations of the Company under the Credit Agreement are guaranteed by the Loan Parties’ material U.S. subsidiaries, and secured by a </w:t>
      </w:r>
      <w:r>
        <w:rPr>
          <w:rStyle w:val="Emphasis"/>
          <w:rFonts w:ascii="Times New Roman;Times;serif" w:hAnsi="Times New Roman;Times;serif"/>
          <w:sz w:val="20"/>
        </w:rPr>
        <w:t>first</w:t>
      </w:r>
      <w:r>
        <w:rPr>
          <w:rFonts w:ascii="Times New Roman;Times;serif" w:hAnsi="Times New Roman;Times;serif"/>
          <w:sz w:val="20"/>
        </w:rPr>
        <w:t xml:space="preserve"> priority security interest in substantially all of the existing and future personal property of the Loan Parties, certain material real property of the Loan Parties and certain of the Loan Parties’ material U.S. subsidiaries, including 65% of the voting capital stock of certain of the Loan Parties’ direct foreign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borrowings under the Credit Agreement bear interest, generally payable quarterly, at a rate equal to, at the Company's option, either (</w:t>
      </w:r>
      <w:r>
        <w:rPr>
          <w:rStyle w:val="Emphasis"/>
          <w:rFonts w:ascii="Times New Roman" w:hAnsi="Times New Roman"/>
          <w:caps w:val="false"/>
          <w:smallCaps w:val="false"/>
          <w:sz w:val="20"/>
        </w:rPr>
        <w:t>1</w:t>
      </w:r>
      <w:r>
        <w:rPr>
          <w:rFonts w:ascii="Times New Roman" w:hAnsi="Times New Roman"/>
          <w:caps w:val="false"/>
          <w:smallCaps w:val="false"/>
          <w:sz w:val="20"/>
        </w:rPr>
        <w:t>) SOFR, plus a margin ranging from 1.125% per annum to 2.125% per annum depending on the Company’s leverage ratio, or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)(a) an alternate “Base Rate,” which is the highest of (i) KeyBank’s prime rate, (ii) the federal funds rate plus 0.50% and (iii) the SOFR rate with a maturity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month plus 1%, plus (b) a margin ranging from 0.125% per annum to 1.125% per annum, depending on the Company’s leverage ratio.  Pursuant to the terms of the Credit Agreement, the Company has agreed to pay to KeyBank, as administrative agent for the ratable account of the revolving lenders in consideration for their commitments in respect of the revolver, a commitment fee due quarterly in arrears and calculated based on the average unused amount of the facility (exclusive of swing line exposure), at a rate ranging from 0.2% per annum to 0.3% per annum, depending on the Company’s leverage ratio.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Revolving loans borrowed under the Credit Agreement mature on </w:t>
      </w:r>
      <w:r>
        <w:rPr>
          <w:rStyle w:val="Emphasis"/>
          <w:rFonts w:ascii="Times New Roman" w:hAnsi="Times New Roman"/>
          <w:caps w:val="false"/>
          <w:smallCaps w:val="false"/>
          <w:sz w:val="20"/>
        </w:rPr>
        <w:t xml:space="preserve">September 1, 2028, </w:t>
      </w:r>
      <w:r>
        <w:rPr>
          <w:rFonts w:ascii="Times New Roman" w:hAnsi="Times New Roman"/>
          <w:caps w:val="false"/>
          <w:smallCaps w:val="false"/>
          <w:sz w:val="20"/>
        </w:rPr>
        <w:t>and the commitments with respect to the revolver will automatically terminate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Credit Agreement contains customary representations and warranties, covenants and events of default.  In addition, the Credit Agreement contains financial covenants that measure (i) the ratio of the Company’s total funded indebtedness, on a consolidated basis, less the aggregate amount of all unencumbered cash and cash equivalents, to the amount of the Company’s consolidated EBITDA (“Leverage Ratio”) and (ii) the ratio of the amount of the Company’s consolidated EBITDA to the Company’s consolidated fixed charges (“Fixed Charge Coverage Ratio”).  If an event of default occurs, the lenders under the Credit Agreement would be entitled to take various actions, including the acceleration of amounts due thereunder and all actions permitted to be taken by a secured creditor.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At </w:t>
      </w:r>
      <w:r>
        <w:rPr>
          <w:rStyle w:val="Emphasis"/>
          <w:rFonts w:ascii="Times New Roman;Times;serif" w:hAnsi="Times New Roman;Times;serif"/>
          <w:sz w:val="20"/>
        </w:rPr>
        <w:t>December 31, 2025</w:t>
      </w:r>
      <w:r>
        <w:rPr>
          <w:rFonts w:ascii="Times New Roman;Times;serif" w:hAnsi="Times New Roman;Times;serif"/>
          <w:sz w:val="20"/>
        </w:rPr>
        <w:t>, the Company was in compliance with its debt covenants, including its most restrictive covenant, t</w:t>
      </w:r>
      <w:r>
        <w:rPr>
          <w:rFonts w:ascii="Times New Roman;Times;serif" w:hAnsi="Times New Roman;Times;serif"/>
          <w:sz w:val="20"/>
          <w:shd w:fill="FFFFFF" w:val="clear"/>
        </w:rPr>
        <w:t>he Leverage Ratio.</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Scheduled principal payments of the total debt outstanding at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are as follows (in thousands):</w:t>
      </w:r>
    </w:p>
    <w:p>
      <w:pPr>
        <w:pStyle w:val="TextBody"/>
        <w:bidi w:val="0"/>
        <w:spacing w:before="0" w:after="0"/>
        <w:ind w:left="0" w:right="0" w:hanging="0"/>
        <w:jc w:val="both"/>
        <w:rPr/>
      </w:pPr>
      <w:r>
        <w:rPr/>
        <w:t> </w:t>
      </w:r>
    </w:p>
    <w:tbl>
      <w:tblPr>
        <w:tblW w:w="4380" w:type="dxa"/>
        <w:jc w:val="left"/>
        <w:tblInd w:w="0" w:type="dxa"/>
        <w:tblLayout w:type="fixed"/>
        <w:tblCellMar>
          <w:top w:w="0" w:type="dxa"/>
          <w:left w:w="0" w:type="dxa"/>
          <w:bottom w:w="0" w:type="dxa"/>
          <w:right w:w="0" w:type="dxa"/>
        </w:tblCellMar>
      </w:tblPr>
      <w:tblGrid>
        <w:gridCol w:w="3425"/>
        <w:gridCol w:w="60"/>
        <w:gridCol w:w="125"/>
        <w:gridCol w:w="695"/>
        <w:gridCol w:w="75"/>
      </w:tblGrid>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0"/>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197,500</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197,500</w:t>
            </w:r>
          </w:p>
        </w:tc>
        <w:tc>
          <w:tcPr>
            <w:tcW w:w="75"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Less: Current maturities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Noncurrent portion of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800" w:type="dxa"/>
        <w:jc w:val="left"/>
        <w:tblInd w:w="0" w:type="dxa"/>
        <w:tblLayout w:type="fixed"/>
        <w:tblCellMar>
          <w:top w:w="0" w:type="dxa"/>
          <w:left w:w="0" w:type="dxa"/>
          <w:bottom w:w="0" w:type="dxa"/>
          <w:right w:w="0" w:type="dxa"/>
        </w:tblCellMar>
      </w:tblPr>
      <w:tblGrid>
        <w:gridCol w:w="320"/>
        <w:gridCol w:w="2480"/>
      </w:tblGrid>
      <w:tr>
        <w:trPr/>
        <w:tc>
          <w:tcPr>
            <w:tcW w:w="320" w:type="dxa"/>
            <w:tcBorders/>
            <w:vAlign w:val="center"/>
          </w:tcPr>
          <w:p>
            <w:pPr>
              <w:pStyle w:val="TableContents"/>
              <w:bidi w:val="0"/>
              <w:spacing w:before="0" w:after="283"/>
              <w:jc w:val="left"/>
              <w:rPr/>
            </w:pPr>
            <w:r>
              <w:rPr>
                <w:rStyle w:val="Emphasis"/>
              </w:rPr>
              <w:t>12.</w:t>
            </w:r>
          </w:p>
        </w:tc>
        <w:tc>
          <w:tcPr>
            <w:tcW w:w="2480" w:type="dxa"/>
            <w:tcBorders/>
            <w:vAlign w:val="center"/>
          </w:tcPr>
          <w:p>
            <w:pPr>
              <w:pStyle w:val="TableContents"/>
              <w:bidi w:val="0"/>
              <w:spacing w:before="0" w:after="283"/>
              <w:jc w:val="left"/>
              <w:rPr/>
            </w:pPr>
            <w:r>
              <w:rPr/>
              <w:t>ACCRUED EXPENSES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expenses consist of the following:</w:t>
      </w:r>
    </w:p>
    <w:p>
      <w:pPr>
        <w:pStyle w:val="TextBody"/>
        <w:bidi w:val="0"/>
        <w:spacing w:before="0" w:after="0"/>
        <w:ind w:left="0" w:right="0" w:hanging="0"/>
        <w:jc w:val="left"/>
        <w:rPr/>
      </w:pPr>
      <w:r>
        <w:rPr/>
        <w:t> </w:t>
      </w:r>
    </w:p>
    <w:tbl>
      <w:tblPr>
        <w:tblW w:w="4705" w:type="dxa"/>
        <w:jc w:val="left"/>
        <w:tblInd w:w="0" w:type="dxa"/>
        <w:tblLayout w:type="fixed"/>
        <w:tblCellMar>
          <w:top w:w="0" w:type="dxa"/>
          <w:left w:w="0" w:type="dxa"/>
          <w:bottom w:w="0" w:type="dxa"/>
          <w:right w:w="0" w:type="dxa"/>
        </w:tblCellMar>
      </w:tblPr>
      <w:tblGrid>
        <w:gridCol w:w="3035"/>
        <w:gridCol w:w="60"/>
        <w:gridCol w:w="125"/>
        <w:gridCol w:w="590"/>
        <w:gridCol w:w="60"/>
        <w:gridCol w:w="60"/>
        <w:gridCol w:w="125"/>
        <w:gridCol w:w="590"/>
        <w:gridCol w:w="60"/>
      </w:tblGrid>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bonuses and related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32,478</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5,823</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commissions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2,616</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accrual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10,560</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53,031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change in warranty accruals for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primarily reflects repair costs incurred and adjustments to pre-existing warranty obligations. New material warranty charges incurred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were less than $0.1 million, which management considers immaterial to the consolidated financial statements.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new material warranty charges were incurred during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shd w:fill="FFFFFF" w:val="clear"/>
        </w:rPr>
        <w:t>Restructuring Activities</w:t>
      </w:r>
      <w:r>
        <w:rPr>
          <w:rFonts w:ascii="Times New Roman;Times;serif" w:hAnsi="Times New Roman;Times;serif"/>
          <w:color w:val="000000"/>
          <w:sz w:val="20"/>
          <w:shd w:fill="FFFFFF" w:val="clear"/>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olor w:val="000000"/>
          <w:sz w:val="20"/>
          <w:shd w:fill="FFFFFF" w:val="clear"/>
        </w:rPr>
        <w:t xml:space="preserve">Activity and liability balances related to restructuring costs for the years ended </w:t>
      </w:r>
      <w:r>
        <w:rPr>
          <w:rStyle w:val="Emphasis"/>
          <w:rFonts w:ascii="Times New Roman;Times;serif" w:hAnsi="Times New Roman;Times;serif"/>
          <w:sz w:val="20"/>
          <w:shd w:fill="FFFFFF" w:val="clear"/>
        </w:rPr>
        <w:t>December 31, 2024</w:t>
      </w:r>
      <w:r>
        <w:rPr>
          <w:rFonts w:ascii="Times New Roman;Times;serif" w:hAnsi="Times New Roman;Times;serif"/>
          <w:sz w:val="20"/>
          <w:shd w:fill="FFFFFF" w:val="clear"/>
        </w:rPr>
        <w:t> and </w:t>
      </w:r>
      <w:r>
        <w:rPr>
          <w:rStyle w:val="Emphasis"/>
          <w:rFonts w:ascii="Times New Roman;Times;serif" w:hAnsi="Times New Roman;Times;serif"/>
          <w:sz w:val="20"/>
          <w:shd w:fill="FFFFFF" w:val="clear"/>
        </w:rPr>
        <w:t>2025</w:t>
      </w:r>
      <w:r>
        <w:rPr>
          <w:rFonts w:ascii="Times New Roman;Times;serif" w:hAnsi="Times New Roman;Times;serif"/>
          <w:sz w:val="20"/>
          <w:shd w:fill="FFFFFF" w:val="clear"/>
        </w:rPr>
        <w:t> </w:t>
      </w:r>
      <w:r>
        <w:rPr>
          <w:rFonts w:ascii="Times New Roman;Times;serif" w:hAnsi="Times New Roman;Times;serif"/>
          <w:color w:val="000000"/>
          <w:sz w:val="20"/>
          <w:shd w:fill="FFFFFF" w:val="clear"/>
        </w:rPr>
        <w:t>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4"/>
        <w:gridCol w:w="60"/>
        <w:gridCol w:w="217"/>
        <w:gridCol w:w="824"/>
        <w:gridCol w:w="60"/>
        <w:gridCol w:w="60"/>
        <w:gridCol w:w="145"/>
        <w:gridCol w:w="565"/>
        <w:gridCol w:w="60"/>
        <w:gridCol w:w="60"/>
        <w:gridCol w:w="235"/>
        <w:gridCol w:w="937"/>
        <w:gridCol w:w="80"/>
        <w:gridCol w:w="60"/>
        <w:gridCol w:w="217"/>
        <w:gridCol w:w="824"/>
        <w:gridCol w:w="60"/>
        <w:gridCol w:w="60"/>
        <w:gridCol w:w="261"/>
        <w:gridCol w:w="1139"/>
        <w:gridCol w:w="80"/>
        <w:gridCol w:w="60"/>
        <w:gridCol w:w="235"/>
        <w:gridCol w:w="937"/>
        <w:gridCol w:w="80"/>
        <w:gridCol w:w="60"/>
        <w:gridCol w:w="291"/>
        <w:gridCol w:w="750"/>
        <w:gridCol w:w="64"/>
      </w:tblGrid>
      <w:tr>
        <w:trPr/>
        <w:tc>
          <w:tcPr>
            <w:tcW w:w="1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center"/>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1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Liability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6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Cash Payments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Liability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13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Cash Payments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Liability at</w:t>
            </w:r>
          </w:p>
        </w:tc>
        <w:tc>
          <w:tcPr>
            <w:tcW w:w="64" w:type="dxa"/>
            <w:tcBorders/>
            <w:shd w:fill="FFFFFF" w:val="clear"/>
            <w:vAlign w:val="center"/>
          </w:tcPr>
          <w:p>
            <w:pPr>
              <w:pStyle w:val="TableContents"/>
              <w:bidi w:val="0"/>
              <w:spacing w:before="0" w:after="283"/>
              <w:jc w:val="left"/>
              <w:rPr/>
            </w:pPr>
            <w:r>
              <w:rPr/>
              <w:t> </w:t>
            </w:r>
          </w:p>
        </w:tc>
      </w:tr>
      <w:tr>
        <w:trPr/>
        <w:tc>
          <w:tcPr>
            <w:tcW w:w="1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New</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and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New Charges/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and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64" w:type="dxa"/>
            <w:tcBorders/>
            <w:shd w:fill="FFFFFF" w:val="clear"/>
            <w:vAlign w:val="center"/>
          </w:tcPr>
          <w:p>
            <w:pPr>
              <w:pStyle w:val="TableContents"/>
              <w:bidi w:val="0"/>
              <w:spacing w:before="0" w:after="283"/>
              <w:jc w:val="left"/>
              <w:rPr/>
            </w:pPr>
            <w:r>
              <w:rPr/>
              <w:t> </w:t>
            </w:r>
          </w:p>
        </w:tc>
      </w:tr>
      <w:tr>
        <w:trPr/>
        <w:tc>
          <w:tcPr>
            <w:tcW w:w="17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Charges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Settlements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 Adjustments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Settlements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4" w:type="dxa"/>
            <w:tcBorders/>
            <w:shd w:fill="FFFFFF" w:val="clear"/>
            <w:vAlign w:val="center"/>
          </w:tcPr>
          <w:p>
            <w:pPr>
              <w:pStyle w:val="TableContents"/>
              <w:bidi w:val="0"/>
              <w:spacing w:before="0" w:after="283"/>
              <w:jc w:val="left"/>
              <w:rPr/>
            </w:pPr>
            <w:r>
              <w:rPr/>
              <w:t> </w:t>
            </w:r>
          </w:p>
        </w:tc>
      </w:tr>
      <w:tr>
        <w:trPr/>
        <w:tc>
          <w:tcPr>
            <w:tcW w:w="17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4" w:type="dxa"/>
            <w:tcBorders/>
            <w:shd w:fill="CCEEFF" w:val="clear"/>
            <w:vAlign w:val="center"/>
          </w:tcPr>
          <w:p>
            <w:pPr>
              <w:pStyle w:val="TableContents"/>
              <w:bidi w:val="0"/>
              <w:spacing w:before="0" w:after="283"/>
              <w:jc w:val="left"/>
              <w:rPr/>
            </w:pPr>
            <w:r>
              <w:rPr/>
              <w:t> </w:t>
            </w:r>
          </w:p>
        </w:tc>
      </w:tr>
      <w:tr>
        <w:trPr/>
        <w:tc>
          <w:tcPr>
            <w:tcW w:w="17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restructuring costs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64" w:type="dxa"/>
            <w:tcBorders/>
            <w:shd w:fill="FFFFFF" w:val="clear"/>
            <w:vAlign w:val="center"/>
          </w:tcPr>
          <w:p>
            <w:pPr>
              <w:pStyle w:val="TableContents"/>
              <w:bidi w:val="0"/>
              <w:spacing w:before="0" w:after="283"/>
              <w:jc w:val="left"/>
              <w:rPr/>
            </w:pPr>
            <w:r>
              <w:rPr/>
              <w:t> </w:t>
            </w:r>
          </w:p>
        </w:tc>
      </w:tr>
      <w:tr>
        <w:trPr/>
        <w:tc>
          <w:tcPr>
            <w:tcW w:w="17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charges and ending liability balance at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noted above for severance costs largely relate to an initiative within our Power segment related to the transition of our fuse operations to other existing sites and also within our Connectivity segment related to the transition of certain manufacturing from our Glen Rock, Pennsylvania facility to other existing Bel sites. The new charges noted above for other restructuring costs relate to housing and social insurance costs associated with our fuse restructuring initiative within our Power segment. The balances in other restructuring costs in the table above as of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largely related to remaining liabilities associated with the Company's facility consolidation project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balance of accrued restructuring costs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largely related to remaining liabilities associated with the Company's facility consolidation project in the PRC whereby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of our Magnetic Solutions manufacturing sites were consolidated into a single new site. 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recorded a $3.2 million reversal of other restructuring costs as a result of a non-cash settlement of liabilities related to this same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7015" w:type="dxa"/>
        <w:jc w:val="left"/>
        <w:tblInd w:w="0" w:type="dxa"/>
        <w:tblLayout w:type="fixed"/>
        <w:tblCellMar>
          <w:top w:w="0" w:type="dxa"/>
          <w:left w:w="0" w:type="dxa"/>
          <w:bottom w:w="0" w:type="dxa"/>
          <w:right w:w="0" w:type="dxa"/>
        </w:tblCellMar>
      </w:tblPr>
      <w:tblGrid>
        <w:gridCol w:w="560"/>
        <w:gridCol w:w="6455"/>
      </w:tblGrid>
      <w:tr>
        <w:trPr/>
        <w:tc>
          <w:tcPr>
            <w:tcW w:w="560" w:type="dxa"/>
            <w:tcBorders/>
            <w:vAlign w:val="center"/>
          </w:tcPr>
          <w:p>
            <w:pPr>
              <w:pStyle w:val="TableContents"/>
              <w:bidi w:val="0"/>
              <w:spacing w:before="0" w:after="283"/>
              <w:jc w:val="left"/>
              <w:rPr/>
            </w:pPr>
            <w:r>
              <w:rPr>
                <w:rStyle w:val="Emphasis"/>
              </w:rPr>
              <w:t>13.</w:t>
            </w:r>
            <w:r>
              <w:rPr/>
              <w:t>    </w:t>
            </w:r>
          </w:p>
        </w:tc>
        <w:tc>
          <w:tcPr>
            <w:tcW w:w="6455" w:type="dxa"/>
            <w:tcBorders/>
            <w:vAlign w:val="center"/>
          </w:tcPr>
          <w:p>
            <w:pPr>
              <w:pStyle w:val="TableContents"/>
              <w:bidi w:val="0"/>
              <w:spacing w:before="0" w:after="283"/>
              <w:jc w:val="left"/>
              <w:rPr/>
            </w:pPr>
            <w:r>
              <w:rPr/>
              <w:t>DERIVATIVE INSTRUMENTS AND HEDGING ACTIVITIES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Our primary objective for holding derivative financial instruments is to manage foreign currency exchange rate risk and interest rate risk, when deemed appropriate. We enter into these contracts in the normal course of business to mitigate risks and </w:t>
      </w:r>
      <w:r>
        <w:rPr>
          <w:rStyle w:val="Emphasis"/>
          <w:rFonts w:ascii="Times New Roman;Times;serif" w:hAnsi="Times New Roman;Times;serif"/>
          <w:sz w:val="20"/>
        </w:rPr>
        <w:t>not</w:t>
      </w:r>
      <w:r>
        <w:rPr>
          <w:rFonts w:ascii="Times New Roman;Times;serif" w:hAnsi="Times New Roman;Times;serif"/>
          <w:sz w:val="20"/>
        </w:rPr>
        <w:t xml:space="preserve">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Forward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our risk management strategy, we periodically use foreign currency forward contracts to manage our short-term exposures to fluctuations in operational cash flows resulting from changes in foreign currency exchange rates. These cash flow exposures result from portions of our forecasted operating expenses, primarily compensation and related expenses, which are transacted in currencies other than the U.S. dollar, most notably the Chinese renminbi, Israeli shekel and the Mexican peso. These foreign currency forward contracts generally have maturities of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than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although occasionally we will execute a contract that extends beyond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depending upon the nature of the underlying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held outstanding foreign currency forward contracts with notional amounts of </w:t>
      </w:r>
      <w:r>
        <w:rPr>
          <w:rFonts w:ascii="Times New Roman" w:hAnsi="Times New Roman"/>
          <w:caps w:val="false"/>
          <w:smallCaps w:val="false"/>
          <w:sz w:val="20"/>
          <w:shd w:fill="FFFFFF" w:val="clear"/>
        </w:rPr>
        <w:t>$49.6 m</w:t>
      </w:r>
      <w:r>
        <w:rPr>
          <w:rFonts w:ascii="Times New Roman" w:hAnsi="Times New Roman"/>
          <w:caps w:val="false"/>
          <w:smallCaps w:val="false"/>
          <w:sz w:val="20"/>
        </w:rPr>
        <w:t xml:space="preserve">illion and </w:t>
      </w:r>
      <w:r>
        <w:rPr>
          <w:rFonts w:ascii="Times New Roman" w:hAnsi="Times New Roman"/>
          <w:caps w:val="false"/>
          <w:smallCaps w:val="false"/>
          <w:sz w:val="20"/>
          <w:shd w:fill="FFFFFF" w:val="clear"/>
        </w:rPr>
        <w:t>$14.2 </w:t>
      </w:r>
      <w:r>
        <w:rPr>
          <w:rFonts w:ascii="Times New Roman" w:hAnsi="Times New Roman"/>
          <w:caps w:val="false"/>
          <w:smallCaps w:val="false"/>
          <w:sz w:val="20"/>
        </w:rPr>
        <w:t xml:space="preserve">million as of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2024</w:t>
      </w:r>
      <w:r>
        <w:rPr>
          <w:rFonts w:ascii="Times New Roman" w:hAnsi="Times New Roman"/>
          <w:caps w:val="false"/>
          <w:smallCaps w:val="false"/>
          <w:sz w:val="20"/>
        </w:rPr>
        <w:t>, respectively. The Company's foreign currency forward contracts related to the Chinese renminbi are designated as cash flow hedges for accounting purposes and as such, changes in their fair value are recognized in accumulated other comprehensive income (loss) in the consolidated balance sheet and are reclassified into the consolidated statement of operations within cost of goods sold in the period in which the hedged transaction affects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Rate Swap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To partially mitigate risks associated with the variable interest rates on the revolver borrowings under its Credit Agreement, the Company is a party to a pay-fixed, receive-variable interest rate swap agreement with each of </w:t>
      </w:r>
      <w:r>
        <w:rPr>
          <w:rStyle w:val="Emphasis"/>
          <w:rFonts w:ascii="Times New Roman;Times;serif" w:hAnsi="Times New Roman;Times;serif"/>
          <w:sz w:val="20"/>
        </w:rPr>
        <w:t>two</w:t>
      </w:r>
      <w:r>
        <w:rPr>
          <w:rFonts w:ascii="Times New Roman;Times;serif" w:hAnsi="Times New Roman;Times;serif"/>
          <w:sz w:val="20"/>
        </w:rPr>
        <w:t xml:space="preserve"> multinational financial institutions under which we (i) pay interest at a fixed rate of 1.334% and received variable interest of the daily SOFR rate plus 10 basis points on a notional amount of $30.0 million and (ii) paid interest at a fixed rate of 1.348% and received variable interest of the daily SOFR rate plus 10 basis points on a notional amount of $30.0 million (the </w:t>
      </w:r>
      <w:r>
        <w:rPr>
          <w:rStyle w:val="Emphasis"/>
          <w:rFonts w:ascii="Times New Roman;Times;serif" w:hAnsi="Times New Roman;Times;serif"/>
          <w:sz w:val="20"/>
        </w:rPr>
        <w:t>“2021</w:t>
      </w:r>
      <w:r>
        <w:rPr>
          <w:rFonts w:ascii="Times New Roman;Times;serif" w:hAnsi="Times New Roman;Times;serif"/>
          <w:sz w:val="20"/>
        </w:rPr>
        <w:t xml:space="preserve"> Swaps”). The effective date of the </w:t>
      </w:r>
      <w:r>
        <w:rPr>
          <w:rStyle w:val="Emphasis"/>
          <w:rFonts w:ascii="Times New Roman;Times;serif" w:hAnsi="Times New Roman;Times;serif"/>
          <w:sz w:val="20"/>
        </w:rPr>
        <w:t>2021</w:t>
      </w:r>
      <w:r>
        <w:rPr>
          <w:rFonts w:ascii="Times New Roman;Times;serif" w:hAnsi="Times New Roman;Times;serif"/>
          <w:sz w:val="20"/>
        </w:rPr>
        <w:t xml:space="preserve"> Swaps was </w:t>
      </w:r>
      <w:r>
        <w:rPr>
          <w:rStyle w:val="Emphasis"/>
          <w:rFonts w:ascii="Times New Roman;Times;serif" w:hAnsi="Times New Roman;Times;serif"/>
          <w:sz w:val="20"/>
        </w:rPr>
        <w:t xml:space="preserve">December 31, 2021, </w:t>
      </w:r>
      <w:r>
        <w:rPr>
          <w:rFonts w:ascii="Times New Roman;Times;serif" w:hAnsi="Times New Roman;Times;serif"/>
          <w:sz w:val="20"/>
        </w:rPr>
        <w:t xml:space="preserve">and settlements with the counterparties began on </w:t>
      </w:r>
      <w:r>
        <w:rPr>
          <w:rStyle w:val="Emphasis"/>
          <w:rFonts w:ascii="Times New Roman;Times;serif" w:hAnsi="Times New Roman;Times;serif"/>
          <w:sz w:val="20"/>
        </w:rPr>
        <w:t xml:space="preserve">January 31, 2022 </w:t>
      </w:r>
      <w:r>
        <w:rPr>
          <w:rFonts w:ascii="Times New Roman;Times;serif" w:hAnsi="Times New Roman;Times;serif"/>
          <w:sz w:val="20"/>
        </w:rPr>
        <w:t xml:space="preserve">and occur on a monthly basis. The </w:t>
      </w:r>
      <w:r>
        <w:rPr>
          <w:rStyle w:val="Emphasis"/>
          <w:rFonts w:ascii="Times New Roman;Times;serif" w:hAnsi="Times New Roman;Times;serif"/>
          <w:sz w:val="20"/>
        </w:rPr>
        <w:t>2021</w:t>
      </w:r>
      <w:r>
        <w:rPr>
          <w:rFonts w:ascii="Times New Roman;Times;serif" w:hAnsi="Times New Roman;Times;serif"/>
          <w:sz w:val="20"/>
        </w:rPr>
        <w:t xml:space="preserve"> Swaps will terminate on </w:t>
      </w:r>
      <w:r>
        <w:rPr>
          <w:rStyle w:val="Emphasis"/>
          <w:rFonts w:ascii="Times New Roman;Times;serif" w:hAnsi="Times New Roman;Times;serif"/>
          <w:sz w:val="20"/>
        </w:rPr>
        <w:t>August 31, 2026.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w:t>
      </w:r>
      <w:r>
        <w:rPr>
          <w:rStyle w:val="Emphasis"/>
          <w:rFonts w:ascii="Times New Roman;Times;serif" w:hAnsi="Times New Roman;Times;serif"/>
          <w:sz w:val="20"/>
        </w:rPr>
        <w:t>2021</w:t>
      </w:r>
      <w:r>
        <w:rPr>
          <w:rFonts w:ascii="Times New Roman;Times;serif" w:hAnsi="Times New Roman;Times;serif"/>
          <w:sz w:val="20"/>
        </w:rPr>
        <w:t xml:space="preserve"> Swaps are designated as cash flow hedges for accounting purposes and as such, changes in their fair value are recognized in accumulated other comprehensive income (loss) in the consolidated balance sheet and are reclassified into the statement of operations within interest expense in the period in which the hedged transaction affects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Values of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Fair Value Measurements" </w:t>
      </w:r>
      <w:r>
        <w:rPr>
          <w:rFonts w:ascii="Times New Roman" w:hAnsi="Times New Roman"/>
          <w:caps w:val="false"/>
          <w:smallCaps w:val="false"/>
          <w:sz w:val="20"/>
        </w:rPr>
        <w:t xml:space="preserve">for the gross fair values of the Company's derivative assets and liabilities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b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Financial Instruments in Cash Flow Hedging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effects of derivative financial instruments designated as cash flow hedges on AOCL and on the consolidated statements of operations for the years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were as follows:  </w:t>
      </w:r>
    </w:p>
    <w:p>
      <w:pPr>
        <w:pStyle w:val="TextBody"/>
        <w:bidi w:val="0"/>
        <w:spacing w:before="0" w:after="0"/>
        <w:ind w:left="0" w:right="0" w:hanging="0"/>
        <w:jc w:val="left"/>
        <w:rPr>
          <w:caps w:val="false"/>
          <w:smallCaps w:val="false"/>
        </w:rPr>
      </w:pPr>
      <w:r>
        <w:rPr>
          <w:caps w:val="false"/>
          <w:smallCaps w:val="false"/>
        </w:rPr>
        <w:t> </w:t>
      </w:r>
    </w:p>
    <w:tbl>
      <w:tblPr>
        <w:tblW w:w="9290" w:type="dxa"/>
        <w:jc w:val="left"/>
        <w:tblInd w:w="0" w:type="dxa"/>
        <w:tblLayout w:type="fixed"/>
        <w:tblCellMar>
          <w:top w:w="0" w:type="dxa"/>
          <w:left w:w="0" w:type="dxa"/>
          <w:bottom w:w="0" w:type="dxa"/>
          <w:right w:w="0" w:type="dxa"/>
        </w:tblCellMar>
      </w:tblPr>
      <w:tblGrid>
        <w:gridCol w:w="6980"/>
        <w:gridCol w:w="60"/>
        <w:gridCol w:w="125"/>
        <w:gridCol w:w="485"/>
        <w:gridCol w:w="80"/>
        <w:gridCol w:w="60"/>
        <w:gridCol w:w="125"/>
        <w:gridCol w:w="485"/>
        <w:gridCol w:w="80"/>
        <w:gridCol w:w="60"/>
        <w:gridCol w:w="125"/>
        <w:gridCol w:w="545"/>
        <w:gridCol w:w="80"/>
      </w:tblGrid>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gains (losses) recognized in AOCL: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(losses) gains reclassified from AOCL to the consolidated statement of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w:t>
            </w:r>
          </w:p>
        </w:tc>
        <w:tc>
          <w:tcPr>
            <w:tcW w:w="80" w:type="dxa"/>
            <w:tcBorders/>
            <w:shd w:fill="FFFFFF" w:val="clear"/>
            <w:vAlign w:val="center"/>
          </w:tcPr>
          <w:p>
            <w:pPr>
              <w:pStyle w:val="TableContents"/>
              <w:bidi w:val="0"/>
              <w:spacing w:before="0" w:after="283"/>
              <w:jc w:val="left"/>
              <w:rPr/>
            </w:pPr>
            <w:r>
              <w:rPr/>
              <w:t> </w:t>
            </w:r>
          </w:p>
        </w:tc>
      </w:tr>
      <w:tr>
        <w:trPr/>
        <w:tc>
          <w:tcPr>
            <w:tcW w:w="6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T</w:t>
      </w:r>
      <w:r>
        <w:rPr>
          <w:rFonts w:ascii="Times New Roman;Times;serif" w:hAnsi="Times New Roman;Times;serif"/>
          <w:sz w:val="20"/>
          <w:shd w:fill="FFFFFF" w:val="clear"/>
        </w:rPr>
        <w:t>he losses related to the foreign currency forward contracts are in</w:t>
      </w:r>
      <w:r>
        <w:rPr>
          <w:rFonts w:ascii="Times New Roman;Times;serif" w:hAnsi="Times New Roman;Times;serif"/>
          <w:sz w:val="20"/>
        </w:rPr>
        <w:t xml:space="preserve">cluded as a component of currency translation adjustment on the accompanying consolidated statements of comprehensive income at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sz w:val="20"/>
        </w:rPr>
        <w:t>Derivative</w:t>
      </w:r>
      <w:r>
        <w:rPr>
          <w:rFonts w:ascii="Times New Roman;Times;serif" w:hAnsi="Times New Roman;Times;serif"/>
          <w:sz w:val="20"/>
        </w:rPr>
        <w:t> </w:t>
      </w:r>
      <w:r>
        <w:rPr>
          <w:rFonts w:ascii="Times New Roman;Times;serif" w:hAnsi="Times New Roman;Times;serif"/>
          <w:b/>
          <w:sz w:val="20"/>
        </w:rPr>
        <w:t>Financial Instruments</w:t>
      </w:r>
      <w:r>
        <w:rPr>
          <w:rFonts w:ascii="Times New Roman;Times;serif" w:hAnsi="Times New Roman;Times;serif"/>
          <w:sz w:val="20"/>
        </w:rPr>
        <w:t> </w:t>
      </w:r>
      <w:r>
        <w:rPr>
          <w:rStyle w:val="Emphasis"/>
          <w:rFonts w:ascii="Times New Roman;Times;serif" w:hAnsi="Times New Roman;Times;serif"/>
          <w:b/>
          <w:sz w:val="20"/>
        </w:rPr>
        <w:t>Not</w:t>
      </w:r>
      <w:r>
        <w:rPr>
          <w:rFonts w:ascii="Times New Roman;Times;serif" w:hAnsi="Times New Roman;Times;serif"/>
          <w:b/>
          <w:sz w:val="20"/>
        </w:rPr>
        <w:t xml:space="preserve"> Designated as Hedging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Gains recognized on derivative financial instruments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designated as hedging instruments in our consolidated statements of operations for the years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and </w:t>
      </w:r>
      <w:r>
        <w:rPr>
          <w:rStyle w:val="Emphasis"/>
          <w:rFonts w:ascii="Times New Roman" w:hAnsi="Times New Roman"/>
          <w:caps w:val="false"/>
          <w:smallCaps w:val="false"/>
          <w:sz w:val="20"/>
        </w:rPr>
        <w:t>2023</w:t>
      </w:r>
      <w:r>
        <w:rPr>
          <w:rFonts w:ascii="Times New Roman" w:hAnsi="Times New Roman"/>
          <w:caps w:val="false"/>
          <w:smallCaps w:val="false"/>
          <w:sz w:val="20"/>
          <w:shd w:fill="FFFFFF" w:val="clear"/>
        </w:rPr>
        <w:t> were as follows: </w:t>
      </w:r>
    </w:p>
    <w:p>
      <w:pPr>
        <w:pStyle w:val="TextBody"/>
        <w:bidi w:val="0"/>
        <w:spacing w:before="0" w:after="0"/>
        <w:ind w:left="0" w:right="0" w:hanging="0"/>
        <w:jc w:val="left"/>
        <w:rPr>
          <w:caps w:val="false"/>
          <w:smallCaps w:val="false"/>
        </w:rPr>
      </w:pPr>
      <w:r>
        <w:rPr>
          <w:caps w:val="false"/>
          <w:smallCaps w:val="false"/>
        </w:rPr>
        <w:t> </w:t>
      </w:r>
    </w:p>
    <w:tbl>
      <w:tblPr>
        <w:tblW w:w="9716" w:type="dxa"/>
        <w:jc w:val="left"/>
        <w:tblInd w:w="0" w:type="dxa"/>
        <w:tblLayout w:type="fixed"/>
        <w:tblCellMar>
          <w:top w:w="0" w:type="dxa"/>
          <w:left w:w="0" w:type="dxa"/>
          <w:bottom w:w="0" w:type="dxa"/>
          <w:right w:w="0" w:type="dxa"/>
        </w:tblCellMar>
      </w:tblPr>
      <w:tblGrid>
        <w:gridCol w:w="2840"/>
        <w:gridCol w:w="4640"/>
        <w:gridCol w:w="60"/>
        <w:gridCol w:w="159"/>
        <w:gridCol w:w="617"/>
        <w:gridCol w:w="76"/>
        <w:gridCol w:w="76"/>
        <w:gridCol w:w="159"/>
        <w:gridCol w:w="292"/>
        <w:gridCol w:w="76"/>
        <w:gridCol w:w="76"/>
        <w:gridCol w:w="159"/>
        <w:gridCol w:w="426"/>
        <w:gridCol w:w="60"/>
      </w:tblGrid>
      <w:tr>
        <w:trPr/>
        <w:tc>
          <w:tcPr>
            <w:tcW w:w="2840" w:type="dxa"/>
            <w:tcBorders/>
            <w:shd w:fill="FFFFFF" w:val="clear"/>
            <w:vAlign w:val="center"/>
          </w:tcPr>
          <w:p>
            <w:pPr>
              <w:pStyle w:val="TableContents"/>
              <w:bidi w:val="0"/>
              <w:spacing w:before="0" w:after="283"/>
              <w:jc w:val="left"/>
              <w:rPr/>
            </w:pPr>
            <w:r>
              <w:rPr/>
              <w:t> </w:t>
            </w:r>
          </w:p>
        </w:tc>
        <w:tc>
          <w:tcPr>
            <w:tcW w:w="464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ind w:left="0" w:right="0" w:hanging="0"/>
              <w:jc w:val="left"/>
              <w:rPr/>
            </w:pPr>
            <w:r>
              <w:rPr/>
              <w:t> </w:t>
            </w:r>
          </w:p>
        </w:tc>
        <w:tc>
          <w:tcPr>
            <w:tcW w:w="464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Classification in Consolidated Statements of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7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4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5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464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464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750" w:type="dxa"/>
        <w:jc w:val="left"/>
        <w:tblInd w:w="0" w:type="dxa"/>
        <w:tblLayout w:type="fixed"/>
        <w:tblCellMar>
          <w:top w:w="0" w:type="dxa"/>
          <w:left w:w="0" w:type="dxa"/>
          <w:bottom w:w="0" w:type="dxa"/>
          <w:right w:w="0" w:type="dxa"/>
        </w:tblCellMar>
      </w:tblPr>
      <w:tblGrid>
        <w:gridCol w:w="380"/>
        <w:gridCol w:w="1370"/>
      </w:tblGrid>
      <w:tr>
        <w:trPr/>
        <w:tc>
          <w:tcPr>
            <w:tcW w:w="380" w:type="dxa"/>
            <w:tcBorders/>
            <w:vAlign w:val="center"/>
          </w:tcPr>
          <w:p>
            <w:pPr>
              <w:pStyle w:val="TableContents"/>
              <w:bidi w:val="0"/>
              <w:spacing w:before="0" w:after="283"/>
              <w:jc w:val="left"/>
              <w:rPr/>
            </w:pPr>
            <w:r>
              <w:rPr>
                <w:rStyle w:val="Emphasis"/>
              </w:rPr>
              <w:t>14.</w:t>
            </w:r>
            <w:r>
              <w:rPr/>
              <w:t> </w:t>
            </w:r>
          </w:p>
        </w:tc>
        <w:tc>
          <w:tcPr>
            <w:tcW w:w="1370" w:type="dxa"/>
            <w:tcBorders/>
            <w:vAlign w:val="center"/>
          </w:tcPr>
          <w:p>
            <w:pPr>
              <w:pStyle w:val="TableContents"/>
              <w:bidi w:val="0"/>
              <w:spacing w:before="0" w:after="283"/>
              <w:jc w:val="left"/>
              <w:rPr/>
            </w:pPr>
            <w:r>
              <w:rPr/>
              <w:t>SEGMENTS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operates in one industry with three reportable operating segments, which represent the Company's three product groups, consisting of Power Solutions and Protection, Connectivity Solutions and Magnetic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Power Solutions and Protection Segment</w:t>
      </w:r>
      <w:r>
        <w:rPr>
          <w:rFonts w:ascii="Times New Roman" w:hAnsi="Times New Roman"/>
          <w:caps w:val="false"/>
          <w:smallCaps w:val="false"/>
          <w:sz w:val="20"/>
        </w:rPr>
        <w:t>: This segment includes internal and external AC/DC power supplies, DC/DC converters and DC/AC inverters utilized in defense, commercial aerospace, industrial, networking and consumer applications. Bel circuit protection products include board level fuses (miniature, micro and surface mount), and Polymeric PTC (Positive Temperature Coefficient) devices, designed for the global electronic and telecommunication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Connectivity Solutions Segment</w:t>
      </w:r>
      <w:r>
        <w:rPr>
          <w:rFonts w:ascii="Times New Roman" w:hAnsi="Times New Roman"/>
          <w:caps w:val="false"/>
          <w:smallCaps w:val="false"/>
          <w:sz w:val="20"/>
        </w:rPr>
        <w:t>: This segment includes high speed and harsh environment copper and optical fiber connectors and integrated assemblies, providing connectivity solutions within the commercial aerospace, military communications, defense, network infrastructure, structured building cabling and several industrial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u w:val="single"/>
        </w:rPr>
        <w:t>Magnetic Solutions Segment:</w:t>
      </w:r>
      <w:r>
        <w:rPr>
          <w:rFonts w:ascii="Times New Roman" w:hAnsi="Times New Roman"/>
          <w:caps w:val="false"/>
          <w:smallCaps w:val="false"/>
          <w:sz w:val="20"/>
        </w:rPr>
        <w:t xml:space="preserve"> This segment includes the Company’s ICM products, which integrate </w:t>
      </w:r>
      <w:r>
        <w:rPr>
          <w:rStyle w:val="Emphasis"/>
          <w:rFonts w:ascii="Times New Roman" w:hAnsi="Times New Roman"/>
          <w:caps w:val="false"/>
          <w:smallCaps w:val="false"/>
          <w:sz w:val="20"/>
        </w:rPr>
        <w:t>RJ45</w:t>
      </w:r>
      <w:r>
        <w:rPr>
          <w:rFonts w:ascii="Times New Roman" w:hAnsi="Times New Roman"/>
          <w:caps w:val="false"/>
          <w:smallCaps w:val="false"/>
          <w:sz w:val="20"/>
        </w:rPr>
        <w:t xml:space="preserve"> connectors with discrete magnetic components to provide better performance and a more robust device, substantially reducing board space and optimizing performance. This segment also includes Power Transformers for use in a wide array of applications, including industrial instrumentation, alarm and security systems, motion control, elevators, and medical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There are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intercompany sales between the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On a quarterly basis, the Company’s CODM, the Chief Executive Officer, utilizes gross profit (a U.S. GAAP measure) as the profitability </w:t>
      </w:r>
      <w:r>
        <w:rPr>
          <w:rFonts w:ascii="Times New Roman" w:hAnsi="Times New Roman"/>
          <w:caps w:val="false"/>
          <w:smallCaps w:val="false"/>
          <w:color w:val="000000"/>
          <w:sz w:val="20"/>
          <w:shd w:fill="FFFFFF" w:val="clear"/>
        </w:rPr>
        <w:t>measure i</w:t>
      </w:r>
      <w:r>
        <w:rPr>
          <w:rFonts w:ascii="Times New Roman" w:hAnsi="Times New Roman"/>
          <w:caps w:val="false"/>
          <w:smallCaps w:val="false"/>
          <w:sz w:val="20"/>
          <w:shd w:fill="FFFFFF" w:val="clear"/>
        </w:rPr>
        <w:t xml:space="preserve">n assessing segment performance. The CODM uses segment gross profit to make commercial and operational related decisions across the business and when evaluating capital deployment opportunities. In accordance with ASU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07,</w:t>
      </w:r>
      <w:r>
        <w:rPr>
          <w:rFonts w:ascii="Times New Roman" w:hAnsi="Times New Roman"/>
          <w:caps w:val="false"/>
          <w:smallCaps w:val="false"/>
          <w:sz w:val="20"/>
          <w:shd w:fill="FFFFFF" w:val="clear"/>
        </w:rPr>
        <w:t xml:space="preserve"> the Company has elected to disclose gross profit as its required measure of segment profit and loss since it represents the measure of segment performance that is most consistent with U.S. GAAP measurement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summary of key financial data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and </w:t>
      </w:r>
      <w:r>
        <w:rPr>
          <w:rStyle w:val="Emphasis"/>
          <w:rFonts w:ascii="Times New Roman" w:hAnsi="Times New Roman"/>
          <w:caps w:val="false"/>
          <w:smallCaps w:val="false"/>
          <w:sz w:val="20"/>
        </w:rPr>
        <w:t>2023</w:t>
      </w:r>
      <w:r>
        <w:rPr>
          <w:rFonts w:ascii="Times New Roman" w:hAnsi="Times New Roman"/>
          <w:caps w:val="false"/>
          <w:smallCaps w:val="false"/>
          <w:sz w:val="20"/>
        </w:rPr>
        <w:t>. In addition to total segment revenues and segment gross profit, the CODM’s quarterly reporting package also includes cost of sales in arriving at the disclosed measure of profitability. The Company has determined that cost of sales is a significant segment expense and is therefore included in the financial data disclosure tables below.</w:t>
      </w:r>
    </w:p>
    <w:p>
      <w:pPr>
        <w:pStyle w:val="TextBody"/>
        <w:bidi w:val="0"/>
        <w:spacing w:before="0" w:after="0"/>
        <w:ind w:left="0" w:right="0" w:hanging="0"/>
        <w:jc w:val="both"/>
        <w:rPr/>
      </w:pPr>
      <w:r>
        <w:rPr/>
        <w:t> </w:t>
      </w:r>
    </w:p>
    <w:tbl>
      <w:tblPr>
        <w:tblW w:w="9388" w:type="dxa"/>
        <w:jc w:val="left"/>
        <w:tblInd w:w="0" w:type="dxa"/>
        <w:tblLayout w:type="fixed"/>
        <w:tblCellMar>
          <w:top w:w="0" w:type="dxa"/>
          <w:left w:w="0" w:type="dxa"/>
          <w:bottom w:w="0" w:type="dxa"/>
          <w:right w:w="0" w:type="dxa"/>
        </w:tblCellMar>
      </w:tblPr>
      <w:tblGrid>
        <w:gridCol w:w="3275"/>
        <w:gridCol w:w="60"/>
        <w:gridCol w:w="208"/>
        <w:gridCol w:w="1161"/>
        <w:gridCol w:w="185"/>
        <w:gridCol w:w="60"/>
        <w:gridCol w:w="163"/>
        <w:gridCol w:w="907"/>
        <w:gridCol w:w="185"/>
        <w:gridCol w:w="60"/>
        <w:gridCol w:w="139"/>
        <w:gridCol w:w="661"/>
        <w:gridCol w:w="185"/>
        <w:gridCol w:w="60"/>
        <w:gridCol w:w="162"/>
        <w:gridCol w:w="772"/>
        <w:gridCol w:w="80"/>
        <w:gridCol w:w="60"/>
        <w:gridCol w:w="125"/>
        <w:gridCol w:w="695"/>
        <w:gridCol w:w="185"/>
      </w:tblGrid>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68"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 December 31, 2025</w:t>
            </w:r>
          </w:p>
        </w:tc>
        <w:tc>
          <w:tcPr>
            <w:tcW w:w="185" w:type="dxa"/>
            <w:tcBorders/>
            <w:shd w:fill="FFFF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Power 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Connectivity</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Magnetic</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and Protection</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18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356,805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675,455</w:t>
            </w:r>
          </w:p>
        </w:tc>
        <w:tc>
          <w:tcPr>
            <w:tcW w:w="18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62,561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411,037</w:t>
            </w:r>
          </w:p>
        </w:tc>
        <w:tc>
          <w:tcPr>
            <w:tcW w:w="18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264,418</w:t>
            </w:r>
          </w:p>
        </w:tc>
        <w:tc>
          <w:tcPr>
            <w:tcW w:w="18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nm</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Other Segment Disclosures: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633,801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183,249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935,200</w:t>
            </w:r>
          </w:p>
        </w:tc>
        <w:tc>
          <w:tcPr>
            <w:tcW w:w="18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12,002</w:t>
            </w:r>
          </w:p>
        </w:tc>
        <w:tc>
          <w:tcPr>
            <w:tcW w:w="185" w:type="dxa"/>
            <w:tcBorders/>
            <w:shd w:fill="FFFFFF" w:val="clear"/>
            <w:vAlign w:val="center"/>
          </w:tcPr>
          <w:p>
            <w:pPr>
              <w:pStyle w:val="TableContents"/>
              <w:bidi w:val="0"/>
              <w:spacing w:before="0" w:after="283"/>
              <w:jc w:val="left"/>
              <w:rPr/>
            </w:pPr>
            <w:r>
              <w:rPr/>
              <w:t> </w:t>
            </w:r>
          </w:p>
        </w:tc>
      </w:tr>
      <w:tr>
        <w:trPr/>
        <w:tc>
          <w:tcPr>
            <w:tcW w:w="32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26,592</w:t>
            </w:r>
          </w:p>
        </w:tc>
        <w:tc>
          <w:tcPr>
            <w:tcW w:w="185" w:type="dxa"/>
            <w:tcBorders/>
            <w:shd w:fill="CCEEFF" w:val="clear"/>
            <w:vAlign w:val="center"/>
          </w:tcPr>
          <w:p>
            <w:pPr>
              <w:pStyle w:val="TableContents"/>
              <w:bidi w:val="0"/>
              <w:spacing w:before="0" w:after="283"/>
              <w:jc w:val="left"/>
              <w:rPr/>
            </w:pPr>
            <w:r>
              <w:rPr/>
              <w:t> </w:t>
            </w:r>
          </w:p>
        </w:tc>
      </w:tr>
      <w:tr>
        <w:trPr/>
        <w:tc>
          <w:tcPr>
            <w:tcW w:w="32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14,751</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9313" w:type="dxa"/>
        <w:jc w:val="left"/>
        <w:tblInd w:w="0" w:type="dxa"/>
        <w:tblLayout w:type="fixed"/>
        <w:tblCellMar>
          <w:top w:w="0" w:type="dxa"/>
          <w:left w:w="0" w:type="dxa"/>
          <w:bottom w:w="0" w:type="dxa"/>
          <w:right w:w="0" w:type="dxa"/>
        </w:tblCellMar>
      </w:tblPr>
      <w:tblGrid>
        <w:gridCol w:w="3200"/>
        <w:gridCol w:w="60"/>
        <w:gridCol w:w="208"/>
        <w:gridCol w:w="1161"/>
        <w:gridCol w:w="185"/>
        <w:gridCol w:w="60"/>
        <w:gridCol w:w="163"/>
        <w:gridCol w:w="907"/>
        <w:gridCol w:w="185"/>
        <w:gridCol w:w="60"/>
        <w:gridCol w:w="139"/>
        <w:gridCol w:w="661"/>
        <w:gridCol w:w="185"/>
        <w:gridCol w:w="60"/>
        <w:gridCol w:w="162"/>
        <w:gridCol w:w="772"/>
        <w:gridCol w:w="80"/>
        <w:gridCol w:w="60"/>
        <w:gridCol w:w="125"/>
        <w:gridCol w:w="695"/>
        <w:gridCol w:w="185"/>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68"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 December 31, 2024</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Power 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Connectivity</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Magnetic</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and Protection</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534,792</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138,606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51,418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332,434</w:t>
            </w:r>
          </w:p>
        </w:tc>
        <w:tc>
          <w:tcPr>
            <w:tcW w:w="185" w:type="dxa"/>
            <w:tcBorders/>
            <w:shd w:fill="FFFFFF" w:val="clear"/>
            <w:vAlign w:val="center"/>
          </w:tcPr>
          <w:p>
            <w:pPr>
              <w:pStyle w:val="TableContents"/>
              <w:bidi w:val="0"/>
              <w:spacing w:before="0" w:after="0"/>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104,126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202,358</w:t>
            </w:r>
          </w:p>
        </w:tc>
        <w:tc>
          <w:tcPr>
            <w:tcW w:w="18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nm</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Other Segment Disclosures: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654,131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177,443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949,789</w:t>
            </w:r>
          </w:p>
        </w:tc>
        <w:tc>
          <w:tcPr>
            <w:tcW w:w="18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14,108</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16,457</w:t>
            </w:r>
          </w:p>
        </w:tc>
        <w:tc>
          <w:tcPr>
            <w:tcW w:w="18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4,078</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313" w:type="dxa"/>
        <w:jc w:val="left"/>
        <w:tblInd w:w="0" w:type="dxa"/>
        <w:tblLayout w:type="fixed"/>
        <w:tblCellMar>
          <w:top w:w="0" w:type="dxa"/>
          <w:left w:w="0" w:type="dxa"/>
          <w:bottom w:w="0" w:type="dxa"/>
          <w:right w:w="0" w:type="dxa"/>
        </w:tblCellMar>
      </w:tblPr>
      <w:tblGrid>
        <w:gridCol w:w="3200"/>
        <w:gridCol w:w="60"/>
        <w:gridCol w:w="208"/>
        <w:gridCol w:w="1161"/>
        <w:gridCol w:w="185"/>
        <w:gridCol w:w="60"/>
        <w:gridCol w:w="163"/>
        <w:gridCol w:w="907"/>
        <w:gridCol w:w="185"/>
        <w:gridCol w:w="60"/>
        <w:gridCol w:w="139"/>
        <w:gridCol w:w="661"/>
        <w:gridCol w:w="185"/>
        <w:gridCol w:w="60"/>
        <w:gridCol w:w="142"/>
        <w:gridCol w:w="792"/>
        <w:gridCol w:w="80"/>
        <w:gridCol w:w="60"/>
        <w:gridCol w:w="125"/>
        <w:gridCol w:w="695"/>
        <w:gridCol w:w="185"/>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68"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 December 31, 2023</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Power 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Connectivity</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Magnetic</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and Protection</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6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$314,105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7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$210,572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$115,136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34"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2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$639,813</w:t>
            </w:r>
          </w:p>
        </w:tc>
        <w:tc>
          <w:tcPr>
            <w:tcW w:w="18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423,964</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25,314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215,849</w:t>
            </w:r>
          </w:p>
        </w:tc>
        <w:tc>
          <w:tcPr>
            <w:tcW w:w="18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nm</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Other Segment Disclosures: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571,631</w:t>
            </w:r>
          </w:p>
        </w:tc>
        <w:tc>
          <w:tcPr>
            <w:tcW w:w="18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12,126</w:t>
            </w:r>
          </w:p>
        </w:tc>
        <w:tc>
          <w:tcPr>
            <w:tcW w:w="185"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13,312</w:t>
            </w:r>
          </w:p>
        </w:tc>
        <w:tc>
          <w:tcPr>
            <w:tcW w:w="185"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2,850</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Entity-Wide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entity-wide information related to the Company's net sales to external customers by geographic area and by major product line. Such information attributes net sales based on markets where revenues are reported.</w:t>
      </w:r>
    </w:p>
    <w:p>
      <w:pPr>
        <w:pStyle w:val="TextBody"/>
        <w:bidi w:val="0"/>
        <w:spacing w:before="0" w:after="0"/>
        <w:ind w:left="0" w:right="0" w:hanging="0"/>
        <w:jc w:val="left"/>
        <w:rPr/>
      </w:pPr>
      <w:r>
        <w:rPr/>
        <w:t> </w:t>
      </w:r>
    </w:p>
    <w:tbl>
      <w:tblPr>
        <w:tblW w:w="5720" w:type="dxa"/>
        <w:jc w:val="left"/>
        <w:tblInd w:w="0" w:type="dxa"/>
        <w:tblLayout w:type="fixed"/>
        <w:tblCellMar>
          <w:top w:w="0" w:type="dxa"/>
          <w:left w:w="0" w:type="dxa"/>
          <w:bottom w:w="0" w:type="dxa"/>
          <w:right w:w="0" w:type="dxa"/>
        </w:tblCellMar>
      </w:tblPr>
      <w:tblGrid>
        <w:gridCol w:w="2900"/>
        <w:gridCol w:w="60"/>
        <w:gridCol w:w="125"/>
        <w:gridCol w:w="695"/>
        <w:gridCol w:w="60"/>
        <w:gridCol w:w="60"/>
        <w:gridCol w:w="125"/>
        <w:gridCol w:w="695"/>
        <w:gridCol w:w="60"/>
        <w:gridCol w:w="60"/>
        <w:gridCol w:w="125"/>
        <w:gridCol w:w="695"/>
        <w:gridCol w:w="60"/>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December 31,</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 by Geographic Location: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447,793</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People's Republic of China (PRC)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43,109</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Macao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35,026</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25,648</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Slovakia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35,555</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17,327</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15,365</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Switzerland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11,237</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Israel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foreign countries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8,753</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639,813</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 by Major Product Line: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Power solutions and protection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314,105</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Connectivity solutions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210,572</w:t>
            </w:r>
          </w:p>
        </w:tc>
        <w:tc>
          <w:tcPr>
            <w:tcW w:w="6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Magnetic solutions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115,136</w:t>
            </w:r>
          </w:p>
        </w:tc>
        <w:tc>
          <w:tcPr>
            <w:tcW w:w="6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639,813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is a summary of long-lived assets by geographic area as of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w:t>
      </w:r>
    </w:p>
    <w:p>
      <w:pPr>
        <w:pStyle w:val="TextBody"/>
        <w:bidi w:val="0"/>
        <w:spacing w:before="0" w:after="0"/>
        <w:ind w:left="0" w:right="0" w:hanging="0"/>
        <w:jc w:val="left"/>
        <w:rPr/>
      </w:pPr>
      <w:r>
        <w:rPr/>
        <w:t> </w:t>
      </w:r>
    </w:p>
    <w:tbl>
      <w:tblPr>
        <w:tblW w:w="5260" w:type="dxa"/>
        <w:jc w:val="left"/>
        <w:tblInd w:w="0" w:type="dxa"/>
        <w:tblLayout w:type="fixed"/>
        <w:tblCellMar>
          <w:top w:w="0" w:type="dxa"/>
          <w:left w:w="0" w:type="dxa"/>
          <w:bottom w:w="0" w:type="dxa"/>
          <w:right w:w="0" w:type="dxa"/>
        </w:tblCellMar>
      </w:tblPr>
      <w:tblGrid>
        <w:gridCol w:w="3590"/>
        <w:gridCol w:w="60"/>
        <w:gridCol w:w="125"/>
        <w:gridCol w:w="590"/>
        <w:gridCol w:w="60"/>
        <w:gridCol w:w="60"/>
        <w:gridCol w:w="125"/>
        <w:gridCol w:w="590"/>
        <w:gridCol w:w="60"/>
      </w:tblGrid>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Long-lived Assets by Geographic Location: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40,840</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People's Republic of China (PRC)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23,942</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Slovakia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6,553</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Israel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4,125</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foreign countries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4,057</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Consolidated long-lived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82,518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Long-lived assets consist of property, plant and equipment, net and other assets of the Company that are identified with the operations of each geographic area.</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territory of Hong Kong became a Special Administrative Region ("SAR") of the PRC in the middle of </w:t>
      </w:r>
      <w:r>
        <w:rPr>
          <w:rStyle w:val="Emphasis"/>
          <w:rFonts w:ascii="Times New Roman;Times;serif" w:hAnsi="Times New Roman;Times;serif"/>
          <w:sz w:val="20"/>
        </w:rPr>
        <w:t>1997.</w:t>
      </w:r>
      <w:r>
        <w:rPr>
          <w:rFonts w:ascii="Times New Roman;Times;serif" w:hAnsi="Times New Roman;Times;serif"/>
          <w:sz w:val="20"/>
        </w:rPr>
        <w:t xml:space="preserve"> The territory of Macao became a SAR of the PRC at the end of </w:t>
      </w:r>
      <w:r>
        <w:rPr>
          <w:rStyle w:val="Emphasis"/>
          <w:rFonts w:ascii="Times New Roman;Times;serif" w:hAnsi="Times New Roman;Times;serif"/>
          <w:sz w:val="20"/>
        </w:rPr>
        <w:t>1999.</w:t>
      </w:r>
      <w:r>
        <w:rPr>
          <w:rFonts w:ascii="Times New Roman;Times;serif" w:hAnsi="Times New Roman;Times;serif"/>
          <w:sz w:val="20"/>
        </w:rPr>
        <w:t xml:space="preserve"> Management cannot presently predict what future impact the current status of these territories, along with evolving political landscape in the region, will have on the Company, if any, or how the political climate in the PRC will affect the Company's contractual arrangements in the PRC (including risks arising out of any changes in governmental and economic policy, such as increased or new tariffs, and current or additional trade restrictions, and the potential for adverse developments arising out of any political or economic instability related to Hong Kong or Taiwan). A significant portion of the Company's manufacturing operations and approximately 32.0% of its identifiable assets are located in Asia.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Net Sales to Major Customers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had no direct customers whose net sales represented in excess of </w:t>
      </w:r>
      <w:r>
        <w:rPr>
          <w:rStyle w:val="Emphasis"/>
          <w:rFonts w:ascii="Times New Roman;Times;serif" w:hAnsi="Times New Roman;Times;serif"/>
          <w:sz w:val="20"/>
        </w:rPr>
        <w:t>ten</w:t>
      </w:r>
      <w:r>
        <w:rPr>
          <w:rFonts w:ascii="Times New Roman;Times;serif" w:hAnsi="Times New Roman;Times;serif"/>
          <w:sz w:val="20"/>
        </w:rPr>
        <w:t xml:space="preserve"> percent of the Company's consolidated net sales in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xml:space="preserve"> or </w:t>
      </w:r>
      <w:r>
        <w:rPr>
          <w:rStyle w:val="Emphasis"/>
          <w:rFonts w:ascii="Times New Roman;Times;serif" w:hAnsi="Times New Roman;Times;serif"/>
          <w:sz w:val="20"/>
        </w:rPr>
        <w:t>2023.</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040" w:type="dxa"/>
        <w:jc w:val="left"/>
        <w:tblInd w:w="0" w:type="dxa"/>
        <w:tblLayout w:type="fixed"/>
        <w:tblCellMar>
          <w:top w:w="0" w:type="dxa"/>
          <w:left w:w="0" w:type="dxa"/>
          <w:bottom w:w="0" w:type="dxa"/>
          <w:right w:w="0" w:type="dxa"/>
        </w:tblCellMar>
      </w:tblPr>
      <w:tblGrid>
        <w:gridCol w:w="380"/>
        <w:gridCol w:w="5660"/>
      </w:tblGrid>
      <w:tr>
        <w:trPr/>
        <w:tc>
          <w:tcPr>
            <w:tcW w:w="380" w:type="dxa"/>
            <w:tcBorders/>
            <w:vAlign w:val="center"/>
          </w:tcPr>
          <w:p>
            <w:pPr>
              <w:pStyle w:val="TableContents"/>
              <w:bidi w:val="0"/>
              <w:spacing w:before="0" w:after="283"/>
              <w:jc w:val="left"/>
              <w:rPr/>
            </w:pPr>
            <w:r>
              <w:rPr>
                <w:rStyle w:val="Emphasis"/>
              </w:rPr>
              <w:t>15.</w:t>
            </w:r>
            <w:r>
              <w:rPr/>
              <w:t> </w:t>
            </w:r>
          </w:p>
        </w:tc>
        <w:tc>
          <w:tcPr>
            <w:tcW w:w="5660" w:type="dxa"/>
            <w:tcBorders/>
            <w:vAlign w:val="center"/>
          </w:tcPr>
          <w:p>
            <w:pPr>
              <w:pStyle w:val="TableContents"/>
              <w:bidi w:val="0"/>
              <w:spacing w:before="0" w:after="283"/>
              <w:jc w:val="left"/>
              <w:rPr/>
            </w:pPr>
            <w:r>
              <w:rPr/>
              <w:t>RETIREMENT FUND AND PROFIT SHARING PLAN</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maintains the Bel Fuse Inc. Employees' Savings Plan, a defined contribution plan that is intended to meet the applicable requirements for tax-qualification under sections </w:t>
      </w:r>
      <w:r>
        <w:rPr>
          <w:rStyle w:val="Emphasis"/>
          <w:rFonts w:ascii="Times New Roman;Times;serif" w:hAnsi="Times New Roman;Times;serif"/>
          <w:sz w:val="20"/>
        </w:rPr>
        <w:t>401</w:t>
      </w:r>
      <w:r>
        <w:rPr>
          <w:rFonts w:ascii="Times New Roman;Times;serif" w:hAnsi="Times New Roman;Times;serif"/>
          <w:sz w:val="20"/>
        </w:rPr>
        <w:t xml:space="preserve">(a) and (k) of the Internal Revenue Code of </w:t>
      </w:r>
      <w:r>
        <w:rPr>
          <w:rStyle w:val="Emphasis"/>
          <w:rFonts w:ascii="Times New Roman;Times;serif" w:hAnsi="Times New Roman;Times;serif"/>
          <w:sz w:val="20"/>
        </w:rPr>
        <w:t>1986,</w:t>
      </w:r>
      <w:r>
        <w:rPr>
          <w:rFonts w:ascii="Times New Roman;Times;serif" w:hAnsi="Times New Roman;Times;serif"/>
          <w:sz w:val="20"/>
        </w:rPr>
        <w:t xml:space="preserve"> as amended (the "Code"). The Employees' Savings Plan allows eligible employees to voluntarily contribute a percentage of their eligible compensation, subject to Code limitations, which contributions are matched by the Company in an amount equal to 100% of the </w:t>
      </w:r>
      <w:r>
        <w:rPr>
          <w:rStyle w:val="Emphasis"/>
          <w:rFonts w:ascii="Times New Roman;Times;serif" w:hAnsi="Times New Roman;Times;serif"/>
          <w:sz w:val="20"/>
        </w:rPr>
        <w:t>first</w:t>
      </w:r>
      <w:r>
        <w:rPr>
          <w:rFonts w:ascii="Times New Roman;Times;serif" w:hAnsi="Times New Roman;Times;serif"/>
          <w:sz w:val="20"/>
        </w:rPr>
        <w:t xml:space="preserve"> </w:t>
      </w:r>
      <w:r>
        <w:rPr>
          <w:rStyle w:val="Emphasis"/>
          <w:rFonts w:ascii="Times New Roman;Times;serif" w:hAnsi="Times New Roman;Times;serif"/>
          <w:sz w:val="20"/>
        </w:rPr>
        <w:t>1%</w:t>
      </w:r>
      <w:r>
        <w:rPr>
          <w:rFonts w:ascii="Times New Roman;Times;serif" w:hAnsi="Times New Roman;Times;serif"/>
          <w:sz w:val="20"/>
        </w:rPr>
        <w:t xml:space="preserve"> of compensation contributed by participants, and 50% of the next </w:t>
      </w:r>
      <w:r>
        <w:rPr>
          <w:rStyle w:val="Emphasis"/>
          <w:rFonts w:ascii="Times New Roman;Times;serif" w:hAnsi="Times New Roman;Times;serif"/>
          <w:sz w:val="20"/>
        </w:rPr>
        <w:t>5%</w:t>
      </w:r>
      <w:r>
        <w:rPr>
          <w:rFonts w:ascii="Times New Roman;Times;serif" w:hAnsi="Times New Roman;Times;serif"/>
          <w:sz w:val="20"/>
        </w:rPr>
        <w:t xml:space="preserve"> of compensation contributed by participants. The Company's matching contribution is made in the form of Bel Fuse Inc. Class A common stock. Prior to </w:t>
      </w:r>
      <w:r>
        <w:rPr>
          <w:rStyle w:val="Emphasis"/>
          <w:rFonts w:ascii="Times New Roman;Times;serif" w:hAnsi="Times New Roman;Times;serif"/>
          <w:sz w:val="20"/>
        </w:rPr>
        <w:t xml:space="preserve">January 1, 2012, </w:t>
      </w:r>
      <w:r>
        <w:rPr>
          <w:rFonts w:ascii="Times New Roman;Times;serif" w:hAnsi="Times New Roman;Times;serif"/>
          <w:sz w:val="20"/>
        </w:rPr>
        <w:t xml:space="preserve">the Company's matching and profit sharing contributions were made in the form of shares of Bel Fuse Inc. Class A and Class B common stock. The expense for each of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xml:space="preserve"> amounted to $1.5 million, $1.4 million and $1.3 million, respectively. As of </w:t>
      </w:r>
      <w:r>
        <w:rPr>
          <w:rStyle w:val="Emphasis"/>
          <w:rFonts w:ascii="Times New Roman;Times;serif" w:hAnsi="Times New Roman;Times;serif"/>
          <w:sz w:val="20"/>
        </w:rPr>
        <w:t>December 31, 2025</w:t>
      </w:r>
      <w:r>
        <w:rPr>
          <w:rFonts w:ascii="Times New Roman;Times;serif" w:hAnsi="Times New Roman;Times;serif"/>
          <w:sz w:val="20"/>
        </w:rPr>
        <w:t>, the plan owned approximately 231,162 shares and 46,531 shares of Bel Fuse Inc. Class A and Class B common stock, respectively.</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also maintains a Nonqualified Deferred Compensation Plan (the "DCP"). With certain exceptions, the Company's contributions to the DCP are discretionary and become fully vested by the participants upon reaching age 65. The expense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xml:space="preserve"> amounted to $0.2 million, $0.2 million and $0.2 million, respectively. As the plan is fully funded, the assets and liabilities related to the DCP were in equal amounts of $1.7 million at </w:t>
      </w:r>
      <w:r>
        <w:rPr>
          <w:rStyle w:val="Emphasis"/>
          <w:rFonts w:ascii="Times New Roman;Times;serif" w:hAnsi="Times New Roman;Times;serif"/>
          <w:sz w:val="20"/>
        </w:rPr>
        <w:t>December 31, 2025</w:t>
      </w:r>
      <w:r>
        <w:rPr>
          <w:rFonts w:ascii="Times New Roman;Times;serif" w:hAnsi="Times New Roman;Times;serif"/>
          <w:sz w:val="20"/>
        </w:rPr>
        <w:t xml:space="preserve"> and $1.3 million at </w:t>
      </w:r>
      <w:r>
        <w:rPr>
          <w:rStyle w:val="Emphasis"/>
          <w:rFonts w:ascii="Times New Roman;Times;serif" w:hAnsi="Times New Roman;Times;serif"/>
          <w:sz w:val="20"/>
        </w:rPr>
        <w:t>December 31, 2024</w:t>
      </w:r>
      <w:r>
        <w:rPr>
          <w:rFonts w:ascii="Times New Roman;Times;serif" w:hAnsi="Times New Roman;Times;serif"/>
          <w:sz w:val="20"/>
        </w:rPr>
        <w:t>. These amounts are included in other assets and other liabilities, respectively, on the accompanying consolidated balance sheets as of each date.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Company's subsidiaries in Asia have a retirement fund covering substantially all of their Hong Kong based full-time employees. Eligible employees contribute up to 5% of salary to the fund. In addition, the Company must contribute a minimum of 5% of eligible salary, as determined by Hong Kong government regulations. The Company currently contributes 7% of eligible salary in cash. The expense for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xml:space="preserve"> amounted to approximately $0.3 million, $0.3 million and $1.5 million, respectively.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maintains a SERP (sometimes referenced in this discussion as the “Plan”), which is designed to provide a limited group of key management and other key employees of the Company with supplemental retirement and death benefits. Participants in the SERP are selected by the Compensation Committee of the Board of Directors. The SERP initially became effective in </w:t>
      </w:r>
      <w:r>
        <w:rPr>
          <w:rStyle w:val="Emphasis"/>
          <w:rFonts w:ascii="Times New Roman;Times;serif" w:hAnsi="Times New Roman;Times;serif"/>
          <w:sz w:val="20"/>
        </w:rPr>
        <w:t>2002</w:t>
      </w:r>
      <w:r>
        <w:rPr>
          <w:rFonts w:ascii="Times New Roman;Times;serif" w:hAnsi="Times New Roman;Times;serif"/>
          <w:sz w:val="20"/>
        </w:rPr>
        <w:t xml:space="preserve"> and was amended and restated in </w:t>
      </w:r>
      <w:r>
        <w:rPr>
          <w:rStyle w:val="Emphasis"/>
          <w:rFonts w:ascii="Times New Roman;Times;serif" w:hAnsi="Times New Roman;Times;serif"/>
          <w:sz w:val="20"/>
        </w:rPr>
        <w:t xml:space="preserve">April 2007 </w:t>
      </w:r>
      <w:r>
        <w:rPr>
          <w:rFonts w:ascii="Times New Roman;Times;serif" w:hAnsi="Times New Roman;Times;serif"/>
          <w:sz w:val="20"/>
        </w:rPr>
        <w:t xml:space="preserve">to conform with applicable requirements of Section </w:t>
      </w:r>
      <w:r>
        <w:rPr>
          <w:rStyle w:val="Emphasis"/>
          <w:rFonts w:ascii="Times New Roman;Times;serif" w:hAnsi="Times New Roman;Times;serif"/>
          <w:sz w:val="20"/>
        </w:rPr>
        <w:t>409A</w:t>
      </w:r>
      <w:r>
        <w:rPr>
          <w:rFonts w:ascii="Times New Roman;Times;serif" w:hAnsi="Times New Roman;Times;serif"/>
          <w:sz w:val="20"/>
        </w:rPr>
        <w:t xml:space="preserve"> of the Internal Revenue Code and to modify the provisions regarding benefits payable in connection with a change in control of the Company. The Plan is unfunded. Benefits under the SERP are payable from the general assets of the Company, but the Company has established a rabbi trust which includes certain life insurance policies in effect on participants as well as other investments to partially cover the Company's obligations under the Plan. See </w:t>
      </w:r>
      <w:r>
        <w:rPr>
          <w:rFonts w:ascii="Times New Roman;Times;serif" w:hAnsi="Times New Roman;Times;serif"/>
          <w:sz w:val="20"/>
          <w:shd w:fill="FFFFFF" w:val="clear"/>
        </w:rPr>
        <w:t xml:space="preserve">Note </w:t>
      </w:r>
      <w:r>
        <w:rPr>
          <w:rStyle w:val="Emphasis"/>
          <w:rFonts w:ascii="Times New Roman;Times;serif" w:hAnsi="Times New Roman;Times;serif"/>
          <w:sz w:val="20"/>
          <w:shd w:fill="FFFFFF" w:val="clear"/>
        </w:rPr>
        <w:t>7,</w:t>
      </w:r>
      <w:r>
        <w:rPr>
          <w:rFonts w:ascii="Times New Roman;Times;serif" w:hAnsi="Times New Roman;Times;serif"/>
          <w:sz w:val="20"/>
          <w:shd w:fill="FFFFFF" w:val="clear"/>
        </w:rPr>
        <w:t xml:space="preserve"> "</w:t>
      </w:r>
      <w:r>
        <w:rPr>
          <w:rFonts w:ascii="Times New Roman;Times;serif" w:hAnsi="Times New Roman;Times;serif"/>
          <w:i/>
          <w:sz w:val="20"/>
          <w:shd w:fill="FFFFFF" w:val="clear"/>
        </w:rPr>
        <w:t>Other Assets</w:t>
      </w:r>
      <w:r>
        <w:rPr>
          <w:rFonts w:ascii="Times New Roman;Times;serif" w:hAnsi="Times New Roman;Times;serif"/>
          <w:sz w:val="20"/>
          <w:shd w:fill="FFFFFF" w:val="clear"/>
        </w:rPr>
        <w:t>," for further information on these assets.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The benefits available under the SERP vary according to when and how the participant terminates employment with the Company. If a participant retires (with the prior written consent of the Company) on his normal retirement date (</w:t>
      </w:r>
      <w:r>
        <w:rPr>
          <w:rStyle w:val="Emphasis"/>
          <w:rFonts w:ascii="Times New Roman" w:hAnsi="Times New Roman"/>
          <w:caps w:val="false"/>
          <w:smallCaps w:val="false"/>
          <w:sz w:val="20"/>
        </w:rPr>
        <w:t>65</w:t>
      </w:r>
      <w:r>
        <w:rPr>
          <w:rFonts w:ascii="Times New Roman" w:hAnsi="Times New Roman"/>
          <w:caps w:val="false"/>
          <w:smallCaps w:val="false"/>
          <w:sz w:val="20"/>
        </w:rPr>
        <w:t xml:space="preserve"> years old,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years of service, and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years of Plan participation), his normal retirement benefit under the Plan would be annual payments equal to 40% of his average base compensation (calculated using compensation from the highest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consecutive calendar years of Plan participation), payable in monthly installments for the remainder of his life. If a participant retires early from the Company (</w:t>
      </w:r>
      <w:r>
        <w:rPr>
          <w:rStyle w:val="Emphasis"/>
          <w:rFonts w:ascii="Times New Roman" w:hAnsi="Times New Roman"/>
          <w:caps w:val="false"/>
          <w:smallCaps w:val="false"/>
          <w:sz w:val="20"/>
        </w:rPr>
        <w:t>55</w:t>
      </w:r>
      <w:r>
        <w:rPr>
          <w:rFonts w:ascii="Times New Roman" w:hAnsi="Times New Roman"/>
          <w:caps w:val="false"/>
          <w:smallCaps w:val="false"/>
          <w:sz w:val="20"/>
        </w:rPr>
        <w:t xml:space="preserve"> years old,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years of service, and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of Plan participation), his early retirement benefit under the Plan would be an amount (i) calculated as if his early retirement date were in fact his normal retirement date, (ii) multiplied by a fraction, with the numerator being the actual years of service the participant has with the Company and the denominator being the years of service the participant would have had if he had retired at age </w:t>
      </w:r>
      <w:r>
        <w:rPr>
          <w:rStyle w:val="Emphasis"/>
          <w:rFonts w:ascii="Times New Roman" w:hAnsi="Times New Roman"/>
          <w:caps w:val="false"/>
          <w:smallCaps w:val="false"/>
          <w:sz w:val="20"/>
        </w:rPr>
        <w:t>65,</w:t>
      </w:r>
      <w:r>
        <w:rPr>
          <w:rFonts w:ascii="Times New Roman" w:hAnsi="Times New Roman"/>
          <w:caps w:val="false"/>
          <w:smallCaps w:val="false"/>
          <w:sz w:val="20"/>
        </w:rPr>
        <w:t xml:space="preserve"> and (iii) actuarially reduced to reflect the early retirement date. If a participant dies prior to receiving 120 monthly payments under the Plan, his beneficiary would be entitled to continue receiving benefits for the shorter of (i) the time necessary to complete </w:t>
      </w:r>
      <w:r>
        <w:rPr>
          <w:rStyle w:val="Emphasis"/>
          <w:rFonts w:ascii="Times New Roman" w:hAnsi="Times New Roman"/>
          <w:caps w:val="false"/>
          <w:smallCaps w:val="false"/>
          <w:sz w:val="20"/>
        </w:rPr>
        <w:t>120</w:t>
      </w:r>
      <w:r>
        <w:rPr>
          <w:rFonts w:ascii="Times New Roman" w:hAnsi="Times New Roman"/>
          <w:caps w:val="false"/>
          <w:smallCaps w:val="false"/>
          <w:sz w:val="20"/>
        </w:rPr>
        <w:t xml:space="preserve"> monthly payments or (ii)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months. If a participant dies while employed by the Company, his beneficiary would receive, as a survivor benefit, an annual amount equal to (i) 100% of the participant's annual base salary at date of death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and (ii) 50% of the participant's annual base salary at date of death for each of the following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years, each payable in monthly installments. The Plan also provides for disability benefits, and a forfeiture of benefits if a participant terminates employment for reasons other than those contemplated under the Plan. The expense related to the Plan for the years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amounted to $1.1 million, $1.4 million and $1.3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Net Periodic Benefit Cost</w:t>
      </w:r>
    </w:p>
    <w:p>
      <w:pPr>
        <w:pStyle w:val="TextBody"/>
        <w:bidi w:val="0"/>
        <w:spacing w:before="0" w:after="0"/>
        <w:ind w:left="0" w:right="0" w:hanging="0"/>
        <w:jc w:val="both"/>
        <w:rPr/>
      </w:pPr>
      <w:r>
        <w:rPr>
          <w:rFonts w:ascii="Times New Roman;Times;serif" w:hAnsi="Times New Roman;Times;serif"/>
          <w:sz w:val="20"/>
        </w:rPr>
        <w:br/>
        <w:t xml:space="preserve">The net periodic benefit cost related to the SERP consisted of the following components during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w:t>
      </w:r>
    </w:p>
    <w:p>
      <w:pPr>
        <w:pStyle w:val="TextBody"/>
        <w:bidi w:val="0"/>
        <w:spacing w:before="0" w:after="0"/>
        <w:ind w:left="0" w:right="0" w:hanging="0"/>
        <w:jc w:val="left"/>
        <w:rPr/>
      </w:pPr>
      <w:r>
        <w:rPr/>
        <w:t> </w:t>
      </w:r>
    </w:p>
    <w:tbl>
      <w:tblPr>
        <w:tblW w:w="4328" w:type="dxa"/>
        <w:jc w:val="left"/>
        <w:tblInd w:w="0" w:type="dxa"/>
        <w:tblLayout w:type="fixed"/>
        <w:tblCellMar>
          <w:top w:w="0" w:type="dxa"/>
          <w:left w:w="0" w:type="dxa"/>
          <w:bottom w:w="0" w:type="dxa"/>
          <w:right w:w="0" w:type="dxa"/>
        </w:tblCellMar>
      </w:tblPr>
      <w:tblGrid>
        <w:gridCol w:w="2015"/>
        <w:gridCol w:w="60"/>
        <w:gridCol w:w="131"/>
        <w:gridCol w:w="509"/>
        <w:gridCol w:w="84"/>
        <w:gridCol w:w="63"/>
        <w:gridCol w:w="131"/>
        <w:gridCol w:w="509"/>
        <w:gridCol w:w="63"/>
        <w:gridCol w:w="63"/>
        <w:gridCol w:w="131"/>
        <w:gridCol w:w="509"/>
        <w:gridCol w:w="60"/>
      </w:tblGrid>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December 31,</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6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5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amortization</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benefit cost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service cost component of net benefit cost is presented within cost of sales or selling, general and administrative expense on the accompanying consolidated statements of operations, in accordance with where compensation cost for the related associate is reported. All other components of net benefit cost, including interest cost and net amortization noted above, are presented within other income/expense, net in the accompanying consolidated statements of operations.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60" w:right="0" w:hanging="180"/>
        <w:jc w:val="both"/>
        <w:rPr>
          <w:rFonts w:ascii="Times New Roman" w:hAnsi="Times New Roman"/>
          <w:caps w:val="false"/>
          <w:smallCaps w:val="false"/>
          <w:sz w:val="20"/>
          <w:u w:val="single"/>
        </w:rPr>
      </w:pPr>
      <w:r>
        <w:rPr>
          <w:rFonts w:ascii="Times New Roman" w:hAnsi="Times New Roman"/>
          <w:caps w:val="false"/>
          <w:smallCaps w:val="false"/>
          <w:sz w:val="20"/>
          <w:u w:val="single"/>
        </w:rPr>
        <w:t>Obligations and Funded Status</w:t>
      </w:r>
    </w:p>
    <w:p>
      <w:pPr>
        <w:pStyle w:val="TextBody"/>
        <w:bidi w:val="0"/>
        <w:spacing w:before="0" w:after="0"/>
        <w:ind w:left="0" w:right="0" w:hanging="0"/>
        <w:jc w:val="both"/>
        <w:rPr/>
      </w:pPr>
      <w:r>
        <w:rPr>
          <w:rFonts w:ascii="Times New Roman;Times;serif" w:hAnsi="Times New Roman;Times;serif"/>
          <w:sz w:val="20"/>
        </w:rPr>
        <w:br/>
        <w:t>Summarized information related to the SERP about the changes in Plan assets and benefit obligation, the funded status and the amounts recorded at </w:t>
      </w:r>
      <w:r>
        <w:rPr>
          <w:rStyle w:val="Emphasis"/>
          <w:rFonts w:ascii="Times New Roman;Times;serif" w:hAnsi="Times New Roman;Times;serif"/>
          <w:sz w:val="20"/>
        </w:rPr>
        <w:t xml:space="preserve"> 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are as follows:</w:t>
      </w:r>
    </w:p>
    <w:p>
      <w:pPr>
        <w:pStyle w:val="TextBody"/>
        <w:bidi w:val="0"/>
        <w:spacing w:before="0" w:after="0"/>
        <w:ind w:left="0" w:right="0" w:hanging="0"/>
        <w:jc w:val="left"/>
        <w:rPr/>
      </w:pPr>
      <w:r>
        <w:rPr/>
        <w:t> </w:t>
      </w:r>
    </w:p>
    <w:tbl>
      <w:tblPr>
        <w:tblW w:w="5442" w:type="dxa"/>
        <w:jc w:val="left"/>
        <w:tblInd w:w="0" w:type="dxa"/>
        <w:tblLayout w:type="fixed"/>
        <w:tblCellMar>
          <w:top w:w="0" w:type="dxa"/>
          <w:left w:w="0" w:type="dxa"/>
          <w:bottom w:w="0" w:type="dxa"/>
          <w:right w:w="0" w:type="dxa"/>
        </w:tblCellMar>
      </w:tblPr>
      <w:tblGrid>
        <w:gridCol w:w="3110"/>
        <w:gridCol w:w="60"/>
        <w:gridCol w:w="162"/>
        <w:gridCol w:w="844"/>
        <w:gridCol w:w="103"/>
        <w:gridCol w:w="77"/>
        <w:gridCol w:w="162"/>
        <w:gridCol w:w="844"/>
        <w:gridCol w:w="80"/>
      </w:tblGrid>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Years Ended December 31,</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 January 1</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Company contributions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Benefits paid</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Benefit obligation, January 1</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18,039</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19,484</w:t>
            </w:r>
          </w:p>
        </w:tc>
        <w:tc>
          <w:tcPr>
            <w:tcW w:w="8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Service cost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Interest cost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w:t>
            </w:r>
          </w:p>
        </w:tc>
        <w:tc>
          <w:tcPr>
            <w:tcW w:w="8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Benefits paid</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(1,012</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Actuarial loss (gain)</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obligation, December 31</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18,911</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18,039</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Underfunded status, December 31</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(18,911</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recorded the </w:t>
      </w:r>
      <w:r>
        <w:rPr>
          <w:rStyle w:val="Emphasis"/>
          <w:rFonts w:ascii="Times New Roman;Times;serif" w:hAnsi="Times New Roman;Times;serif"/>
          <w:sz w:val="20"/>
        </w:rPr>
        <w:t>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underfunded status as a long-term liability on the consolidated balance sheets. The accumulated benefit obligation for the SERP was $18.0 million as of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$17.2 million as of </w:t>
      </w:r>
      <w:r>
        <w:rPr>
          <w:rStyle w:val="Emphasis"/>
          <w:rFonts w:ascii="Times New Roman;Times;serif" w:hAnsi="Times New Roman;Times;serif"/>
          <w:sz w:val="20"/>
        </w:rPr>
        <w:t>December 31, 2024</w:t>
      </w:r>
      <w:r>
        <w:rPr>
          <w:rFonts w:ascii="Times New Roman;Times;serif" w:hAnsi="Times New Roman;Times;serif"/>
          <w:sz w:val="20"/>
        </w:rPr>
        <w:t xml:space="preserve">. The aforementioned company-owned life insurance policies and marketable securities held in a rabbi trust had a combined value of $18.4 million and $17.0 million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respectively. See Note </w:t>
      </w:r>
      <w:r>
        <w:rPr>
          <w:rStyle w:val="Emphasis"/>
          <w:rFonts w:ascii="Times New Roman;Times;serif" w:hAnsi="Times New Roman;Times;serif"/>
          <w:sz w:val="20"/>
        </w:rPr>
        <w:t>7,</w:t>
      </w:r>
      <w:r>
        <w:rPr>
          <w:rFonts w:ascii="Times New Roman;Times;serif" w:hAnsi="Times New Roman;Times;serif"/>
          <w:sz w:val="20"/>
        </w:rPr>
        <w:t xml:space="preserve"> "</w:t>
      </w:r>
      <w:r>
        <w:rPr>
          <w:rFonts w:ascii="Times New Roman;Times;serif" w:hAnsi="Times New Roman;Times;serif"/>
          <w:i/>
          <w:sz w:val="20"/>
        </w:rPr>
        <w:t>Other Assets,</w:t>
      </w:r>
      <w:r>
        <w:rPr>
          <w:rFonts w:ascii="Times New Roman;Times;serif" w:hAnsi="Times New Roman;Times;serif"/>
          <w:sz w:val="20"/>
        </w:rPr>
        <w:t>" for additional information on these investments.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estimated net loss and prior service cost for the SERP that will be amortized from accumulated other comprehensive loss into net periodic benefit cost over the next fiscal year is $0.1 m</w:t>
      </w:r>
      <w:r>
        <w:rPr>
          <w:rFonts w:ascii="Times New Roman;Times;serif" w:hAnsi="Times New Roman;Times;serif"/>
          <w:sz w:val="20"/>
          <w:shd w:fill="FFFFFF" w:val="clear"/>
        </w:rPr>
        <w:t>illion. T</w:t>
      </w:r>
      <w:r>
        <w:rPr>
          <w:rFonts w:ascii="Times New Roman;Times;serif" w:hAnsi="Times New Roman;Times;serif"/>
          <w:sz w:val="20"/>
        </w:rPr>
        <w:t>he Company expects to make contributions of $1.1 m</w:t>
      </w:r>
      <w:r>
        <w:rPr>
          <w:rFonts w:ascii="Times New Roman;Times;serif" w:hAnsi="Times New Roman;Times;serif"/>
          <w:sz w:val="20"/>
          <w:shd w:fill="FFFFFF" w:val="clear"/>
        </w:rPr>
        <w:t xml:space="preserve">illion to the SERP in </w:t>
      </w:r>
      <w:r>
        <w:rPr>
          <w:rStyle w:val="Emphasis"/>
          <w:rFonts w:ascii="Times New Roman;Times;serif" w:hAnsi="Times New Roman;Times;serif"/>
          <w:sz w:val="20"/>
          <w:shd w:fill="FFFFFF" w:val="clear"/>
        </w:rPr>
        <w:t>2026.</w:t>
      </w:r>
      <w:r>
        <w:rPr>
          <w:rFonts w:ascii="Times New Roman;Times;serif" w:hAnsi="Times New Roman;Times;serif"/>
          <w:sz w:val="20"/>
        </w:rPr>
        <w:t xml:space="preserve"> The Company had </w:t>
      </w:r>
      <w:r>
        <w:rPr>
          <w:rStyle w:val="Emphasis"/>
          <w:rFonts w:ascii="Times New Roman;Times;serif" w:hAnsi="Times New Roman;Times;serif"/>
          <w:sz w:val="20"/>
        </w:rPr>
        <w:t>no</w:t>
      </w:r>
      <w:r>
        <w:rPr>
          <w:rFonts w:ascii="Times New Roman;Times;serif" w:hAnsi="Times New Roman;Times;serif"/>
          <w:sz w:val="20"/>
        </w:rPr>
        <w:t xml:space="preserve"> net transition assets or obligations recognized as an adjustment to other comprehensive income and does </w:t>
      </w:r>
      <w:r>
        <w:rPr>
          <w:rStyle w:val="Emphasis"/>
          <w:rFonts w:ascii="Times New Roman;Times;serif" w:hAnsi="Times New Roman;Times;serif"/>
          <w:sz w:val="20"/>
        </w:rPr>
        <w:t>not</w:t>
      </w:r>
      <w:r>
        <w:rPr>
          <w:rFonts w:ascii="Times New Roman;Times;serif" w:hAnsi="Times New Roman;Times;serif"/>
          <w:sz w:val="20"/>
        </w:rPr>
        <w:t xml:space="preserve"> anticipate any Plan assets being returned to the Company during </w:t>
      </w:r>
      <w:r>
        <w:rPr>
          <w:rStyle w:val="Emphasis"/>
          <w:rFonts w:ascii="Times New Roman;Times;serif" w:hAnsi="Times New Roman;Times;serif"/>
          <w:sz w:val="20"/>
        </w:rPr>
        <w:t>2026</w:t>
      </w:r>
      <w:r>
        <w:rPr>
          <w:rFonts w:ascii="Times New Roman;Times;serif" w:hAnsi="Times New Roman;Times;serif"/>
          <w:sz w:val="20"/>
          <w:shd w:fill="FFFFFF" w:val="clear"/>
        </w:rPr>
        <w:t>, as the Plan has no assets.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benefit payments, which reflect expected future service, are expected to be paid: </w:t>
      </w:r>
    </w:p>
    <w:p>
      <w:pPr>
        <w:pStyle w:val="TextBody"/>
        <w:bidi w:val="0"/>
        <w:spacing w:before="0" w:after="0"/>
        <w:ind w:left="0" w:right="0" w:hanging="0"/>
        <w:jc w:val="both"/>
        <w:rPr/>
      </w:pPr>
      <w:r>
        <w:rPr/>
        <w:t> </w:t>
      </w:r>
    </w:p>
    <w:tbl>
      <w:tblPr>
        <w:tblW w:w="1950" w:type="dxa"/>
        <w:jc w:val="left"/>
        <w:tblInd w:w="0" w:type="dxa"/>
        <w:tblLayout w:type="fixed"/>
        <w:tblCellMar>
          <w:top w:w="0" w:type="dxa"/>
          <w:left w:w="0" w:type="dxa"/>
          <w:bottom w:w="0" w:type="dxa"/>
          <w:right w:w="0" w:type="dxa"/>
        </w:tblCellMar>
      </w:tblPr>
      <w:tblGrid>
        <w:gridCol w:w="1145"/>
        <w:gridCol w:w="60"/>
        <w:gridCol w:w="60"/>
        <w:gridCol w:w="125"/>
        <w:gridCol w:w="485"/>
        <w:gridCol w:w="75"/>
      </w:tblGrid>
      <w:tr>
        <w:trPr/>
        <w:tc>
          <w:tcPr>
            <w:tcW w:w="114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 Ending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114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11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114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11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1145"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11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w:t>
            </w:r>
          </w:p>
        </w:tc>
        <w:tc>
          <w:tcPr>
            <w:tcW w:w="7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2031 - 2035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gross amounts are recognized net of tax in accumulated other comprehensive loss:</w:t>
      </w:r>
    </w:p>
    <w:p>
      <w:pPr>
        <w:pStyle w:val="TextBody"/>
        <w:bidi w:val="0"/>
        <w:spacing w:before="0" w:after="0"/>
        <w:ind w:left="0" w:right="0" w:hanging="0"/>
        <w:jc w:val="left"/>
        <w:rPr/>
      </w:pPr>
      <w:r>
        <w:rPr/>
        <w:t> </w:t>
      </w:r>
    </w:p>
    <w:tbl>
      <w:tblPr>
        <w:tblW w:w="3860" w:type="dxa"/>
        <w:jc w:val="left"/>
        <w:tblInd w:w="0" w:type="dxa"/>
        <w:tblLayout w:type="fixed"/>
        <w:tblCellMar>
          <w:top w:w="0" w:type="dxa"/>
          <w:left w:w="0" w:type="dxa"/>
          <w:bottom w:w="0" w:type="dxa"/>
          <w:right w:w="0" w:type="dxa"/>
        </w:tblCellMar>
      </w:tblPr>
      <w:tblGrid>
        <w:gridCol w:w="1415"/>
        <w:gridCol w:w="60"/>
        <w:gridCol w:w="125"/>
        <w:gridCol w:w="545"/>
        <w:gridCol w:w="80"/>
        <w:gridCol w:w="60"/>
        <w:gridCol w:w="125"/>
        <w:gridCol w:w="545"/>
        <w:gridCol w:w="80"/>
        <w:gridCol w:w="60"/>
        <w:gridCol w:w="125"/>
        <w:gridCol w:w="545"/>
        <w:gridCol w:w="95"/>
      </w:tblGrid>
      <w:tr>
        <w:trPr/>
        <w:tc>
          <w:tcPr>
            <w:tcW w:w="1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95" w:type="dxa"/>
            <w:tcBorders/>
            <w:shd w:fill="FFFF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95" w:type="dxa"/>
            <w:tcBorders/>
            <w:shd w:fill="FFFFFF" w:val="clear"/>
            <w:vAlign w:val="center"/>
          </w:tcPr>
          <w:p>
            <w:pPr>
              <w:pStyle w:val="TableContents"/>
              <w:bidi w:val="0"/>
              <w:spacing w:before="0" w:after="283"/>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service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95" w:type="dxa"/>
            <w:tcBorders/>
            <w:shd w:fill="CCEEFF" w:val="clear"/>
            <w:vAlign w:val="center"/>
          </w:tcPr>
          <w:p>
            <w:pPr>
              <w:pStyle w:val="TableContents"/>
              <w:bidi w:val="0"/>
              <w:spacing w:before="0" w:after="283"/>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Actuarial Assumptions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weighted average assumptions used in determining the periodic net cost and benefit obligation information related to the SERP are as follows:</w:t>
      </w:r>
    </w:p>
    <w:p>
      <w:pPr>
        <w:pStyle w:val="TextBody"/>
        <w:bidi w:val="0"/>
        <w:spacing w:before="0" w:after="0"/>
        <w:ind w:left="0" w:right="0" w:hanging="0"/>
        <w:jc w:val="left"/>
        <w:rPr/>
      </w:pPr>
      <w:r>
        <w:rPr/>
        <w:t> </w:t>
      </w:r>
    </w:p>
    <w:tbl>
      <w:tblPr>
        <w:tblW w:w="4928" w:type="dxa"/>
        <w:jc w:val="left"/>
        <w:tblInd w:w="0" w:type="dxa"/>
        <w:tblLayout w:type="fixed"/>
        <w:tblCellMar>
          <w:top w:w="0" w:type="dxa"/>
          <w:left w:w="0" w:type="dxa"/>
          <w:bottom w:w="0" w:type="dxa"/>
          <w:right w:w="0" w:type="dxa"/>
        </w:tblCellMar>
      </w:tblPr>
      <w:tblGrid>
        <w:gridCol w:w="2495"/>
        <w:gridCol w:w="60"/>
        <w:gridCol w:w="72"/>
        <w:gridCol w:w="460"/>
        <w:gridCol w:w="224"/>
        <w:gridCol w:w="72"/>
        <w:gridCol w:w="72"/>
        <w:gridCol w:w="460"/>
        <w:gridCol w:w="224"/>
        <w:gridCol w:w="72"/>
        <w:gridCol w:w="72"/>
        <w:gridCol w:w="460"/>
        <w:gridCol w:w="185"/>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Years Ended December 31,</w:t>
            </w:r>
          </w:p>
        </w:tc>
        <w:tc>
          <w:tcPr>
            <w:tcW w:w="185"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22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5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22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5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Net periodic benefit cost: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2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2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Rate of compensation increase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Benefit obligation:</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Discount rate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p>
        </w:tc>
        <w:tc>
          <w:tcPr>
            <w:tcW w:w="2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Rate of compensation increase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2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2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015" w:type="dxa"/>
        <w:jc w:val="left"/>
        <w:tblInd w:w="0" w:type="dxa"/>
        <w:tblLayout w:type="fixed"/>
        <w:tblCellMar>
          <w:top w:w="0" w:type="dxa"/>
          <w:left w:w="0" w:type="dxa"/>
          <w:bottom w:w="0" w:type="dxa"/>
          <w:right w:w="0" w:type="dxa"/>
        </w:tblCellMar>
      </w:tblPr>
      <w:tblGrid>
        <w:gridCol w:w="320"/>
        <w:gridCol w:w="3695"/>
      </w:tblGrid>
      <w:tr>
        <w:trPr/>
        <w:tc>
          <w:tcPr>
            <w:tcW w:w="320" w:type="dxa"/>
            <w:tcBorders/>
            <w:vAlign w:val="center"/>
          </w:tcPr>
          <w:p>
            <w:pPr>
              <w:pStyle w:val="TableContents"/>
              <w:bidi w:val="0"/>
              <w:spacing w:before="0" w:after="283"/>
              <w:jc w:val="left"/>
              <w:rPr/>
            </w:pPr>
            <w:r>
              <w:rPr>
                <w:rStyle w:val="Emphasis"/>
              </w:rPr>
              <w:t>16.</w:t>
            </w:r>
          </w:p>
        </w:tc>
        <w:tc>
          <w:tcPr>
            <w:tcW w:w="3695" w:type="dxa"/>
            <w:tcBorders/>
            <w:vAlign w:val="center"/>
          </w:tcPr>
          <w:p>
            <w:pPr>
              <w:pStyle w:val="TableContents"/>
              <w:bidi w:val="0"/>
              <w:spacing w:before="0" w:after="283"/>
              <w:jc w:val="left"/>
              <w:rPr/>
            </w:pPr>
            <w:r>
              <w:rPr/>
              <w:t>SHARE-BASED COMPENSATION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an equity compensation program (the "Program") which provides for the granting of "Incentive Stock Options" within the meaning of Section </w:t>
      </w:r>
      <w:r>
        <w:rPr>
          <w:rStyle w:val="Emphasis"/>
          <w:rFonts w:ascii="Times New Roman;Times;serif" w:hAnsi="Times New Roman;Times;serif"/>
          <w:sz w:val="20"/>
        </w:rPr>
        <w:t>422</w:t>
      </w:r>
      <w:r>
        <w:rPr>
          <w:rFonts w:ascii="Times New Roman;Times;serif" w:hAnsi="Times New Roman;Times;serif"/>
          <w:sz w:val="20"/>
        </w:rPr>
        <w:t xml:space="preserve"> of the Code, non-qualified stock options and restricted stock awards. The Company believes that such awards better align the interests of its employees with those of its shareholders. The </w:t>
      </w:r>
      <w:r>
        <w:rPr>
          <w:rStyle w:val="Emphasis"/>
          <w:rFonts w:ascii="Times New Roman;Times;serif" w:hAnsi="Times New Roman;Times;serif"/>
          <w:sz w:val="20"/>
        </w:rPr>
        <w:t>2020</w:t>
      </w:r>
      <w:r>
        <w:rPr>
          <w:rFonts w:ascii="Times New Roman;Times;serif" w:hAnsi="Times New Roman;Times;serif"/>
          <w:sz w:val="20"/>
        </w:rPr>
        <w:t xml:space="preserve"> Equity Compensation Plan provides for the issuance of 1.0 million shares of the Company's Class B common stock. At </w:t>
      </w:r>
      <w:r>
        <w:rPr>
          <w:rStyle w:val="Emphasis"/>
          <w:rFonts w:ascii="Times New Roman;Times;serif" w:hAnsi="Times New Roman;Times;serif"/>
          <w:sz w:val="20"/>
        </w:rPr>
        <w:t>December 31, 2025</w:t>
      </w:r>
      <w:r>
        <w:rPr>
          <w:rFonts w:ascii="Times New Roman;Times;serif" w:hAnsi="Times New Roman;Times;serif"/>
          <w:sz w:val="20"/>
        </w:rPr>
        <w:t xml:space="preserve">, 356,889 shares remained available for future issuance under the </w:t>
      </w:r>
      <w:r>
        <w:rPr>
          <w:rStyle w:val="Emphasis"/>
          <w:rFonts w:ascii="Times New Roman;Times;serif" w:hAnsi="Times New Roman;Times;serif"/>
          <w:sz w:val="20"/>
        </w:rPr>
        <w:t>2020</w:t>
      </w:r>
      <w:r>
        <w:rPr>
          <w:rFonts w:ascii="Times New Roman;Times;serif" w:hAnsi="Times New Roman;Times;serif"/>
          <w:sz w:val="20"/>
        </w:rPr>
        <w:t xml:space="preserve"> Equity Compensation Plan.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records compensation expense in its consolidated statements of operations related to employee stock-based options and awards. The aggregate pretax compensation cost recognized for stock-based compensation amounted to approximately $6.8 million, $3.7 million and $3.5 million for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respectively, and related solely to restricted stock awards. </w:t>
      </w:r>
      <w:r>
        <w:rPr>
          <w:rFonts w:ascii="Times New Roman;Times;serif" w:hAnsi="Times New Roman;Times;serif"/>
          <w:sz w:val="20"/>
          <w:shd w:fill="FFFFFF" w:val="clear"/>
        </w:rPr>
        <w:t xml:space="preserve">The Company did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use any cash to settle any equity instruments granted under share-based arrangements dur</w:t>
      </w:r>
      <w:r>
        <w:rPr>
          <w:rFonts w:ascii="Times New Roman;Times;serif" w:hAnsi="Times New Roman;Times;serif"/>
          <w:sz w:val="20"/>
        </w:rPr>
        <w:t xml:space="preserve">ing </w:t>
      </w:r>
      <w:r>
        <w:rPr>
          <w:rStyle w:val="Emphasis"/>
          <w:rFonts w:ascii="Times New Roman;Times;serif" w:hAnsi="Times New Roman;Times;serif"/>
          <w:sz w:val="20"/>
        </w:rPr>
        <w:t>2025</w:t>
      </w:r>
      <w:r>
        <w:rPr>
          <w:rFonts w:ascii="Times New Roman;Times;serif" w:hAnsi="Times New Roman;Times;serif"/>
          <w:sz w:val="20"/>
        </w:rPr>
        <w:t xml:space="preserve"> and </w:t>
      </w:r>
      <w:r>
        <w:rPr>
          <w:rStyle w:val="Emphasis"/>
          <w:rFonts w:ascii="Times New Roman;Times;serif" w:hAnsi="Times New Roman;Times;serif"/>
          <w:sz w:val="20"/>
        </w:rPr>
        <w:t>2024</w:t>
      </w:r>
      <w:r>
        <w:rPr>
          <w:rFonts w:ascii="Times New Roman;Times;serif" w:hAnsi="Times New Roman;Times;serif"/>
          <w:sz w:val="20"/>
        </w:rPr>
        <w:t xml:space="preserve">. At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the only instruments issued and outstanding under the Program related to restricted stock awards.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Restricted Stock Awards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provides common stock awards to certain officers, directors and key employees. The Company grants these awards, at its discretion, from the shares available under the Program. Unless otherwise provided at the date of grant or unless subsequently accelerated, effective </w:t>
      </w:r>
      <w:r>
        <w:rPr>
          <w:rStyle w:val="Emphasis"/>
          <w:rFonts w:ascii="Times New Roman;Times;serif" w:hAnsi="Times New Roman;Times;serif"/>
          <w:sz w:val="20"/>
        </w:rPr>
        <w:t xml:space="preserve">January 1, 2024, </w:t>
      </w:r>
      <w:r>
        <w:rPr>
          <w:rFonts w:ascii="Times New Roman;Times;serif" w:hAnsi="Times New Roman;Times;serif"/>
          <w:sz w:val="20"/>
        </w:rPr>
        <w:t xml:space="preserve">shares awarded are typically earned in </w:t>
      </w:r>
      <w:r>
        <w:rPr>
          <w:rStyle w:val="Emphasis"/>
          <w:rFonts w:ascii="Times New Roman;Times;serif" w:hAnsi="Times New Roman;Times;serif"/>
          <w:sz w:val="20"/>
        </w:rPr>
        <w:t>one</w:t>
      </w:r>
      <w:r>
        <w:rPr>
          <w:rFonts w:ascii="Times New Roman;Times;serif" w:hAnsi="Times New Roman;Times;serif"/>
          <w:sz w:val="20"/>
        </w:rPr>
        <w:t xml:space="preserve">-third increments on the first, </w:t>
      </w:r>
      <w:r>
        <w:rPr>
          <w:rStyle w:val="Emphasis"/>
          <w:rFonts w:ascii="Times New Roman;Times;serif" w:hAnsi="Times New Roman;Times;serif"/>
          <w:sz w:val="20"/>
        </w:rPr>
        <w:t>second</w:t>
      </w:r>
      <w:r>
        <w:rPr>
          <w:rFonts w:ascii="Times New Roman;Times;serif" w:hAnsi="Times New Roman;Times;serif"/>
          <w:sz w:val="20"/>
        </w:rPr>
        <w:t xml:space="preserve"> and </w:t>
      </w:r>
      <w:r>
        <w:rPr>
          <w:rStyle w:val="Emphasis"/>
          <w:rFonts w:ascii="Times New Roman;Times;serif" w:hAnsi="Times New Roman;Times;serif"/>
          <w:sz w:val="20"/>
        </w:rPr>
        <w:t>third</w:t>
      </w:r>
      <w:r>
        <w:rPr>
          <w:rFonts w:ascii="Times New Roman;Times;serif" w:hAnsi="Times New Roman;Times;serif"/>
          <w:sz w:val="20"/>
        </w:rPr>
        <w:t xml:space="preserve"> anniversaries of the award and are distributed provided the employee has remained employed by the Company through such anniversary date; otherwise the unearned shares are forfeited. Prior to </w:t>
      </w:r>
      <w:r>
        <w:rPr>
          <w:rStyle w:val="Emphasis"/>
          <w:rFonts w:ascii="Times New Roman;Times;serif" w:hAnsi="Times New Roman;Times;serif"/>
          <w:sz w:val="20"/>
        </w:rPr>
        <w:t xml:space="preserve">January 1, 2024, </w:t>
      </w:r>
      <w:r>
        <w:rPr>
          <w:rFonts w:ascii="Times New Roman;Times;serif" w:hAnsi="Times New Roman;Times;serif"/>
          <w:sz w:val="20"/>
        </w:rPr>
        <w:t xml:space="preserve">shares awarded were typically earned in 25% increments on the second, third, </w:t>
      </w:r>
      <w:r>
        <w:rPr>
          <w:rStyle w:val="Emphasis"/>
          <w:rFonts w:ascii="Times New Roman;Times;serif" w:hAnsi="Times New Roman;Times;serif"/>
          <w:sz w:val="20"/>
        </w:rPr>
        <w:t>fourth</w:t>
      </w:r>
      <w:r>
        <w:rPr>
          <w:rFonts w:ascii="Times New Roman;Times;serif" w:hAnsi="Times New Roman;Times;serif"/>
          <w:sz w:val="20"/>
        </w:rPr>
        <w:t xml:space="preserve"> and </w:t>
      </w:r>
      <w:r>
        <w:rPr>
          <w:rStyle w:val="Emphasis"/>
          <w:rFonts w:ascii="Times New Roman;Times;serif" w:hAnsi="Times New Roman;Times;serif"/>
          <w:sz w:val="20"/>
        </w:rPr>
        <w:t>fifth</w:t>
      </w:r>
      <w:r>
        <w:rPr>
          <w:rFonts w:ascii="Times New Roman;Times;serif" w:hAnsi="Times New Roman;Times;serif"/>
          <w:sz w:val="20"/>
        </w:rPr>
        <w:t xml:space="preserve"> anniversaries of the award. The market value of these shares at the date of award is recorded as compensation expense on the straight-line method over the applicable vesting period from the respective award dates utilizing an estimated annual forfeiture rate of 5%. During </w:t>
      </w:r>
      <w:r>
        <w:rPr>
          <w:rStyle w:val="Emphasis"/>
          <w:rFonts w:ascii="Times New Roman;Times;serif" w:hAnsi="Times New Roman;Times;serif"/>
          <w:sz w:val="20"/>
        </w:rPr>
        <w:t>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the Company issued 128,462 shares, 57,960 shares and 10,000 shares of the Company's Class B common stock, respectively, under a restricted stock plan to various officers, directors and employees.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Performance Stock Units (PSUs)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began granting performance stock units (“PSUs”) to certain associates as part of its long-term incentive compensation program. 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a total of 18,012 PSUs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PSUs granted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are subject to both a service condition and a market performance condition, each measured over a three-year performance period. The actual number of shares earned at the end of the performance period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range from 0% to 200% of the target award, depending on the degree to which the specified market performance conditions are achieved, as set forth in the applicable PSU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grant-date fair value of the PSUs granted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$103.50 per unit, as determined using a Monte Carlo simulation model to incorporate the market performance conditions. The valuation utilized the following key assumptions: grant date closing price of $73.91, </w:t>
      </w:r>
      <w:r>
        <w:rPr>
          <w:rStyle w:val="Emphasis"/>
          <w:rFonts w:ascii="Times New Roman" w:hAnsi="Times New Roman"/>
          <w:caps w:val="false"/>
          <w:smallCaps w:val="false"/>
          <w:sz w:val="20"/>
        </w:rPr>
        <w:t>2.595</w:t>
      </w:r>
      <w:r>
        <w:rPr>
          <w:rFonts w:ascii="Times New Roman" w:hAnsi="Times New Roman"/>
          <w:caps w:val="false"/>
          <w:smallCaps w:val="false"/>
          <w:sz w:val="20"/>
        </w:rPr>
        <w:t xml:space="preserve">-year interpolated risk-free rate of 3.93%, and historical volatility of 51.83% over the simulation period. The model also incorporated peer group correlations and payout factors based on the Company’s Total Shareholder Return relative to </w:t>
      </w:r>
      <w:r>
        <w:rPr>
          <w:rStyle w:val="Emphasis"/>
          <w:rFonts w:ascii="Times New Roman" w:hAnsi="Times New Roman"/>
          <w:caps w:val="false"/>
          <w:smallCaps w:val="false"/>
          <w:sz w:val="20"/>
        </w:rPr>
        <w:t>38</w:t>
      </w:r>
      <w:r>
        <w:rPr>
          <w:rFonts w:ascii="Times New Roman" w:hAnsi="Times New Roman"/>
          <w:caps w:val="false"/>
          <w:smallCaps w:val="false"/>
          <w:sz w:val="20"/>
        </w:rPr>
        <w:t xml:space="preserve"> comparator companies over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recognized stock-based compensation expense related to PSUs of $0.4 million. There was no stock-based compensation expense related to PSUs recognized during the years ended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or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Compensation expense for PSUs is recognized on a straight-line basis over the requisite service period, based on the estimated number of units expected to 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A summary of the restricted stock activity under the Program for the year ended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is presented below:</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2546"/>
        <w:gridCol w:w="60"/>
        <w:gridCol w:w="60"/>
        <w:gridCol w:w="755"/>
        <w:gridCol w:w="80"/>
        <w:gridCol w:w="60"/>
        <w:gridCol w:w="467"/>
        <w:gridCol w:w="1828"/>
        <w:gridCol w:w="60"/>
        <w:gridCol w:w="60"/>
        <w:gridCol w:w="743"/>
        <w:gridCol w:w="3424"/>
        <w:gridCol w:w="62"/>
      </w:tblGrid>
      <w:tr>
        <w:trPr/>
        <w:tc>
          <w:tcPr>
            <w:tcW w:w="2546"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Restricted Stock Awards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Shares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5"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 w:hAnsi="Times New Roman"/>
                <w:sz w:val="20"/>
              </w:rPr>
              <w:t>Weighted Average Award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167"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 w:hAnsi="Times New Roman"/>
                <w:sz w:val="20"/>
              </w:rPr>
              <w:t>Weighted Average Remaining Contractual Term (In Years)</w:t>
            </w:r>
          </w:p>
        </w:tc>
        <w:tc>
          <w:tcPr>
            <w:tcW w:w="62" w:type="dxa"/>
            <w:tcBorders/>
            <w:shd w:fill="FFFFFF" w:val="clear"/>
            <w:tcMar>
              <w:bottom w:w="0" w:type="dxa"/>
            </w:tcMar>
            <w:vAlign w:val="center"/>
          </w:tcPr>
          <w:p>
            <w:pPr>
              <w:pStyle w:val="TableContents"/>
              <w:bidi w:val="0"/>
              <w:spacing w:before="0" w:after="283"/>
              <w:jc w:val="left"/>
              <w:rPr/>
            </w:pPr>
            <w:r>
              <w:rPr/>
              <w:t> </w:t>
            </w:r>
          </w:p>
        </w:tc>
      </w:tr>
      <w:tr>
        <w:trPr/>
        <w:tc>
          <w:tcPr>
            <w:tcW w:w="2546"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389,110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2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left"/>
              <w:rPr/>
            </w:pPr>
            <w:r>
              <w:rPr/>
              <w:t> </w:t>
            </w:r>
          </w:p>
        </w:tc>
        <w:tc>
          <w:tcPr>
            <w:tcW w:w="3424"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2.6</w:t>
            </w:r>
          </w:p>
        </w:tc>
        <w:tc>
          <w:tcPr>
            <w:tcW w:w="62" w:type="dxa"/>
            <w:tcBorders/>
            <w:shd w:fill="CCEEFF" w:val="clear"/>
            <w:tcMar>
              <w:bottom w:w="0" w:type="dxa"/>
            </w:tcMar>
            <w:vAlign w:val="center"/>
          </w:tcPr>
          <w:p>
            <w:pPr>
              <w:pStyle w:val="TableContents"/>
              <w:bidi w:val="0"/>
              <w:spacing w:before="0" w:after="283"/>
              <w:jc w:val="left"/>
              <w:rPr/>
            </w:pPr>
            <w:r>
              <w:rPr/>
              <w:t> </w:t>
            </w:r>
          </w:p>
        </w:tc>
      </w:tr>
      <w:tr>
        <w:trPr/>
        <w:tc>
          <w:tcPr>
            <w:tcW w:w="2546" w:type="dxa"/>
            <w:tcBorders/>
            <w:shd w:fill="FFFFFF" w:val="clear"/>
            <w:tcMar>
              <w:bottom w:w="0" w:type="dxa"/>
            </w:tcMar>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128,462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ind w:left="0" w:right="0" w:hanging="0"/>
              <w:jc w:val="left"/>
              <w:rPr/>
            </w:pPr>
            <w:r>
              <w:rPr/>
              <w:t> </w:t>
            </w:r>
          </w:p>
        </w:tc>
        <w:tc>
          <w:tcPr>
            <w:tcW w:w="182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3" w:type="dxa"/>
            <w:tcBorders/>
            <w:shd w:fill="FFFFFF" w:val="clear"/>
            <w:tcMar>
              <w:bottom w:w="0" w:type="dxa"/>
            </w:tcMar>
            <w:vAlign w:val="center"/>
          </w:tcPr>
          <w:p>
            <w:pPr>
              <w:pStyle w:val="TableContents"/>
              <w:bidi w:val="0"/>
              <w:spacing w:before="0" w:after="283"/>
              <w:jc w:val="left"/>
              <w:rPr/>
            </w:pPr>
            <w:r>
              <w:rPr/>
              <w:t> </w:t>
            </w:r>
          </w:p>
        </w:tc>
        <w:tc>
          <w:tcPr>
            <w:tcW w:w="3424" w:type="dxa"/>
            <w:tcBorders/>
            <w:shd w:fill="FFFFFF" w:val="clear"/>
            <w:tcMar>
              <w:bottom w:w="0" w:type="dxa"/>
            </w:tcMar>
            <w:vAlign w:val="center"/>
          </w:tcPr>
          <w:p>
            <w:pPr>
              <w:pStyle w:val="TableContents"/>
              <w:bidi w:val="0"/>
              <w:spacing w:before="0" w:after="283"/>
              <w:jc w:val="center"/>
              <w:rPr/>
            </w:pPr>
            <w:r>
              <w:rPr>
                <w:rStyle w:val="Emphasis"/>
              </w:rPr>
              <w:t> </w:t>
            </w:r>
          </w:p>
        </w:tc>
        <w:tc>
          <w:tcPr>
            <w:tcW w:w="62" w:type="dxa"/>
            <w:tcBorders/>
            <w:shd w:fill="FFFFFF" w:val="clear"/>
            <w:tcMar>
              <w:bottom w:w="0" w:type="dxa"/>
            </w:tcMar>
            <w:vAlign w:val="center"/>
          </w:tcPr>
          <w:p>
            <w:pPr>
              <w:pStyle w:val="TableContents"/>
              <w:bidi w:val="0"/>
              <w:spacing w:before="0" w:after="283"/>
              <w:jc w:val="left"/>
              <w:rPr/>
            </w:pPr>
            <w:r>
              <w:rPr/>
              <w:t> </w:t>
            </w:r>
          </w:p>
        </w:tc>
      </w:tr>
      <w:tr>
        <w:trPr/>
        <w:tc>
          <w:tcPr>
            <w:tcW w:w="2546" w:type="dxa"/>
            <w:tcBorders/>
            <w:shd w:fill="CCEEFF" w:val="clear"/>
            <w:tcMar>
              <w:bottom w:w="0" w:type="dxa"/>
            </w:tcM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5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(151,620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7" w:type="dxa"/>
            <w:tcBorders/>
            <w:shd w:fill="CCEEFF" w:val="clear"/>
            <w:tcMar>
              <w:bottom w:w="0" w:type="dxa"/>
            </w:tcMar>
            <w:vAlign w:val="center"/>
          </w:tcPr>
          <w:p>
            <w:pPr>
              <w:pStyle w:val="TableContents"/>
              <w:bidi w:val="0"/>
              <w:spacing w:before="0" w:after="283"/>
              <w:ind w:left="0" w:right="0" w:hanging="0"/>
              <w:jc w:val="left"/>
              <w:rPr/>
            </w:pPr>
            <w:r>
              <w:rPr/>
              <w:t> </w:t>
            </w:r>
          </w:p>
        </w:tc>
        <w:tc>
          <w:tcPr>
            <w:tcW w:w="182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jc w:val="left"/>
              <w:rPr/>
            </w:pPr>
            <w:r>
              <w:rPr/>
              <w:t> </w:t>
            </w:r>
          </w:p>
        </w:tc>
        <w:tc>
          <w:tcPr>
            <w:tcW w:w="3424" w:type="dxa"/>
            <w:tcBorders/>
            <w:shd w:fill="CCEEFF" w:val="clear"/>
            <w:tcMar>
              <w:bottom w:w="0" w:type="dxa"/>
            </w:tcMar>
            <w:vAlign w:val="center"/>
          </w:tcPr>
          <w:p>
            <w:pPr>
              <w:pStyle w:val="TableContents"/>
              <w:bidi w:val="0"/>
              <w:spacing w:before="0" w:after="283"/>
              <w:jc w:val="center"/>
              <w:rPr/>
            </w:pPr>
            <w:r>
              <w:rPr>
                <w:rStyle w:val="Emphasis"/>
              </w:rPr>
              <w:t> </w:t>
            </w:r>
          </w:p>
        </w:tc>
        <w:tc>
          <w:tcPr>
            <w:tcW w:w="62" w:type="dxa"/>
            <w:tcBorders/>
            <w:shd w:fill="CCEEFF" w:val="clear"/>
            <w:tcMar>
              <w:bottom w:w="0" w:type="dxa"/>
            </w:tcMar>
            <w:vAlign w:val="center"/>
          </w:tcPr>
          <w:p>
            <w:pPr>
              <w:pStyle w:val="TableContents"/>
              <w:bidi w:val="0"/>
              <w:spacing w:before="0" w:after="283"/>
              <w:jc w:val="left"/>
              <w:rPr/>
            </w:pPr>
            <w:r>
              <w:rPr/>
              <w:t> </w:t>
            </w:r>
          </w:p>
        </w:tc>
      </w:tr>
      <w:tr>
        <w:trPr/>
        <w:tc>
          <w:tcPr>
            <w:tcW w:w="2546" w:type="dxa"/>
            <w:tcBorders/>
            <w:shd w:fill="FFFFFF" w:val="clear"/>
            <w:tcMar>
              <w:bottom w:w="0" w:type="dxa"/>
            </w:tcM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Forfeited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(11,587</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7" w:type="dxa"/>
            <w:tcBorders/>
            <w:shd w:fill="FFFFFF" w:val="clear"/>
            <w:tcMar>
              <w:bottom w:w="0" w:type="dxa"/>
            </w:tcMar>
            <w:vAlign w:val="center"/>
          </w:tcPr>
          <w:p>
            <w:pPr>
              <w:pStyle w:val="TableContents"/>
              <w:bidi w:val="0"/>
              <w:spacing w:before="0" w:after="283"/>
              <w:ind w:left="0" w:right="0" w:hanging="0"/>
              <w:jc w:val="left"/>
              <w:rPr/>
            </w:pPr>
            <w:r>
              <w:rPr/>
              <w:t> </w:t>
            </w:r>
          </w:p>
        </w:tc>
        <w:tc>
          <w:tcPr>
            <w:tcW w:w="1828"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3" w:type="dxa"/>
            <w:tcBorders/>
            <w:shd w:fill="FFFFFF" w:val="clear"/>
            <w:tcMar>
              <w:bottom w:w="0" w:type="dxa"/>
            </w:tcMar>
            <w:vAlign w:val="center"/>
          </w:tcPr>
          <w:p>
            <w:pPr>
              <w:pStyle w:val="TableContents"/>
              <w:bidi w:val="0"/>
              <w:spacing w:before="0" w:after="283"/>
              <w:jc w:val="left"/>
              <w:rPr/>
            </w:pPr>
            <w:r>
              <w:rPr/>
              <w:t> </w:t>
            </w:r>
          </w:p>
        </w:tc>
        <w:tc>
          <w:tcPr>
            <w:tcW w:w="3424" w:type="dxa"/>
            <w:tcBorders/>
            <w:shd w:fill="FFFFFF" w:val="clear"/>
            <w:tcMar>
              <w:bottom w:w="0" w:type="dxa"/>
            </w:tcMar>
            <w:vAlign w:val="center"/>
          </w:tcPr>
          <w:p>
            <w:pPr>
              <w:pStyle w:val="TableContents"/>
              <w:bidi w:val="0"/>
              <w:spacing w:before="0" w:after="283"/>
              <w:jc w:val="center"/>
              <w:rPr/>
            </w:pPr>
            <w:r>
              <w:rPr>
                <w:rStyle w:val="Emphasis"/>
              </w:rPr>
              <w:t> </w:t>
            </w:r>
          </w:p>
        </w:tc>
        <w:tc>
          <w:tcPr>
            <w:tcW w:w="62" w:type="dxa"/>
            <w:tcBorders/>
            <w:shd w:fill="FFFFFF" w:val="clear"/>
            <w:tcMar>
              <w:bottom w:w="0" w:type="dxa"/>
            </w:tcMar>
            <w:vAlign w:val="center"/>
          </w:tcPr>
          <w:p>
            <w:pPr>
              <w:pStyle w:val="TableContents"/>
              <w:bidi w:val="0"/>
              <w:spacing w:before="0" w:after="283"/>
              <w:jc w:val="left"/>
              <w:rPr/>
            </w:pPr>
            <w:r>
              <w:rPr/>
              <w:t> </w:t>
            </w:r>
          </w:p>
        </w:tc>
      </w:tr>
      <w:tr>
        <w:trPr/>
        <w:tc>
          <w:tcPr>
            <w:tcW w:w="2546"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at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354,365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7"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828"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ind w:left="0" w:right="0" w:hanging="0"/>
              <w:jc w:val="left"/>
              <w:rPr/>
            </w:pPr>
            <w:r>
              <w:rPr/>
              <w:t> </w:t>
            </w:r>
          </w:p>
        </w:tc>
        <w:tc>
          <w:tcPr>
            <w:tcW w:w="3424" w:type="dxa"/>
            <w:tcBorders/>
            <w:shd w:fill="CCEEFF" w:val="clear"/>
            <w:tcMar>
              <w:bottom w:w="0" w:type="dxa"/>
            </w:tcM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1.9</w:t>
            </w:r>
          </w:p>
        </w:tc>
        <w:tc>
          <w:tcPr>
            <w:tcW w:w="6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there was $12.3 million of total pretax unrecognized compensation cost related to non-vested stock-based compensation arrangements granted under the restricted stock award plan. That cost is expected to be recognized over a period of 2.2 years. This expense is recorded in cost of sales, R&amp;D and SG&amp;A expense based upon the employment classification of the award recipients.</w:t>
      </w:r>
    </w:p>
    <w:p>
      <w:pPr>
        <w:pStyle w:val="TextBody"/>
        <w:bidi w:val="0"/>
        <w:spacing w:before="0" w:after="0"/>
        <w:ind w:left="0" w:right="0" w:hanging="0"/>
        <w:jc w:val="both"/>
        <w:rPr/>
      </w:pPr>
      <w:r>
        <w:rPr/>
        <w:t> </w:t>
      </w:r>
    </w:p>
    <w:p>
      <w:pPr>
        <w:pStyle w:val="TextBody"/>
        <w:bidi w:val="0"/>
        <w:spacing w:before="0" w:after="283"/>
        <w:jc w:val="left"/>
        <w:rPr/>
      </w:pPr>
      <w:r>
        <w:rPr>
          <w:sz w:val="20"/>
        </w:rPr>
        <w:t xml:space="preserve">The Company's policy in </w:t>
      </w:r>
      <w:r>
        <w:rPr>
          <w:rStyle w:val="Emphasis"/>
          <w:sz w:val="20"/>
        </w:rPr>
        <w:t>2025</w:t>
      </w:r>
      <w:r>
        <w:rPr>
          <w:sz w:val="20"/>
        </w:rPr>
        <w:t xml:space="preserve"> was to issue new shares to satisfy restricted stock awards. Currently the Company believes that the majority of its restricted stock awards will vest.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395" w:type="dxa"/>
        <w:jc w:val="left"/>
        <w:tblInd w:w="0" w:type="dxa"/>
        <w:tblLayout w:type="fixed"/>
        <w:tblCellMar>
          <w:top w:w="0" w:type="dxa"/>
          <w:left w:w="0" w:type="dxa"/>
          <w:bottom w:w="0" w:type="dxa"/>
          <w:right w:w="0" w:type="dxa"/>
        </w:tblCellMar>
      </w:tblPr>
      <w:tblGrid>
        <w:gridCol w:w="380"/>
        <w:gridCol w:w="2015"/>
      </w:tblGrid>
      <w:tr>
        <w:trPr/>
        <w:tc>
          <w:tcPr>
            <w:tcW w:w="380" w:type="dxa"/>
            <w:tcBorders/>
            <w:vAlign w:val="center"/>
          </w:tcPr>
          <w:p>
            <w:pPr>
              <w:pStyle w:val="TableContents"/>
              <w:bidi w:val="0"/>
              <w:spacing w:before="0" w:after="283"/>
              <w:jc w:val="left"/>
              <w:rPr/>
            </w:pPr>
            <w:r>
              <w:rPr>
                <w:rStyle w:val="Emphasis"/>
              </w:rPr>
              <w:t>17.</w:t>
            </w:r>
            <w:r>
              <w:rPr/>
              <w:t> </w:t>
            </w:r>
          </w:p>
        </w:tc>
        <w:tc>
          <w:tcPr>
            <w:tcW w:w="2015" w:type="dxa"/>
            <w:tcBorders/>
            <w:vAlign w:val="center"/>
          </w:tcPr>
          <w:p>
            <w:pPr>
              <w:pStyle w:val="TableContents"/>
              <w:bidi w:val="0"/>
              <w:spacing w:before="0" w:after="283"/>
              <w:jc w:val="left"/>
              <w:rPr/>
            </w:pPr>
            <w:r>
              <w:rPr/>
              <w:t>COMMON STOCK</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Throughout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declared cash dividends on a quarterly basis at a rate of $0.06 per Class A (voting) share of common stock and $0.07 per Class B (non-voting) share of common stock. The Company declared and paid cash dividends totaling $3.5 million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$3.5 million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$3.5 million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contractual restrictions on the Company's ability to pay dividends, provided that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default under its credit agreement immediately before such payment and after giving effect to such payment.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360" w:type="dxa"/>
        <w:jc w:val="left"/>
        <w:tblInd w:w="0" w:type="dxa"/>
        <w:tblLayout w:type="fixed"/>
        <w:tblCellMar>
          <w:top w:w="0" w:type="dxa"/>
          <w:left w:w="0" w:type="dxa"/>
          <w:bottom w:w="0" w:type="dxa"/>
          <w:right w:w="0" w:type="dxa"/>
        </w:tblCellMar>
      </w:tblPr>
      <w:tblGrid>
        <w:gridCol w:w="380"/>
        <w:gridCol w:w="980"/>
      </w:tblGrid>
      <w:tr>
        <w:trPr/>
        <w:tc>
          <w:tcPr>
            <w:tcW w:w="380" w:type="dxa"/>
            <w:tcBorders/>
            <w:vAlign w:val="center"/>
          </w:tcPr>
          <w:p>
            <w:pPr>
              <w:pStyle w:val="TableContents"/>
              <w:bidi w:val="0"/>
              <w:spacing w:before="0" w:after="283"/>
              <w:jc w:val="left"/>
              <w:rPr/>
            </w:pPr>
            <w:r>
              <w:rPr>
                <w:rStyle w:val="Emphasis"/>
              </w:rPr>
              <w:t>18.</w:t>
            </w:r>
            <w:r>
              <w:rPr/>
              <w:t> </w:t>
            </w:r>
          </w:p>
        </w:tc>
        <w:tc>
          <w:tcPr>
            <w:tcW w:w="980" w:type="dxa"/>
            <w:tcBorders/>
            <w:vAlign w:val="center"/>
          </w:tcPr>
          <w:p>
            <w:pPr>
              <w:pStyle w:val="TableContents"/>
              <w:bidi w:val="0"/>
              <w:spacing w:before="0" w:after="283"/>
              <w:jc w:val="left"/>
              <w:rPr/>
            </w:pPr>
            <w:r>
              <w:rPr/>
              <w:t>LEASES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operating leases for its facilities used for manufacturing, research and development, sales and administration. There are also operating and finance leases related to manufacturing equipment, office equipment and vehicles. These leases have remaining lease terms ranging from 1 year to </w:t>
      </w:r>
      <w:r>
        <w:rPr>
          <w:rStyle w:val="Emphasis"/>
          <w:rFonts w:ascii="Times New Roman;Times;serif" w:hAnsi="Times New Roman;Times;serif"/>
          <w:sz w:val="20"/>
        </w:rPr>
        <w:t>9</w:t>
      </w:r>
      <w:r>
        <w:rPr>
          <w:rFonts w:ascii="Times New Roman;Times;serif" w:hAnsi="Times New Roman;Times;serif"/>
          <w:sz w:val="20"/>
        </w:rPr>
        <w:t xml:space="preserve"> years.</w:t>
      </w:r>
      <w:r>
        <w:rPr>
          <w:rFonts w:ascii="Times New Roman;Times;serif" w:hAnsi="Times New Roman;Times;serif"/>
          <w:sz w:val="20"/>
          <w:shd w:fill="FFFFFF" w:val="clear"/>
        </w:rPr>
        <w:t> </w:t>
      </w:r>
      <w:r>
        <w:rPr>
          <w:rFonts w:ascii="Times New Roman;Times;serif" w:hAnsi="Times New Roman;Times;serif"/>
          <w:sz w:val="20"/>
        </w:rPr>
        <w:t xml:space="preserve">Certain of the leases contain options to extend the term of the lease and certain of the leases contain options to terminate the lease within a specified period of time. These options to extend or terminate a lease are included in the lease term only when it is reasonably likely that the Company will elect that option. The Company is </w:t>
      </w:r>
      <w:r>
        <w:rPr>
          <w:rStyle w:val="Emphasis"/>
          <w:rFonts w:ascii="Times New Roman;Times;serif" w:hAnsi="Times New Roman;Times;serif"/>
          <w:sz w:val="20"/>
        </w:rPr>
        <w:t>not</w:t>
      </w:r>
      <w:r>
        <w:rPr>
          <w:rFonts w:ascii="Times New Roman;Times;serif" w:hAnsi="Times New Roman;Times;serif"/>
          <w:sz w:val="20"/>
        </w:rPr>
        <w:t xml:space="preserve"> a party to any material sublease arrangements.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lease expense, which are included in cost of sales, research and development costs, and selling, general and administrative expense, based on the underlying use of the ROU asset, were as follows:</w:t>
      </w:r>
    </w:p>
    <w:p>
      <w:pPr>
        <w:pStyle w:val="TextBody"/>
        <w:bidi w:val="0"/>
        <w:spacing w:before="0" w:after="0"/>
        <w:ind w:left="0" w:right="0" w:hanging="0"/>
        <w:jc w:val="both"/>
        <w:rPr/>
      </w:pPr>
      <w:r>
        <w:rPr/>
        <w:t> </w:t>
      </w:r>
    </w:p>
    <w:tbl>
      <w:tblPr>
        <w:tblW w:w="7010" w:type="dxa"/>
        <w:jc w:val="left"/>
        <w:tblInd w:w="0" w:type="dxa"/>
        <w:tblLayout w:type="fixed"/>
        <w:tblCellMar>
          <w:top w:w="0" w:type="dxa"/>
          <w:left w:w="0" w:type="dxa"/>
          <w:bottom w:w="0" w:type="dxa"/>
          <w:right w:w="0" w:type="dxa"/>
        </w:tblCellMar>
      </w:tblPr>
      <w:tblGrid>
        <w:gridCol w:w="4610"/>
        <w:gridCol w:w="60"/>
        <w:gridCol w:w="125"/>
        <w:gridCol w:w="590"/>
        <w:gridCol w:w="60"/>
        <w:gridCol w:w="60"/>
        <w:gridCol w:w="125"/>
        <w:gridCol w:w="590"/>
        <w:gridCol w:w="60"/>
        <w:gridCol w:w="60"/>
        <w:gridCol w:w="125"/>
        <w:gridCol w:w="485"/>
        <w:gridCol w:w="60"/>
      </w:tblGrid>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ROU assets -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6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 - 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 (cost resulting from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8,127</w:t>
            </w:r>
          </w:p>
        </w:tc>
        <w:tc>
          <w:tcPr>
            <w:tcW w:w="6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6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 (cost excluded from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6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 related to leases is as follows:</w:t>
      </w:r>
    </w:p>
    <w:p>
      <w:pPr>
        <w:pStyle w:val="TextBody"/>
        <w:bidi w:val="0"/>
        <w:spacing w:before="0" w:after="0"/>
        <w:ind w:left="0" w:right="0" w:hanging="0"/>
        <w:jc w:val="left"/>
        <w:rPr/>
      </w:pPr>
      <w:r>
        <w:rPr/>
        <w:t> </w:t>
      </w:r>
    </w:p>
    <w:tbl>
      <w:tblPr>
        <w:tblW w:w="8060" w:type="dxa"/>
        <w:jc w:val="left"/>
        <w:tblInd w:w="0" w:type="dxa"/>
        <w:tblLayout w:type="fixed"/>
        <w:tblCellMar>
          <w:top w:w="0" w:type="dxa"/>
          <w:left w:w="0" w:type="dxa"/>
          <w:bottom w:w="0" w:type="dxa"/>
          <w:right w:w="0" w:type="dxa"/>
        </w:tblCellMar>
      </w:tblPr>
      <w:tblGrid>
        <w:gridCol w:w="5765"/>
        <w:gridCol w:w="60"/>
        <w:gridCol w:w="125"/>
        <w:gridCol w:w="590"/>
        <w:gridCol w:w="60"/>
        <w:gridCol w:w="60"/>
        <w:gridCol w:w="125"/>
        <w:gridCol w:w="485"/>
        <w:gridCol w:w="60"/>
        <w:gridCol w:w="60"/>
        <w:gridCol w:w="125"/>
        <w:gridCol w:w="485"/>
        <w:gridCol w:w="60"/>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8,090</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cash flows from 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5,999</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balance sheet information related to leases was as follows:</w:t>
      </w:r>
    </w:p>
    <w:p>
      <w:pPr>
        <w:pStyle w:val="TextBody"/>
        <w:bidi w:val="0"/>
        <w:spacing w:before="0" w:after="0"/>
        <w:ind w:left="0" w:right="0" w:hanging="0"/>
        <w:jc w:val="left"/>
        <w:rPr/>
      </w:pPr>
      <w:r>
        <w:rPr/>
        <w:t> </w:t>
      </w:r>
    </w:p>
    <w:tbl>
      <w:tblPr>
        <w:tblW w:w="4895" w:type="dxa"/>
        <w:jc w:val="left"/>
        <w:tblInd w:w="0" w:type="dxa"/>
        <w:tblLayout w:type="fixed"/>
        <w:tblCellMar>
          <w:top w:w="0" w:type="dxa"/>
          <w:left w:w="0" w:type="dxa"/>
          <w:bottom w:w="0" w:type="dxa"/>
          <w:right w:w="0" w:type="dxa"/>
        </w:tblCellMar>
      </w:tblPr>
      <w:tblGrid>
        <w:gridCol w:w="3185"/>
        <w:gridCol w:w="60"/>
        <w:gridCol w:w="125"/>
        <w:gridCol w:w="590"/>
        <w:gridCol w:w="80"/>
        <w:gridCol w:w="60"/>
        <w:gridCol w:w="125"/>
        <w:gridCol w:w="590"/>
        <w:gridCol w:w="8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25,125</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lease liability, 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7,954</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Operating lease liability, long-term</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17,763</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25,717</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Property, plant and equipment, gross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2,596</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1,411</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1,054</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585" w:type="dxa"/>
        <w:jc w:val="left"/>
        <w:tblInd w:w="0" w:type="dxa"/>
        <w:tblLayout w:type="fixed"/>
        <w:tblCellMar>
          <w:top w:w="0" w:type="dxa"/>
          <w:left w:w="0" w:type="dxa"/>
          <w:bottom w:w="0" w:type="dxa"/>
          <w:right w:w="0" w:type="dxa"/>
        </w:tblCellMar>
      </w:tblPr>
      <w:tblGrid>
        <w:gridCol w:w="3530"/>
        <w:gridCol w:w="60"/>
        <w:gridCol w:w="78"/>
        <w:gridCol w:w="362"/>
        <w:gridCol w:w="185"/>
        <w:gridCol w:w="60"/>
        <w:gridCol w:w="78"/>
        <w:gridCol w:w="362"/>
        <w:gridCol w:w="185"/>
        <w:gridCol w:w="60"/>
        <w:gridCol w:w="78"/>
        <w:gridCol w:w="362"/>
        <w:gridCol w:w="185"/>
      </w:tblGrid>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 (in years)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3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3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3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 (in years)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3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3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3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3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3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3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3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3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3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discount rate is based on our incremental borrowing rate, as adjusted based on the geographic regions in which our lease assets are located.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sz w:val="20"/>
        </w:rPr>
        <w:t xml:space="preserve">Maturities of lease liabilities were as follows as of </w:t>
      </w:r>
      <w:r>
        <w:rPr>
          <w:rStyle w:val="Emphasis"/>
          <w:rFonts w:ascii="Times New Roman;Times;serif" w:hAnsi="Times New Roman;Times;serif"/>
          <w:sz w:val="20"/>
        </w:rPr>
        <w:t>December 31, 2025</w:t>
      </w:r>
      <w:r>
        <w:rPr>
          <w:rFonts w:ascii="Times New Roman;Times;serif" w:hAnsi="Times New Roman;Times;serif"/>
          <w:sz w:val="20"/>
        </w:rPr>
        <w:t>:</w:t>
      </w:r>
    </w:p>
    <w:p>
      <w:pPr>
        <w:pStyle w:val="TextBody"/>
        <w:bidi w:val="0"/>
        <w:spacing w:before="0" w:after="0"/>
        <w:ind w:left="0" w:right="0" w:hanging="0"/>
        <w:jc w:val="left"/>
        <w:rPr/>
      </w:pPr>
      <w:r>
        <w:rPr/>
        <w:t> </w:t>
      </w:r>
    </w:p>
    <w:tbl>
      <w:tblPr>
        <w:tblW w:w="4420" w:type="dxa"/>
        <w:jc w:val="left"/>
        <w:tblInd w:w="0" w:type="dxa"/>
        <w:tblLayout w:type="fixed"/>
        <w:tblCellMar>
          <w:top w:w="0" w:type="dxa"/>
          <w:left w:w="0" w:type="dxa"/>
          <w:bottom w:w="0" w:type="dxa"/>
          <w:right w:w="0" w:type="dxa"/>
        </w:tblCellMar>
      </w:tblPr>
      <w:tblGrid>
        <w:gridCol w:w="2585"/>
        <w:gridCol w:w="60"/>
        <w:gridCol w:w="150"/>
        <w:gridCol w:w="710"/>
        <w:gridCol w:w="80"/>
        <w:gridCol w:w="60"/>
        <w:gridCol w:w="142"/>
        <w:gridCol w:w="553"/>
        <w:gridCol w:w="80"/>
      </w:tblGrid>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Operating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Finance</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Leases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Leases</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cash flows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900" w:type="dxa"/>
        <w:jc w:val="left"/>
        <w:tblInd w:w="0" w:type="dxa"/>
        <w:tblLayout w:type="fixed"/>
        <w:tblCellMar>
          <w:top w:w="0" w:type="dxa"/>
          <w:left w:w="0" w:type="dxa"/>
          <w:bottom w:w="0" w:type="dxa"/>
          <w:right w:w="0" w:type="dxa"/>
        </w:tblCellMar>
      </w:tblPr>
      <w:tblGrid>
        <w:gridCol w:w="380"/>
        <w:gridCol w:w="4520"/>
      </w:tblGrid>
      <w:tr>
        <w:trPr/>
        <w:tc>
          <w:tcPr>
            <w:tcW w:w="380" w:type="dxa"/>
            <w:tcBorders/>
            <w:vAlign w:val="center"/>
          </w:tcPr>
          <w:p>
            <w:pPr>
              <w:pStyle w:val="TableContents"/>
              <w:bidi w:val="0"/>
              <w:spacing w:before="0" w:after="283"/>
              <w:jc w:val="left"/>
              <w:rPr/>
            </w:pPr>
            <w:r>
              <w:rPr>
                <w:rStyle w:val="Emphasis"/>
              </w:rPr>
              <w:t>19.</w:t>
            </w:r>
            <w:r>
              <w:rPr/>
              <w:t> </w:t>
            </w:r>
          </w:p>
        </w:tc>
        <w:tc>
          <w:tcPr>
            <w:tcW w:w="4520" w:type="dxa"/>
            <w:tcBorders/>
            <w:vAlign w:val="center"/>
          </w:tcPr>
          <w:p>
            <w:pPr>
              <w:pStyle w:val="TableContents"/>
              <w:bidi w:val="0"/>
              <w:spacing w:before="0" w:after="283"/>
              <w:jc w:val="left"/>
              <w:rPr/>
            </w:pPr>
            <w:r>
              <w:rPr/>
              <w:t>COMMITMENTS AND CONTINGENCIES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Other Commitments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submits purchase orders for raw materials to various vendors throughout the year for current production requirements, as well as forecasted requirements.  Certain of these purchase orders relate to special purpose material and, as such, the Company </w:t>
      </w:r>
      <w:r>
        <w:rPr>
          <w:rStyle w:val="Emphasis"/>
          <w:rFonts w:ascii="Times New Roman;Times;serif" w:hAnsi="Times New Roman;Times;serif"/>
          <w:sz w:val="20"/>
        </w:rPr>
        <w:t xml:space="preserve">may </w:t>
      </w:r>
      <w:r>
        <w:rPr>
          <w:rFonts w:ascii="Times New Roman;Times;serif" w:hAnsi="Times New Roman;Times;serif"/>
          <w:sz w:val="20"/>
        </w:rPr>
        <w:t>incur penalties if an order is cancelled. The Company had outstanding purchase orders related to raw materials in the amount of $81.5 million and $82.2 million at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December 31, 2024</w:t>
      </w:r>
      <w:r>
        <w:rPr>
          <w:rFonts w:ascii="Times New Roman;Times;serif" w:hAnsi="Times New Roman;Times;serif"/>
          <w:sz w:val="20"/>
        </w:rPr>
        <w:t>, respectively. The Company also had outstanding purchase orders related to capital expenditures in the amount of $2.0 million and $4.6 million at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December 31, 2024</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color w:val="333333"/>
          <w:sz w:val="20"/>
          <w:u w:val="single"/>
        </w:rPr>
      </w:pPr>
      <w:r>
        <w:rPr>
          <w:rFonts w:ascii="Times New Roman;Times;serif" w:hAnsi="Times New Roman;Times;serif"/>
          <w:color w:val="333333"/>
          <w:sz w:val="20"/>
          <w:u w:val="single"/>
        </w:rPr>
        <w:t>Legal Proceedings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is party to a number of legal actions and claims, </w:t>
      </w:r>
      <w:r>
        <w:rPr>
          <w:rStyle w:val="Emphasis"/>
          <w:rFonts w:ascii="Times New Roman;Times;serif" w:hAnsi="Times New Roman;Times;serif"/>
          <w:sz w:val="20"/>
        </w:rPr>
        <w:t>none</w:t>
      </w:r>
      <w:r>
        <w:rPr>
          <w:rFonts w:ascii="Times New Roman;Times;serif" w:hAnsi="Times New Roman;Times;serif"/>
          <w:sz w:val="20"/>
        </w:rPr>
        <w:t xml:space="preserve"> of which individually or in the aggregate, in the opinion of management, are expected to have a material adverse effect on the Company's consolidated results of operations or consolidated financial position.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June 23, 2021, </w:t>
      </w:r>
      <w:r>
        <w:rPr>
          <w:rFonts w:ascii="Times New Roman;Times;serif" w:hAnsi="Times New Roman;Times;serif"/>
          <w:sz w:val="20"/>
        </w:rPr>
        <w:t xml:space="preserve">a patent infringement lawsuit styled </w:t>
      </w:r>
      <w:r>
        <w:rPr>
          <w:rFonts w:ascii="Times New Roman;Times;serif" w:hAnsi="Times New Roman;Times;serif"/>
          <w:i/>
          <w:sz w:val="20"/>
        </w:rPr>
        <w:t>Bel Power Solutions, Inc. v. Monolithic Power Systems, Inc.</w:t>
      </w:r>
      <w:r>
        <w:rPr>
          <w:rFonts w:ascii="Times New Roman;Times;serif" w:hAnsi="Times New Roman;Times;serif"/>
          <w:sz w:val="20"/>
        </w:rPr>
        <w:t xml:space="preserve">, Case Number </w:t>
      </w:r>
      <w:r>
        <w:rPr>
          <w:rStyle w:val="Emphasis"/>
          <w:rFonts w:ascii="Times New Roman;Times;serif" w:hAnsi="Times New Roman;Times;serif"/>
          <w:sz w:val="20"/>
        </w:rPr>
        <w:t>6:21cv00655,</w:t>
      </w:r>
      <w:r>
        <w:rPr>
          <w:rFonts w:ascii="Times New Roman;Times;serif" w:hAnsi="Times New Roman;Times;serif"/>
          <w:sz w:val="20"/>
        </w:rPr>
        <w:t xml:space="preserve"> was filed in the United States District Court for the Western District of Texas (Waco Division) by Bel Power Solutions, Inc. against Monolithic Power Systems, Inc. ("MPS") for infringement of various patents directed towards systems, methods and articles of manufacture that provide a substantial improvement in power control for circuits, including novel and unique point-of-load regulators. On </w:t>
      </w:r>
      <w:r>
        <w:rPr>
          <w:rStyle w:val="Emphasis"/>
          <w:rFonts w:ascii="Times New Roman;Times;serif" w:hAnsi="Times New Roman;Times;serif"/>
          <w:sz w:val="20"/>
        </w:rPr>
        <w:t xml:space="preserve">July 27, 2023, </w:t>
      </w:r>
      <w:r>
        <w:rPr>
          <w:rFonts w:ascii="Times New Roman;Times;serif" w:hAnsi="Times New Roman;Times;serif"/>
          <w:sz w:val="20"/>
        </w:rPr>
        <w:t>the Western District of Texas court filed an Order granting MPS’s motion for summary judgment of non-infringement. The Court’s memorandum and opinion is forthcoming. The Company is evaluating its options for appeal.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acquisition of the Power-One Power Solutions business ("Power Solutions") of ABB Ltd. ("ABB"), there is an ongoing claim by the Arezzo Revenue Agency in Italy concerning certain tax matters related to what was then Power-One Asia Pacific Electronics Shenzhen Co. Ltd. (now Bel Power Solutions Asia Pacific Electronics Shenzhen Co. Ltd, or “BPS China”) for the years </w:t>
      </w:r>
      <w:r>
        <w:rPr>
          <w:rStyle w:val="Emphasis"/>
          <w:rFonts w:ascii="Times New Roman" w:hAnsi="Times New Roman"/>
          <w:caps w:val="false"/>
          <w:smallCaps w:val="false"/>
          <w:sz w:val="20"/>
        </w:rPr>
        <w:t>2004</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2006.</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September 2012, </w:t>
      </w:r>
      <w:r>
        <w:rPr>
          <w:rFonts w:ascii="Times New Roman" w:hAnsi="Times New Roman"/>
          <w:caps w:val="false"/>
          <w:smallCaps w:val="false"/>
          <w:sz w:val="20"/>
        </w:rPr>
        <w:t xml:space="preserve">the Tax Court of Arezzo ruled in favor of BPS China and cancelled the claim.  In </w:t>
      </w:r>
      <w:r>
        <w:rPr>
          <w:rStyle w:val="Emphasis"/>
          <w:rFonts w:ascii="Times New Roman" w:hAnsi="Times New Roman"/>
          <w:caps w:val="false"/>
          <w:smallCaps w:val="false"/>
          <w:sz w:val="20"/>
        </w:rPr>
        <w:t xml:space="preserve">February 2013, </w:t>
      </w:r>
      <w:r>
        <w:rPr>
          <w:rFonts w:ascii="Times New Roman" w:hAnsi="Times New Roman"/>
          <w:caps w:val="false"/>
          <w:smallCaps w:val="false"/>
          <w:sz w:val="20"/>
        </w:rPr>
        <w:t xml:space="preserve">the Arezzo Revenue Agency filed an appeal of the Tax Court’s ruling. The hearing of the appeal was held on </w:t>
      </w:r>
      <w:r>
        <w:rPr>
          <w:rStyle w:val="Emphasis"/>
          <w:rFonts w:ascii="Times New Roman" w:hAnsi="Times New Roman"/>
          <w:caps w:val="false"/>
          <w:smallCaps w:val="false"/>
          <w:sz w:val="20"/>
        </w:rPr>
        <w:t xml:space="preserve">October 2,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13, 2014, </w:t>
      </w:r>
      <w:r>
        <w:rPr>
          <w:rFonts w:ascii="Times New Roman" w:hAnsi="Times New Roman"/>
          <w:caps w:val="false"/>
          <w:smallCaps w:val="false"/>
          <w:sz w:val="20"/>
        </w:rPr>
        <w:t xml:space="preserve">BPS China was informed of the Regional Tax Commission of Florence ruling which was in favor of the Arezzo Revenue Agency and against BPS China.  An appeal was filed on </w:t>
      </w:r>
      <w:r>
        <w:rPr>
          <w:rStyle w:val="Emphasis"/>
          <w:rFonts w:ascii="Times New Roman" w:hAnsi="Times New Roman"/>
          <w:caps w:val="false"/>
          <w:smallCaps w:val="false"/>
          <w:sz w:val="20"/>
        </w:rPr>
        <w:t xml:space="preserve">July 18, 2015 </w:t>
      </w:r>
      <w:r>
        <w:rPr>
          <w:rFonts w:ascii="Times New Roman" w:hAnsi="Times New Roman"/>
          <w:caps w:val="false"/>
          <w:smallCaps w:val="false"/>
          <w:sz w:val="20"/>
        </w:rPr>
        <w:t xml:space="preserve">before the Regional Tax Commission of Florence and rejected. On </w:t>
      </w:r>
      <w:r>
        <w:rPr>
          <w:rStyle w:val="Emphasis"/>
          <w:rFonts w:ascii="Times New Roman" w:hAnsi="Times New Roman"/>
          <w:caps w:val="false"/>
          <w:smallCaps w:val="false"/>
          <w:sz w:val="20"/>
        </w:rPr>
        <w:t xml:space="preserve">December 5, 2016, </w:t>
      </w:r>
      <w:r>
        <w:rPr>
          <w:rFonts w:ascii="Times New Roman" w:hAnsi="Times New Roman"/>
          <w:caps w:val="false"/>
          <w:smallCaps w:val="false"/>
          <w:sz w:val="20"/>
        </w:rPr>
        <w:t xml:space="preserve">the Arezzo Revenue Agency filed an appeal with the Supreme Court and BPS China filed a counter-appeal on </w:t>
      </w:r>
      <w:r>
        <w:rPr>
          <w:rStyle w:val="Emphasis"/>
          <w:rFonts w:ascii="Times New Roman" w:hAnsi="Times New Roman"/>
          <w:caps w:val="false"/>
          <w:smallCaps w:val="false"/>
          <w:sz w:val="20"/>
        </w:rPr>
        <w:t xml:space="preserve">January 4, 2017. </w:t>
      </w:r>
      <w:r>
        <w:rPr>
          <w:rFonts w:ascii="Times New Roman" w:hAnsi="Times New Roman"/>
          <w:caps w:val="false"/>
          <w:smallCaps w:val="false"/>
          <w:sz w:val="20"/>
        </w:rPr>
        <w:t>The Supreme Court rendered a judgment against BPS China in </w:t>
      </w:r>
      <w:r>
        <w:rPr>
          <w:rStyle w:val="Emphasis"/>
          <w:rFonts w:ascii="Times New Roman" w:hAnsi="Times New Roman"/>
          <w:caps w:val="false"/>
          <w:smallCaps w:val="false"/>
          <w:sz w:val="20"/>
        </w:rPr>
        <w:t xml:space="preserve"> March 2024</w:t>
      </w:r>
      <w:r>
        <w:rPr>
          <w:rFonts w:ascii="Times New Roman" w:hAnsi="Times New Roman"/>
          <w:i/>
          <w:caps w:val="false"/>
          <w:smallCaps w:val="false"/>
          <w:sz w:val="20"/>
        </w:rPr>
        <w:t>.</w:t>
      </w:r>
      <w:r>
        <w:rPr>
          <w:rFonts w:ascii="Times New Roman" w:hAnsi="Times New Roman"/>
          <w:caps w:val="false"/>
          <w:smallCaps w:val="false"/>
          <w:sz w:val="20"/>
        </w:rPr>
        <w:t> BPS China filed an appeal in </w:t>
      </w:r>
      <w:r>
        <w:rPr>
          <w:rStyle w:val="Emphasis"/>
          <w:rFonts w:ascii="Times New Roman" w:hAnsi="Times New Roman"/>
          <w:caps w:val="false"/>
          <w:smallCaps w:val="false"/>
          <w:sz w:val="20"/>
        </w:rPr>
        <w:t xml:space="preserve"> July 2024</w:t>
      </w:r>
      <w:r>
        <w:rPr>
          <w:rFonts w:ascii="Times New Roman" w:hAnsi="Times New Roman"/>
          <w:i/>
          <w:caps w:val="false"/>
          <w:smallCaps w:val="false"/>
          <w:sz w:val="20"/>
        </w:rPr>
        <w:t>.</w:t>
      </w:r>
      <w:r>
        <w:rPr>
          <w:rFonts w:ascii="Times New Roman" w:hAnsi="Times New Roman"/>
          <w:caps w:val="false"/>
          <w:smallCaps w:val="false"/>
          <w:sz w:val="20"/>
        </w:rPr>
        <w:t xml:space="preserve"> The estimated liability related to this matter is approximately $12.0 million and has been included as a liability for uncertain tax positions on the accompanying consolidated balance sheets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As Bel is fully indemnified in this matter per the terms of the stock purchase agreement with ABB, a corresponding other asset for indemnification is also included in other assets on the accompanying consolidated balance sheets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Company's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acquisition of EOS Power ("EOS"), there is an ongoing claim asserted with respect to EOS by the Principal Commissioner of Customs (Preventive), Mumbai related to customs duties and imposed fines and penalties dating back to </w:t>
      </w:r>
      <w:r>
        <w:rPr>
          <w:rStyle w:val="Emphasis"/>
          <w:rFonts w:ascii="Times New Roman" w:hAnsi="Times New Roman"/>
          <w:caps w:val="false"/>
          <w:smallCaps w:val="false"/>
          <w:sz w:val="20"/>
        </w:rPr>
        <w:t>1994.</w:t>
      </w:r>
      <w:r>
        <w:rPr>
          <w:rFonts w:ascii="Times New Roman" w:hAnsi="Times New Roman"/>
          <w:caps w:val="false"/>
          <w:smallCaps w:val="false"/>
          <w:sz w:val="20"/>
        </w:rPr>
        <w:t xml:space="preserve"> The original demand was in the amount of approximately $1.4 million, of which EOS has paid $0.5 million. EOS filed an Appeal in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which is pending with the Customs, Excise and Service Tax Appellate Tribunal in Mumbai related to the $0.9 million balance of the original demand net of EOS' payment. As part of the EOS acquisition agreement entered into in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 xml:space="preserve">the Company is entitled to be indemnified for this matter for a period of 7 years from the acquisition date. The Company is unable to determine at this time what amount, if 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ultimately be due in connection with this claim. As such,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estimate was accrued as of </w:t>
      </w:r>
      <w:r>
        <w:rPr>
          <w:rStyle w:val="Emphasis"/>
          <w:rFonts w:ascii="Times New Roman" w:hAnsi="Times New Roman"/>
          <w:caps w:val="false"/>
          <w:smallCaps w:val="false"/>
          <w:sz w:val="20"/>
        </w:rPr>
        <w:t xml:space="preserve"> December 31, 2025.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is </w:t>
      </w:r>
      <w:r>
        <w:rPr>
          <w:rStyle w:val="Emphasis"/>
          <w:rFonts w:ascii="Times New Roman;Times;serif" w:hAnsi="Times New Roman;Times;serif"/>
          <w:sz w:val="20"/>
        </w:rPr>
        <w:t>not</w:t>
      </w:r>
      <w:r>
        <w:rPr>
          <w:rFonts w:ascii="Times New Roman;Times;serif" w:hAnsi="Times New Roman;Times;serif"/>
          <w:sz w:val="20"/>
        </w:rPr>
        <w:t xml:space="preserve"> a party to any other legal proceeding, the adverse outcome of which is likely to have a material adverse effect on the Company's consolidated financial condition or consolidated results of operations.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950" w:type="dxa"/>
        <w:jc w:val="left"/>
        <w:tblInd w:w="0" w:type="dxa"/>
        <w:tblLayout w:type="fixed"/>
        <w:tblCellMar>
          <w:top w:w="0" w:type="dxa"/>
          <w:left w:w="0" w:type="dxa"/>
          <w:bottom w:w="0" w:type="dxa"/>
          <w:right w:w="0" w:type="dxa"/>
        </w:tblCellMar>
      </w:tblPr>
      <w:tblGrid>
        <w:gridCol w:w="380"/>
        <w:gridCol w:w="5570"/>
      </w:tblGrid>
      <w:tr>
        <w:trPr/>
        <w:tc>
          <w:tcPr>
            <w:tcW w:w="380" w:type="dxa"/>
            <w:tcBorders/>
            <w:vAlign w:val="center"/>
          </w:tcPr>
          <w:p>
            <w:pPr>
              <w:pStyle w:val="TableContents"/>
              <w:bidi w:val="0"/>
              <w:spacing w:before="0" w:after="283"/>
              <w:jc w:val="left"/>
              <w:rPr/>
            </w:pPr>
            <w:r>
              <w:rPr>
                <w:rStyle w:val="Emphasis"/>
              </w:rPr>
              <w:t>20.</w:t>
            </w:r>
            <w:r>
              <w:rPr/>
              <w:t> </w:t>
            </w:r>
          </w:p>
        </w:tc>
        <w:tc>
          <w:tcPr>
            <w:tcW w:w="5570" w:type="dxa"/>
            <w:tcBorders/>
            <w:vAlign w:val="center"/>
          </w:tcPr>
          <w:p>
            <w:pPr>
              <w:pStyle w:val="TableContents"/>
              <w:bidi w:val="0"/>
              <w:spacing w:before="0" w:after="283"/>
              <w:jc w:val="left"/>
              <w:rPr/>
            </w:pPr>
            <w:r>
              <w:rPr/>
              <w:t>ACCUMULATED OTHER COMPREHENSIVE LOSS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components of accumulated other comprehensive loss as of </w:t>
      </w:r>
      <w:r>
        <w:rPr>
          <w:rStyle w:val="Emphasis"/>
          <w:rFonts w:ascii="Times New Roman;Times;serif" w:hAnsi="Times New Roman;Times;serif"/>
          <w:sz w:val="20"/>
        </w:rPr>
        <w:t xml:space="preserve"> December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xml:space="preserve"> are summarized below:</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375"/>
        <w:gridCol w:w="60"/>
        <w:gridCol w:w="125"/>
        <w:gridCol w:w="650"/>
        <w:gridCol w:w="80"/>
        <w:gridCol w:w="60"/>
        <w:gridCol w:w="125"/>
        <w:gridCol w:w="650"/>
        <w:gridCol w:w="80"/>
      </w:tblGrid>
      <w:tr>
        <w:trPr/>
        <w:tc>
          <w:tcPr>
            <w:tcW w:w="8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taxes of ($312) at December 31, 2025 and ($312) at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3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holding gains on interest rate swap cash flow hedge, net of taxes of $0 at December 31, 2025 and $0 at December 31, 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2,729</w:t>
            </w:r>
          </w:p>
        </w:tc>
        <w:tc>
          <w:tcPr>
            <w:tcW w:w="80"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holding gains on marketable securities, net of taxes of ($7) at December 31, 2025 and ($7) at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Unfunded SERP liability, net of taxes of $1,003 at December 31, 2025 and $1,183 at December 31, 2024</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80"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Changes in accumulated other comprehensive (loss) income by component during the years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2024</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xml:space="preserve"> are as follows.  All amounts are net of tax.</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11"/>
        <w:gridCol w:w="60"/>
        <w:gridCol w:w="240"/>
        <w:gridCol w:w="1252"/>
        <w:gridCol w:w="80"/>
        <w:gridCol w:w="60"/>
        <w:gridCol w:w="346"/>
        <w:gridCol w:w="1516"/>
        <w:gridCol w:w="80"/>
        <w:gridCol w:w="60"/>
        <w:gridCol w:w="629"/>
        <w:gridCol w:w="1163"/>
        <w:gridCol w:w="60"/>
        <w:gridCol w:w="60"/>
        <w:gridCol w:w="223"/>
        <w:gridCol w:w="867"/>
        <w:gridCol w:w="80"/>
        <w:gridCol w:w="197"/>
        <w:gridCol w:w="60"/>
        <w:gridCol w:w="125"/>
        <w:gridCol w:w="650"/>
        <w:gridCol w:w="86"/>
      </w:tblGrid>
      <w:tr>
        <w:trPr/>
        <w:tc>
          <w:tcPr>
            <w:tcW w:w="2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Foreign Currency Translation Adjustment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 Gains (Losses) on Interest Rate Swap Cash Flow Hedge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 Holding Gains (Losses) on Marketable 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Unfunded SERP Liability</w:t>
            </w:r>
          </w:p>
        </w:tc>
        <w:tc>
          <w:tcPr>
            <w:tcW w:w="8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6"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(23,107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w:t>
            </w:r>
          </w:p>
        </w:tc>
        <w:tc>
          <w:tcPr>
            <w:tcW w:w="8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(16,546</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 before reclassifications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2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ind w:left="0" w:right="0" w:hanging="0"/>
              <w:jc w:val="left"/>
              <w:rPr/>
            </w:pPr>
            <w:r>
              <w:rPr/>
              <w:t> </w:t>
            </w:r>
          </w:p>
        </w:tc>
        <w:tc>
          <w:tcPr>
            <w:tcW w:w="15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ind w:left="0" w:right="0" w:hanging="0"/>
              <w:jc w:val="left"/>
              <w:rPr/>
            </w:pPr>
            <w:r>
              <w:rPr/>
              <w:t> </w:t>
            </w:r>
          </w:p>
        </w:tc>
        <w:tc>
          <w:tcPr>
            <w:tcW w:w="11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5,101</w:t>
            </w:r>
          </w:p>
        </w:tc>
        <w:tc>
          <w:tcPr>
            <w:tcW w:w="86"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7"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current period other comprehensive income (loss)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4,509</w:t>
            </w:r>
          </w:p>
        </w:tc>
        <w:tc>
          <w:tcPr>
            <w:tcW w:w="86"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December 31, 2023</w:t>
            </w:r>
          </w:p>
        </w:tc>
        <w:tc>
          <w:tcPr>
            <w:tcW w:w="60" w:type="dxa"/>
            <w:tcBorders/>
            <w:shd w:fill="CCEEFF" w:val="cle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(16,423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407</w:t>
            </w:r>
          </w:p>
        </w:tc>
        <w:tc>
          <w:tcPr>
            <w:tcW w:w="8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(12,037</w:t>
            </w:r>
          </w:p>
        </w:tc>
        <w:tc>
          <w:tcPr>
            <w:tcW w:w="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 before reclassifications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2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ind w:left="0" w:right="0" w:hanging="0"/>
              <w:jc w:val="left"/>
              <w:rPr/>
            </w:pPr>
            <w:r>
              <w:rPr/>
              <w:t> </w:t>
            </w:r>
          </w:p>
        </w:tc>
        <w:tc>
          <w:tcPr>
            <w:tcW w:w="15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ind w:left="0" w:right="0" w:hanging="0"/>
              <w:jc w:val="left"/>
              <w:rPr/>
            </w:pPr>
            <w:r>
              <w:rPr/>
              <w:t> </w:t>
            </w:r>
          </w:p>
        </w:tc>
        <w:tc>
          <w:tcPr>
            <w:tcW w:w="11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1,644</w:t>
            </w:r>
          </w:p>
        </w:tc>
        <w:tc>
          <w:tcPr>
            <w:tcW w:w="8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(4,662</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Amounts reclassified from 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7"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(a)</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current period other comprehensive income (loss)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w:t>
            </w:r>
          </w:p>
        </w:tc>
        <w:tc>
          <w:tcPr>
            <w:tcW w:w="8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(5,190</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(21,966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1,989</w:t>
            </w:r>
          </w:p>
        </w:tc>
        <w:tc>
          <w:tcPr>
            <w:tcW w:w="8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(17,227</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comprehensive income (loss) before reclassifications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3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Amounts reclassified from accumulated other comprehensive income (loss)</w:t>
            </w:r>
          </w:p>
        </w:tc>
        <w:tc>
          <w:tcPr>
            <w:tcW w:w="60" w:type="dxa"/>
            <w:tcBorders/>
            <w:shd w:fill="FFFFFF" w:val="cle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w:t>
            </w:r>
          </w:p>
        </w:tc>
        <w:tc>
          <w:tcPr>
            <w:tcW w:w="8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sz w:val="20"/>
              </w:rPr>
              <w:t>(a)</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w:t>
            </w:r>
          </w:p>
        </w:tc>
        <w:tc>
          <w:tcPr>
            <w:tcW w:w="86" w:type="dxa"/>
            <w:tcBorders/>
            <w:shd w:fill="FFFFFF" w:val="clear"/>
            <w:vAlign w:val="center"/>
          </w:tcPr>
          <w:p>
            <w:pPr>
              <w:pStyle w:val="TableContents"/>
              <w:bidi w:val="0"/>
              <w:spacing w:before="0" w:after="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current period other comprehensive income (loss)</w:t>
            </w:r>
          </w:p>
        </w:tc>
        <w:tc>
          <w:tcPr>
            <w:tcW w:w="60" w:type="dxa"/>
            <w:tcBorders/>
            <w:shd w:fill="CCEEFF" w:val="clear"/>
            <w:vAlign w:val="center"/>
          </w:tcPr>
          <w:p>
            <w:pPr>
              <w:pStyle w:val="TableContents"/>
              <w:bidi w:val="0"/>
              <w:spacing w:before="0" w:after="0"/>
              <w:ind w:left="0" w:right="0" w:hanging="0"/>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97"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231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0" w:type="dxa"/>
            <w:tcBorders/>
            <w:shd w:fill="FFFFFF" w:val="clear"/>
            <w:vAlign w:val="center"/>
          </w:tcPr>
          <w:p>
            <w:pPr>
              <w:pStyle w:val="TableContents"/>
              <w:bidi w:val="0"/>
              <w:spacing w:before="0" w:after="0"/>
              <w:ind w:left="0" w:right="0" w:hanging="0"/>
              <w:jc w:val="left"/>
              <w:rPr/>
            </w:pPr>
            <w:r>
              <w:rPr/>
              <w:t> </w:t>
            </w:r>
          </w:p>
        </w:tc>
        <w:tc>
          <w:tcPr>
            <w:tcW w:w="125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46" w:type="dxa"/>
            <w:tcBorders/>
            <w:shd w:fill="FFFFFF" w:val="clear"/>
            <w:vAlign w:val="center"/>
          </w:tcPr>
          <w:p>
            <w:pPr>
              <w:pStyle w:val="TableContents"/>
              <w:bidi w:val="0"/>
              <w:spacing w:before="0" w:after="0"/>
              <w:ind w:left="0" w:right="0" w:hanging="0"/>
              <w:jc w:val="left"/>
              <w:rPr/>
            </w:pPr>
            <w:r>
              <w:rPr/>
              <w:t> </w:t>
            </w:r>
          </w:p>
        </w:tc>
        <w:tc>
          <w:tcPr>
            <w:tcW w:w="151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9" w:type="dxa"/>
            <w:tcBorders/>
            <w:shd w:fill="FFFFFF" w:val="clear"/>
            <w:vAlign w:val="center"/>
          </w:tcPr>
          <w:p>
            <w:pPr>
              <w:pStyle w:val="TableContents"/>
              <w:bidi w:val="0"/>
              <w:spacing w:before="0" w:after="0"/>
              <w:ind w:left="0" w:right="0" w:hanging="0"/>
              <w:jc w:val="left"/>
              <w:rPr/>
            </w:pPr>
            <w:r>
              <w:rPr/>
              <w:t> </w:t>
            </w:r>
          </w:p>
        </w:tc>
        <w:tc>
          <w:tcPr>
            <w:tcW w:w="116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3" w:type="dxa"/>
            <w:tcBorders/>
            <w:shd w:fill="FFFFFF" w:val="clear"/>
            <w:vAlign w:val="center"/>
          </w:tcPr>
          <w:p>
            <w:pPr>
              <w:pStyle w:val="TableContents"/>
              <w:bidi w:val="0"/>
              <w:spacing w:before="0" w:after="0"/>
              <w:ind w:left="0" w:right="0" w:hanging="0"/>
              <w:jc w:val="left"/>
              <w:rPr/>
            </w:pPr>
            <w:r>
              <w:rPr/>
              <w:t> </w:t>
            </w:r>
          </w:p>
        </w:tc>
        <w:tc>
          <w:tcPr>
            <w:tcW w:w="86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1,389</w:t>
            </w:r>
          </w:p>
        </w:tc>
        <w:tc>
          <w:tcPr>
            <w:tcW w:w="8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(17,174</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 </w:t>
            </w:r>
          </w:p>
        </w:tc>
        <w:tc>
          <w:tcPr>
            <w:tcW w:w="992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This reclassification relates to the amortization of prior service costs and gains/losses associated with the Company's SERP plan.  This expense is reflected in Other income (expense), net on the accompanying consolidated statement of operations.</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BEL FUSE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SCHEDULE II - VALUATION AND QUALIFYING ACCOUNTS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(Amounts in thousands)</w:t>
      </w:r>
    </w:p>
    <w:p>
      <w:pPr>
        <w:pStyle w:val="TextBody"/>
        <w:bidi w:val="0"/>
        <w:spacing w:before="0" w:after="0"/>
        <w:ind w:left="0" w:right="0" w:hanging="0"/>
        <w:jc w:val="center"/>
        <w:rPr/>
      </w:pPr>
      <w:r>
        <w:rPr/>
        <w:t> </w:t>
      </w:r>
    </w:p>
    <w:tbl>
      <w:tblPr>
        <w:tblW w:w="9776" w:type="dxa"/>
        <w:jc w:val="left"/>
        <w:tblInd w:w="0" w:type="dxa"/>
        <w:tblLayout w:type="fixed"/>
        <w:tblCellMar>
          <w:top w:w="0" w:type="dxa"/>
          <w:left w:w="0" w:type="dxa"/>
          <w:bottom w:w="0" w:type="dxa"/>
          <w:right w:w="0" w:type="dxa"/>
        </w:tblCellMar>
      </w:tblPr>
      <w:tblGrid>
        <w:gridCol w:w="3650"/>
        <w:gridCol w:w="60"/>
        <w:gridCol w:w="160"/>
        <w:gridCol w:w="759"/>
        <w:gridCol w:w="60"/>
        <w:gridCol w:w="60"/>
        <w:gridCol w:w="285"/>
        <w:gridCol w:w="1114"/>
        <w:gridCol w:w="80"/>
        <w:gridCol w:w="60"/>
        <w:gridCol w:w="266"/>
        <w:gridCol w:w="1163"/>
        <w:gridCol w:w="80"/>
        <w:gridCol w:w="60"/>
        <w:gridCol w:w="177"/>
        <w:gridCol w:w="773"/>
        <w:gridCol w:w="80"/>
        <w:gridCol w:w="60"/>
        <w:gridCol w:w="134"/>
        <w:gridCol w:w="635"/>
        <w:gridCol w:w="60"/>
      </w:tblGrid>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Balance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beginning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Charged to costs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Charged to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Deductions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at end</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and expenses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accounts (b)</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period</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Year Ended December 31, 2025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doubtful accounts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excess and obsolete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18,015</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 - valuation allowances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Year Ended December 31, 2024</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doubtful accounts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excess and obsolete inventory</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14,465</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 - valuation allowances</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Year Ended December 31, 2023</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1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doubtful accounts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w:t>
            </w:r>
          </w:p>
        </w:tc>
        <w:tc>
          <w:tcPr>
            <w:tcW w:w="60"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excess and obsolete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13,655</w:t>
            </w:r>
          </w:p>
        </w:tc>
        <w:tc>
          <w:tcPr>
            <w:tcW w:w="60"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 - valuation allowances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Write-offs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Includes foreign currency translation adjustments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25" w:name="item9"/>
      <w:bookmarkEnd w:id="25"/>
      <w:r>
        <w:rPr>
          <w:rFonts w:ascii="Times New Roman;Times;serif" w:hAnsi="Times New Roman;Times;serif"/>
          <w:b/>
          <w:sz w:val="20"/>
        </w:rPr>
        <w:t xml:space="preserve">Item 9.  </w:t>
      </w:r>
      <w:r>
        <w:rPr>
          <w:rFonts w:ascii="Times New Roman;Times;serif" w:hAnsi="Times New Roman;Times;serif"/>
          <w:b/>
          <w:i/>
          <w:sz w:val="20"/>
        </w:rPr>
        <w:t>Changes in and Disagreements With Accountants on Accounting and Financial Disclosure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26" w:name="item9a"/>
      <w:bookmarkEnd w:id="26"/>
      <w:r>
        <w:rPr>
          <w:rFonts w:ascii="Times New Roman;Times;serif" w:hAnsi="Times New Roman;Times;serif"/>
          <w:b/>
          <w:sz w:val="20"/>
        </w:rPr>
        <w:t xml:space="preserve">Item 9A. </w:t>
      </w:r>
      <w:r>
        <w:rPr>
          <w:rFonts w:ascii="Times New Roman;Times;serif" w:hAnsi="Times New Roman;Times;serif"/>
          <w:b/>
          <w:i/>
          <w:sz w:val="20"/>
        </w:rPr>
        <w:t>Controls and Procedures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Evaluation of Disclosure Controls and Procedures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fourth quarter of 2025, the Company's management, including the principal executive officer and principal financial officer, supervised and participated in the evaluation of the Company's disclosure controls and procedures (as defined in Rules 13a-15(e) and 15d-15(e) under the Securities Exchange Act of 1934) related to the recording, processing, summarization, and reporting of information in the Company's periodic reports that the Company files with the SEC. These disclosure controls and procedures have been designed to ensure that material information relating to the Company, including its subsidiaries, is made known to the Company's management, including the principal executive officer and principal financial officer, by the Company’s other employees, and that this information is recorded, processed, summarized, evaluated, and reported, as applicable, within the time periods specified in the SEC's rules and forms.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designing and evaluating the disclosure controls and procedures, the Company recognizes that any controls and procedures, no matter how well designed and operated, provide only reasonable, not absolute, assurance that the above objectives have been met. Notwithstanding these limitations, the Company believes that its disclosure controls and procedures are designed and are operating to provide reasonable assurances of achieving their objectives.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their evaluation as of December 31, 2025, the Company's principal executive officer and principal financial officer have concluded that the Company's disclosure controls and procedures (as defined in Rules 13a-15(e) and 15d-15(e) under the Securities Exchange Act of 1934) are effective to ensure that the information required to be disclosed by the Company in the reports that the Company files or submits under the Securities Exchange Act of 1934 is recorded, processed, summarized and reported within the time periods specified in SEC rules and forms.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Management's Annual Report on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the Company's principal executive officer and </w:t>
      </w:r>
      <w:r>
        <w:rPr>
          <w:rFonts w:ascii="Times New Roman;Times;serif" w:hAnsi="Times New Roman;Times;serif"/>
          <w:sz w:val="20"/>
          <w:shd w:fill="FFFFFF" w:val="clear"/>
        </w:rPr>
        <w:t xml:space="preserve">principal financial officer, the Company conducted an evaluation of the effectiveness of the Company's internal control over financial reporting based on the framework in </w:t>
      </w:r>
      <w:r>
        <w:rPr>
          <w:rFonts w:ascii="Times New Roman;Times;serif" w:hAnsi="Times New Roman;Times;serif"/>
          <w:i/>
          <w:sz w:val="20"/>
          <w:shd w:fill="FFFFFF" w:val="clear"/>
        </w:rPr>
        <w:t>Internal Control – Integrated Framework (2013)</w:t>
      </w:r>
      <w:r>
        <w:rPr>
          <w:rFonts w:ascii="Times New Roman;Times;serif" w:hAnsi="Times New Roman;Times;serif"/>
          <w:sz w:val="20"/>
          <w:shd w:fill="FFFFFF" w:val="clear"/>
        </w:rPr>
        <w:t xml:space="preserve"> issued by the Committee of Sponsoring Organizations of the Treadway Commission.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 xml:space="preserve">Based on the Company's evaluation under the framework in </w:t>
      </w:r>
      <w:r>
        <w:rPr>
          <w:rFonts w:ascii="Times New Roman;Times;serif" w:hAnsi="Times New Roman;Times;serif"/>
          <w:i/>
          <w:sz w:val="20"/>
          <w:shd w:fill="FFFFFF" w:val="clear"/>
        </w:rPr>
        <w:t>Internal Control</w:t>
      </w:r>
      <w:r>
        <w:rPr>
          <w:rFonts w:ascii="Times New Roman;Times;serif" w:hAnsi="Times New Roman;Times;serif"/>
          <w:sz w:val="20"/>
          <w:shd w:fill="FFFFFF" w:val="clear"/>
        </w:rPr>
        <w:t xml:space="preserve"> – </w:t>
      </w:r>
      <w:r>
        <w:rPr>
          <w:rFonts w:ascii="Times New Roman;Times;serif" w:hAnsi="Times New Roman;Times;serif"/>
          <w:i/>
          <w:sz w:val="20"/>
          <w:shd w:fill="FFFFFF" w:val="clear"/>
        </w:rPr>
        <w:t>Integrated Framework (2013)</w:t>
      </w:r>
      <w:r>
        <w:rPr>
          <w:rFonts w:ascii="Times New Roman;Times;serif" w:hAnsi="Times New Roman;Times;serif"/>
          <w:sz w:val="20"/>
          <w:shd w:fill="FFFFFF" w:val="clear"/>
        </w:rPr>
        <w:t>, the Company's management concluded that the Company's internal control over financial reporting was effective as of </w:t>
      </w:r>
      <w:r>
        <w:rPr>
          <w:rFonts w:ascii="Times New Roman;Times;serif" w:hAnsi="Times New Roman;Times;serif"/>
          <w:sz w:val="20"/>
        </w:rPr>
        <w:t>December 31, 2025</w:t>
      </w:r>
      <w:r>
        <w:rPr>
          <w:rFonts w:ascii="Times New Roman;Times;serif" w:hAnsi="Times New Roman;Times;serif"/>
          <w:sz w:val="20"/>
          <w:shd w:fill="FFFFFF" w:val="clear"/>
        </w:rPr>
        <w: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Grant Thornton LLP has audited the effectiveness of the Company's internal control over financial reporting as of December 31, 2025 and has expressed an unqualified opinion on the effectiveness of our internal control over financial reporting as of December 31, 2025 in their report which is included in Item 8 herein.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Changes in Internal Controls Over Financial Reporting</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has not been any change in our internal control over financial reporting during the three months ended December 31, 2025 that has materially affected, or is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27" w:name="item9b"/>
      <w:bookmarkEnd w:id="27"/>
      <w:r>
        <w:rPr>
          <w:rFonts w:ascii="Times New Roman;Times;serif" w:hAnsi="Times New Roman;Times;serif"/>
          <w:b/>
          <w:sz w:val="20"/>
        </w:rPr>
        <w:t xml:space="preserve">Item </w:t>
      </w:r>
      <w:r>
        <w:rPr>
          <w:rStyle w:val="Emphasis"/>
          <w:rFonts w:ascii="Times New Roman;Times;serif" w:hAnsi="Times New Roman;Times;serif"/>
          <w:b/>
          <w:sz w:val="20"/>
        </w:rPr>
        <w:t>9B.</w:t>
      </w:r>
      <w:r>
        <w:rPr>
          <w:rFonts w:ascii="Times New Roman;Times;serif" w:hAnsi="Times New Roman;Times;serif"/>
          <w:b/>
          <w:sz w:val="20"/>
        </w:rPr>
        <w:t xml:space="preserve">     </w:t>
      </w:r>
      <w:r>
        <w:rPr>
          <w:rFonts w:ascii="Times New Roman;Times;serif" w:hAnsi="Times New Roman;Times;serif"/>
          <w:b/>
          <w:i/>
          <w:sz w:val="20"/>
        </w:rPr>
        <w:t>Other Information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u w:val="single"/>
        </w:rPr>
        <w:t xml:space="preserve">Rule </w:t>
      </w:r>
      <w:r>
        <w:rPr>
          <w:rStyle w:val="Emphasis"/>
          <w:rFonts w:ascii="Times New Roman;Times;serif" w:hAnsi="Times New Roman;Times;serif"/>
          <w:sz w:val="20"/>
          <w:u w:val="single"/>
        </w:rPr>
        <w:t>10b5</w:t>
      </w:r>
      <w:r>
        <w:rPr>
          <w:rFonts w:ascii="Times New Roman;Times;serif" w:hAnsi="Times New Roman;Times;serif"/>
          <w:sz w:val="20"/>
          <w:u w:val="single"/>
        </w:rPr>
        <w:t>-</w:t>
      </w:r>
      <w:r>
        <w:rPr>
          <w:rStyle w:val="Emphasis"/>
          <w:rFonts w:ascii="Times New Roman;Times;serif" w:hAnsi="Times New Roman;Times;serif"/>
          <w:sz w:val="20"/>
          <w:u w:val="single"/>
        </w:rPr>
        <w:t>1</w:t>
      </w:r>
      <w:r>
        <w:rPr>
          <w:rFonts w:ascii="Times New Roman;Times;serif" w:hAnsi="Times New Roman;Times;serif"/>
          <w:sz w:val="20"/>
          <w:u w:val="single"/>
        </w:rPr>
        <w:t xml:space="preserve"> Trading Arrangements and Non-Rule </w:t>
      </w:r>
      <w:r>
        <w:rPr>
          <w:rStyle w:val="Emphasis"/>
          <w:rFonts w:ascii="Times New Roman;Times;serif" w:hAnsi="Times New Roman;Times;serif"/>
          <w:sz w:val="20"/>
          <w:u w:val="single"/>
        </w:rPr>
        <w:t>10b5</w:t>
      </w:r>
      <w:r>
        <w:rPr>
          <w:rFonts w:ascii="Times New Roman;Times;serif" w:hAnsi="Times New Roman;Times;serif"/>
          <w:sz w:val="20"/>
          <w:u w:val="single"/>
        </w:rPr>
        <w:t>-</w:t>
      </w:r>
      <w:r>
        <w:rPr>
          <w:rStyle w:val="Emphasis"/>
          <w:rFonts w:ascii="Times New Roman;Times;serif" w:hAnsi="Times New Roman;Times;serif"/>
          <w:sz w:val="20"/>
          <w:u w:val="single"/>
        </w:rPr>
        <w:t>1</w:t>
      </w:r>
      <w:r>
        <w:rPr>
          <w:rFonts w:ascii="Times New Roman;Times;serif" w:hAnsi="Times New Roman;Times;serif"/>
          <w:sz w:val="20"/>
          <w:u w:val="single"/>
        </w:rPr>
        <w:t xml:space="preserve"> Trading Arrangements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During the fiscal quarter ended </w:t>
      </w:r>
      <w:r>
        <w:rPr>
          <w:rStyle w:val="Emphasis"/>
          <w:rFonts w:ascii="Times New Roman;Times;serif" w:hAnsi="Times New Roman;Times;serif"/>
          <w:sz w:val="20"/>
        </w:rPr>
        <w:t>December 31, 2025</w:t>
      </w:r>
      <w:r>
        <w:rPr>
          <w:rFonts w:ascii="Times New Roman;Times;serif" w:hAnsi="Times New Roman;Times;serif"/>
          <w:sz w:val="20"/>
        </w:rPr>
        <w:t xml:space="preserve">, </w:t>
      </w:r>
      <w:r>
        <w:rPr>
          <w:rStyle w:val="Emphasis"/>
          <w:rFonts w:ascii="Times New Roman;Times;serif" w:hAnsi="Times New Roman;Times;serif"/>
          <w:sz w:val="20"/>
        </w:rPr>
        <w:t>none</w:t>
      </w:r>
      <w:r>
        <w:rPr>
          <w:rFonts w:ascii="Times New Roman;Times;serif" w:hAnsi="Times New Roman;Times;serif"/>
          <w:sz w:val="20"/>
        </w:rPr>
        <w:t xml:space="preserve"> of our officers or directors, as those terms are defined in Rule </w:t>
      </w:r>
      <w:r>
        <w:rPr>
          <w:rStyle w:val="Emphasis"/>
          <w:rFonts w:ascii="Times New Roman;Times;serif" w:hAnsi="Times New Roman;Times;serif"/>
          <w:sz w:val="20"/>
        </w:rPr>
        <w:t>16a</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(f), adopted or terminated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or a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as those terms are defined in Item </w:t>
      </w:r>
      <w:r>
        <w:rPr>
          <w:rStyle w:val="Emphasis"/>
          <w:rFonts w:ascii="Times New Roman;Times;serif" w:hAnsi="Times New Roman;Times;serif"/>
          <w:sz w:val="20"/>
        </w:rPr>
        <w:t>408</w:t>
      </w:r>
      <w:r>
        <w:rPr>
          <w:rFonts w:ascii="Times New Roman;Times;serif" w:hAnsi="Times New Roman;Times;serif"/>
          <w:sz w:val="20"/>
        </w:rPr>
        <w:t xml:space="preserve"> of Regulation S-K. </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20"/>
        </w:rPr>
      </w:pPr>
      <w:bookmarkStart w:id="28" w:name="Item_9C"/>
      <w:bookmarkEnd w:id="28"/>
      <w:r>
        <w:rPr>
          <w:rFonts w:ascii="Times New Roman;Times;serif" w:hAnsi="Times New Roman;Times;serif"/>
          <w:b/>
          <w:sz w:val="20"/>
        </w:rPr>
        <w:t xml:space="preserve">Item 9C.    </w:t>
      </w:r>
      <w:r>
        <w:rPr>
          <w:rFonts w:ascii="Times New Roman;Times;serif" w:hAnsi="Times New Roman;Times;serif"/>
          <w:b/>
          <w:i/>
          <w:sz w:val="20"/>
        </w:rPr>
        <w:t>Disclosure Regarding Foreign Jurisdictions that Prevent Inspections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III</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9" w:name="item10"/>
      <w:bookmarkEnd w:id="29"/>
      <w:r>
        <w:rPr>
          <w:rFonts w:ascii="Times New Roman;Times;serif" w:hAnsi="Times New Roman;Times;serif"/>
          <w:b/>
          <w:sz w:val="20"/>
        </w:rPr>
        <w:t xml:space="preserve">Item </w:t>
      </w:r>
      <w:r>
        <w:rPr>
          <w:rStyle w:val="Emphasis"/>
          <w:rFonts w:ascii="Times New Roman;Times;serif" w:hAnsi="Times New Roman;Times;serif"/>
          <w:b/>
          <w:sz w:val="20"/>
        </w:rPr>
        <w:t>10.</w:t>
      </w:r>
      <w:r>
        <w:rPr>
          <w:rFonts w:ascii="Times New Roman;Times;serif" w:hAnsi="Times New Roman;Times;serif"/>
          <w:b/>
          <w:sz w:val="20"/>
        </w:rPr>
        <w:t xml:space="preserve">     </w:t>
      </w:r>
      <w:r>
        <w:rPr>
          <w:rFonts w:ascii="Times New Roman;Times;serif" w:hAnsi="Times New Roman;Times;serif"/>
          <w:b/>
          <w:i/>
          <w:sz w:val="20"/>
        </w:rPr>
        <w:t>Directors, Executive Officers and Corporate Governance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Registrant incorporates by reference herein the information to be set forth in its definitive proxy statement for its</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2026</w:t>
      </w:r>
      <w:r>
        <w:rPr>
          <w:rFonts w:ascii="Times New Roman;Times;serif" w:hAnsi="Times New Roman;Times;serif"/>
          <w:sz w:val="20"/>
          <w:shd w:fill="FFFFFF" w:val="clear"/>
        </w:rPr>
        <w:t> </w:t>
      </w:r>
      <w:r>
        <w:rPr>
          <w:rFonts w:ascii="Times New Roman;Times;serif" w:hAnsi="Times New Roman;Times;serif"/>
          <w:sz w:val="20"/>
        </w:rPr>
        <w:t xml:space="preserve">annual meeting of shareholders (the “Proxy Statement”), which will be filed </w:t>
      </w:r>
      <w:r>
        <w:rPr>
          <w:rStyle w:val="Emphasis"/>
          <w:rFonts w:ascii="Times New Roman;Times;serif" w:hAnsi="Times New Roman;Times;serif"/>
          <w:sz w:val="20"/>
        </w:rPr>
        <w:t>no</w:t>
      </w:r>
      <w:r>
        <w:rPr>
          <w:rFonts w:ascii="Times New Roman;Times;serif" w:hAnsi="Times New Roman;Times;serif"/>
          <w:sz w:val="20"/>
        </w:rPr>
        <w:t xml:space="preserve"> later than </w:t>
      </w:r>
      <w:r>
        <w:rPr>
          <w:rStyle w:val="Emphasis"/>
          <w:rFonts w:ascii="Times New Roman;Times;serif" w:hAnsi="Times New Roman;Times;serif"/>
          <w:sz w:val="20"/>
        </w:rPr>
        <w:t>120</w:t>
      </w:r>
      <w:r>
        <w:rPr>
          <w:rFonts w:ascii="Times New Roman;Times;serif" w:hAnsi="Times New Roman;Times;serif"/>
          <w:sz w:val="20"/>
        </w:rPr>
        <w:t xml:space="preserve"> days after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that is responsive to the remaining information required with respect to this Item </w:t>
      </w:r>
      <w:r>
        <w:rPr>
          <w:rStyle w:val="Emphasis"/>
          <w:rFonts w:ascii="Times New Roman;Times;serif" w:hAnsi="Times New Roman;Times;serif"/>
          <w:sz w:val="20"/>
        </w:rPr>
        <w:t>10,</w:t>
      </w:r>
      <w:r>
        <w:rPr>
          <w:rFonts w:ascii="Times New Roman;Times;serif" w:hAnsi="Times New Roman;Times;serif"/>
          <w:sz w:val="20"/>
        </w:rPr>
        <w:t xml:space="preserve"> to the extent </w:t>
      </w:r>
      <w:r>
        <w:rPr>
          <w:rStyle w:val="Emphasis"/>
          <w:rFonts w:ascii="Times New Roman;Times;serif" w:hAnsi="Times New Roman;Times;serif"/>
          <w:sz w:val="20"/>
        </w:rPr>
        <w:t>not</w:t>
      </w:r>
      <w:r>
        <w:rPr>
          <w:rFonts w:ascii="Times New Roman;Times;serif" w:hAnsi="Times New Roman;Times;serif"/>
          <w:sz w:val="20"/>
        </w:rPr>
        <w:t xml:space="preserve"> set forth herein.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Registrant has adopted a code of ethics for all of its associates, including directors, executive officers and all other senior financial personnel. The code of ethics, as amended from time to time, is available on the Registrant's website under Investors &gt; Corporate Governance at https://ir.belfuse.com/corporate-governance. The Registrant will also make copies of its code of ethics available to investors upon request. Any such request should be sent by mail to Bel Fuse Inc., </w:t>
      </w:r>
      <w:r>
        <w:rPr>
          <w:rStyle w:val="Emphasis"/>
          <w:rFonts w:ascii="Times New Roman;Times;serif" w:hAnsi="Times New Roman;Times;serif"/>
          <w:sz w:val="20"/>
        </w:rPr>
        <w:t>300</w:t>
      </w:r>
      <w:r>
        <w:rPr>
          <w:rFonts w:ascii="Times New Roman;Times;serif" w:hAnsi="Times New Roman;Times;serif"/>
          <w:sz w:val="20"/>
        </w:rPr>
        <w:t xml:space="preserve"> Executive Drive, Suite </w:t>
      </w:r>
      <w:r>
        <w:rPr>
          <w:rStyle w:val="Emphasis"/>
          <w:rFonts w:ascii="Times New Roman;Times;serif" w:hAnsi="Times New Roman;Times;serif"/>
          <w:sz w:val="20"/>
        </w:rPr>
        <w:t>300,</w:t>
      </w:r>
      <w:r>
        <w:rPr>
          <w:rFonts w:ascii="Times New Roman;Times;serif" w:hAnsi="Times New Roman;Times;serif"/>
          <w:sz w:val="20"/>
        </w:rPr>
        <w:t xml:space="preserve"> West Orange, NJ  </w:t>
      </w:r>
      <w:r>
        <w:rPr>
          <w:rStyle w:val="Emphasis"/>
          <w:rFonts w:ascii="Times New Roman;Times;serif" w:hAnsi="Times New Roman;Times;serif"/>
          <w:sz w:val="20"/>
        </w:rPr>
        <w:t>07052</w:t>
      </w:r>
      <w:r>
        <w:rPr>
          <w:rFonts w:ascii="Times New Roman;Times;serif" w:hAnsi="Times New Roman;Times;serif"/>
          <w:sz w:val="20"/>
        </w:rPr>
        <w:t xml:space="preserve"> Attn: Lynn Hutkin, Chief Financial Officer, or should be made by telephone by calling Lynn Hutkin at </w:t>
      </w:r>
      <w:r>
        <w:rPr>
          <w:rStyle w:val="Emphasis"/>
          <w:rFonts w:ascii="Times New Roman;Times;serif" w:hAnsi="Times New Roman;Times;serif"/>
          <w:sz w:val="20"/>
        </w:rPr>
        <w:t>201</w:t>
      </w:r>
      <w:r>
        <w:rPr>
          <w:rFonts w:ascii="Times New Roman;Times;serif" w:hAnsi="Times New Roman;Times;serif"/>
          <w:sz w:val="20"/>
        </w:rPr>
        <w:t>-</w:t>
      </w:r>
      <w:r>
        <w:rPr>
          <w:rStyle w:val="Emphasis"/>
          <w:rFonts w:ascii="Times New Roman;Times;serif" w:hAnsi="Times New Roman;Times;serif"/>
          <w:sz w:val="20"/>
        </w:rPr>
        <w:t>432</w:t>
      </w:r>
      <w:r>
        <w:rPr>
          <w:rFonts w:ascii="Times New Roman;Times;serif" w:hAnsi="Times New Roman;Times;serif"/>
          <w:sz w:val="20"/>
        </w:rPr>
        <w:t>-</w:t>
      </w:r>
      <w:r>
        <w:rPr>
          <w:rStyle w:val="Emphasis"/>
          <w:rFonts w:ascii="Times New Roman;Times;serif" w:hAnsi="Times New Roman;Times;serif"/>
          <w:sz w:val="20"/>
        </w:rPr>
        <w:t>0463.</w:t>
      </w:r>
    </w:p>
    <w:p>
      <w:pPr>
        <w:pStyle w:val="TextBody"/>
        <w:bidi w:val="0"/>
        <w:spacing w:before="0" w:after="0"/>
        <w:ind w:left="0" w:right="0" w:hanging="0"/>
        <w:jc w:val="both"/>
        <w:rPr/>
      </w:pPr>
      <w:r>
        <w:rPr>
          <w:rFonts w:ascii="Times New Roman;Times;serif" w:hAnsi="Times New Roman;Times;serif"/>
          <w:sz w:val="20"/>
        </w:rPr>
        <w:br/>
        <w:t>The Registrant intends to satisfy the disclosure requirement under Item </w:t>
      </w:r>
      <w:r>
        <w:rPr>
          <w:rStyle w:val="Emphasis"/>
          <w:rFonts w:ascii="Times New Roman;Times;serif" w:hAnsi="Times New Roman;Times;serif"/>
          <w:sz w:val="20"/>
        </w:rPr>
        <w:t>5.05</w:t>
      </w:r>
      <w:r>
        <w:rPr>
          <w:rFonts w:ascii="Times New Roman;Times;serif" w:hAnsi="Times New Roman;Times;serif"/>
          <w:sz w:val="20"/>
        </w:rPr>
        <w:t xml:space="preserve"> of Form </w:t>
      </w:r>
      <w:r>
        <w:rPr>
          <w:rStyle w:val="Emphasis"/>
          <w:rFonts w:ascii="Times New Roman;Times;serif" w:hAnsi="Times New Roman;Times;serif"/>
          <w:sz w:val="20"/>
        </w:rPr>
        <w:t>8</w:t>
      </w:r>
      <w:r>
        <w:rPr>
          <w:rFonts w:ascii="Times New Roman;Times;serif" w:hAnsi="Times New Roman;Times;serif"/>
          <w:sz w:val="20"/>
        </w:rPr>
        <w:t>-K regarding an amendment to, or a waiver from, a provision of its code of ethics that applies to the Registrant’s principal executive officer, principal financial officer, principal accounting officer or controller, or persons performing similar functions and that relates to any element of the code of ethics definition enumerated in paragraph (b) of Item </w:t>
      </w:r>
      <w:r>
        <w:rPr>
          <w:rStyle w:val="Emphasis"/>
          <w:rFonts w:ascii="Times New Roman;Times;serif" w:hAnsi="Times New Roman;Times;serif"/>
          <w:sz w:val="20"/>
        </w:rPr>
        <w:t>406</w:t>
      </w:r>
      <w:r>
        <w:rPr>
          <w:rFonts w:ascii="Times New Roman;Times;serif" w:hAnsi="Times New Roman;Times;serif"/>
          <w:sz w:val="20"/>
        </w:rPr>
        <w:t xml:space="preserve"> of the SEC’s Regulation S-K, by posting such information on the Registrant’s website, www.belfuse.com.</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this Form </w:t>
      </w:r>
      <w:r>
        <w:rPr>
          <w:rStyle w:val="Emphasis"/>
          <w:rFonts w:ascii="Times New Roman;Times;serif" w:hAnsi="Times New Roman;Times;serif"/>
          <w:sz w:val="20"/>
        </w:rPr>
        <w:t>10</w:t>
      </w:r>
      <w:r>
        <w:rPr>
          <w:rFonts w:ascii="Times New Roman;Times;serif" w:hAnsi="Times New Roman;Times;serif"/>
          <w:sz w:val="20"/>
        </w:rPr>
        <w:t>-K.</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30" w:name="item11"/>
      <w:bookmarkEnd w:id="30"/>
      <w:r>
        <w:rPr>
          <w:rFonts w:ascii="Times New Roman;Times;serif" w:hAnsi="Times New Roman;Times;serif"/>
          <w:b/>
          <w:sz w:val="20"/>
        </w:rPr>
        <w:t xml:space="preserve">Item 11.     </w:t>
      </w:r>
      <w:r>
        <w:rPr>
          <w:rFonts w:ascii="Times New Roman;Times;serif" w:hAnsi="Times New Roman;Times;serif"/>
          <w:b/>
          <w:i/>
          <w:sz w:val="20"/>
        </w:rPr>
        <w:t>Executive Compensation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Registrant incorporates by reference herein information to be set forth in the Proxy Statement that is responsive to the information required with respect to this Item </w:t>
      </w:r>
      <w:r>
        <w:rPr>
          <w:rStyle w:val="Emphasis"/>
          <w:rFonts w:ascii="Times New Roman;Times;serif" w:hAnsi="Times New Roman;Times;serif"/>
          <w:sz w:val="20"/>
        </w:rPr>
        <w:t>11.</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31" w:name="item12"/>
      <w:bookmarkEnd w:id="31"/>
      <w:r>
        <w:rPr>
          <w:rFonts w:ascii="Times New Roman;Times;serif" w:hAnsi="Times New Roman;Times;serif"/>
          <w:b/>
          <w:sz w:val="20"/>
        </w:rPr>
        <w:t xml:space="preserve">Item 12.     </w:t>
      </w:r>
      <w:r>
        <w:rPr>
          <w:rFonts w:ascii="Times New Roman;Times;serif" w:hAnsi="Times New Roman;Times;serif"/>
          <w:b/>
          <w:i/>
          <w:sz w:val="20"/>
        </w:rPr>
        <w:t>Security Ownership of Certain Beneficial Owners and Management and Related Stockholder Matters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 incorporates by reference herein information to be set forth in the Proxy Statement that is responsive to the remaining information required with respect to this Item 12.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depicts the securities authorized for issuance under the Company's equity compensation plans as of December 31, 2025.</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u w:val="single"/>
        </w:rPr>
      </w:pPr>
      <w:r>
        <w:rPr>
          <w:rFonts w:ascii="Times New Roman;Times;serif" w:hAnsi="Times New Roman;Times;serif"/>
          <w:b/>
          <w:sz w:val="20"/>
          <w:u w:val="single"/>
        </w:rPr>
        <w:t>Equity Compensation Plan Information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911"/>
        <w:gridCol w:w="60"/>
        <w:gridCol w:w="591"/>
        <w:gridCol w:w="1678"/>
        <w:gridCol w:w="60"/>
        <w:gridCol w:w="60"/>
        <w:gridCol w:w="994"/>
        <w:gridCol w:w="1472"/>
        <w:gridCol w:w="60"/>
        <w:gridCol w:w="60"/>
        <w:gridCol w:w="251"/>
        <w:gridCol w:w="2944"/>
        <w:gridCol w:w="64"/>
      </w:tblGrid>
      <w:tr>
        <w:trPr/>
        <w:tc>
          <w:tcPr>
            <w:tcW w:w="1911"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Plan Category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69" w:type="dxa"/>
            <w:gridSpan w:val="2"/>
            <w:tcBorders>
              <w:bottom w:val="single" w:sz="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Securities to be Issued Upon Exercise of Outstanding Options, Warrants and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66" w:type="dxa"/>
            <w:gridSpan w:val="2"/>
            <w:tcBorders>
              <w:bottom w:val="single" w:sz="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Weighted-Average Exercise Price of Outstanding Options, Warrants and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195" w:type="dxa"/>
            <w:gridSpan w:val="2"/>
            <w:tcBorders>
              <w:bottom w:val="single" w:sz="2"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Securities Remaining Available for Future Issuance Under Equity Compensation Plans (Excluding Securities Reflected in Column (a))</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191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ind w:left="0" w:right="0" w:hanging="0"/>
              <w:jc w:val="left"/>
              <w:rPr/>
            </w:pPr>
            <w:r>
              <w:rPr/>
              <w:t> </w:t>
            </w:r>
          </w:p>
        </w:tc>
        <w:tc>
          <w:tcPr>
            <w:tcW w:w="1678"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w:t>
            </w:r>
          </w:p>
        </w:tc>
        <w:tc>
          <w:tcPr>
            <w:tcW w:w="60" w:type="dxa"/>
            <w:tcBorders/>
            <w:shd w:fill="CCEEFF" w:val="clear"/>
            <w:tcMar>
              <w:bottom w:w="0" w:type="dxa"/>
            </w:tcMar>
            <w:vAlign w:val="center"/>
          </w:tcPr>
          <w:p>
            <w:pPr>
              <w:pStyle w:val="TableContents"/>
              <w:bidi w:val="0"/>
              <w:spacing w:before="0" w:after="0"/>
              <w:ind w:left="0" w:right="0" w:hanging="0"/>
              <w:jc w:val="center"/>
              <w:rPr/>
            </w:pPr>
            <w:r>
              <w:rPr/>
              <w:t> </w:t>
            </w:r>
          </w:p>
        </w:tc>
        <w:tc>
          <w:tcPr>
            <w:tcW w:w="60" w:type="dxa"/>
            <w:tcBorders/>
            <w:shd w:fill="CCEEFF" w:val="clear"/>
            <w:tcMar>
              <w:bottom w:w="0" w:type="dxa"/>
            </w:tcMar>
            <w:vAlign w:val="center"/>
          </w:tcPr>
          <w:p>
            <w:pPr>
              <w:pStyle w:val="TableContents"/>
              <w:bidi w:val="0"/>
              <w:spacing w:before="0" w:after="0"/>
              <w:ind w:left="0" w:right="0" w:hanging="0"/>
              <w:jc w:val="center"/>
              <w:rPr/>
            </w:pPr>
            <w:r>
              <w:rPr/>
              <w:t> </w:t>
            </w:r>
          </w:p>
        </w:tc>
        <w:tc>
          <w:tcPr>
            <w:tcW w:w="994" w:type="dxa"/>
            <w:tcBorders/>
            <w:shd w:fill="CCEEFF" w:val="clear"/>
            <w:tcMar>
              <w:bottom w:w="0" w:type="dxa"/>
            </w:tcMar>
            <w:vAlign w:val="center"/>
          </w:tcPr>
          <w:p>
            <w:pPr>
              <w:pStyle w:val="TableContents"/>
              <w:bidi w:val="0"/>
              <w:spacing w:before="0" w:after="0"/>
              <w:ind w:left="0" w:right="0" w:hanging="0"/>
              <w:jc w:val="center"/>
              <w:rPr/>
            </w:pPr>
            <w:r>
              <w:rPr/>
              <w:t> </w:t>
            </w:r>
          </w:p>
        </w:tc>
        <w:tc>
          <w:tcPr>
            <w:tcW w:w="1472"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w:t>
            </w:r>
          </w:p>
        </w:tc>
        <w:tc>
          <w:tcPr>
            <w:tcW w:w="60" w:type="dxa"/>
            <w:tcBorders/>
            <w:shd w:fill="CCEEFF" w:val="clear"/>
            <w:tcMar>
              <w:bottom w:w="0" w:type="dxa"/>
            </w:tcMar>
            <w:vAlign w:val="center"/>
          </w:tcPr>
          <w:p>
            <w:pPr>
              <w:pStyle w:val="TableContents"/>
              <w:bidi w:val="0"/>
              <w:spacing w:before="0" w:after="0"/>
              <w:ind w:left="0" w:right="0" w:hanging="0"/>
              <w:jc w:val="center"/>
              <w:rPr/>
            </w:pPr>
            <w:r>
              <w:rPr/>
              <w:t> </w:t>
            </w:r>
          </w:p>
        </w:tc>
        <w:tc>
          <w:tcPr>
            <w:tcW w:w="60" w:type="dxa"/>
            <w:tcBorders/>
            <w:shd w:fill="CCEEFF" w:val="clear"/>
            <w:tcMar>
              <w:bottom w:w="0" w:type="dxa"/>
            </w:tcMar>
            <w:vAlign w:val="center"/>
          </w:tcPr>
          <w:p>
            <w:pPr>
              <w:pStyle w:val="TableContents"/>
              <w:bidi w:val="0"/>
              <w:spacing w:before="0" w:after="0"/>
              <w:ind w:left="0" w:right="0" w:hanging="0"/>
              <w:jc w:val="center"/>
              <w:rPr/>
            </w:pPr>
            <w:r>
              <w:rPr/>
              <w:t> </w:t>
            </w:r>
          </w:p>
        </w:tc>
        <w:tc>
          <w:tcPr>
            <w:tcW w:w="251" w:type="dxa"/>
            <w:tcBorders/>
            <w:shd w:fill="CCEEFF" w:val="clear"/>
            <w:tcMar>
              <w:bottom w:w="0" w:type="dxa"/>
            </w:tcMar>
            <w:vAlign w:val="center"/>
          </w:tcPr>
          <w:p>
            <w:pPr>
              <w:pStyle w:val="TableContents"/>
              <w:bidi w:val="0"/>
              <w:spacing w:before="0" w:after="0"/>
              <w:ind w:left="0" w:right="0" w:hanging="0"/>
              <w:jc w:val="center"/>
              <w:rPr/>
            </w:pPr>
            <w:r>
              <w:rPr/>
              <w:t> </w:t>
            </w:r>
          </w:p>
        </w:tc>
        <w:tc>
          <w:tcPr>
            <w:tcW w:w="2944"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w:t>
            </w:r>
          </w:p>
        </w:tc>
        <w:tc>
          <w:tcPr>
            <w:tcW w:w="64" w:type="dxa"/>
            <w:tcBorders/>
            <w:shd w:fill="CCEEFF" w:val="clear"/>
            <w:tcMar>
              <w:bottom w:w="0" w:type="dxa"/>
            </w:tcMar>
            <w:vAlign w:val="center"/>
          </w:tcPr>
          <w:p>
            <w:pPr>
              <w:pStyle w:val="TableContents"/>
              <w:bidi w:val="0"/>
              <w:spacing w:before="0" w:after="0"/>
              <w:jc w:val="center"/>
              <w:rPr/>
            </w:pPr>
            <w:r>
              <w:rPr/>
              <w:t> </w:t>
            </w:r>
          </w:p>
        </w:tc>
      </w:tr>
      <w:tr>
        <w:trPr/>
        <w:tc>
          <w:tcPr>
            <w:tcW w:w="19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1"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294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19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2020 Equity Compensation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1" w:type="dxa"/>
            <w:tcBorders/>
            <w:shd w:fill="CCEEFF" w:val="clear"/>
            <w:tcMar>
              <w:bottom w:w="0" w:type="dxa"/>
            </w:tcMar>
            <w:vAlign w:val="center"/>
          </w:tcPr>
          <w:p>
            <w:pPr>
              <w:pStyle w:val="TableContents"/>
              <w:bidi w:val="0"/>
              <w:spacing w:before="0" w:after="283"/>
              <w:jc w:val="left"/>
              <w:rPr/>
            </w:pPr>
            <w:r>
              <w:rPr/>
              <w:t> </w:t>
            </w:r>
          </w:p>
        </w:tc>
        <w:tc>
          <w:tcPr>
            <w:tcW w:w="167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7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 </w:t>
            </w:r>
          </w:p>
        </w:tc>
        <w:tc>
          <w:tcPr>
            <w:tcW w:w="294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356,889</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9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1" w:type="dxa"/>
            <w:tcBorders/>
            <w:shd w:fill="FFFFFF" w:val="clear"/>
            <w:tcMar>
              <w:bottom w:w="0" w:type="dxa"/>
            </w:tcMar>
            <w:vAlign w:val="center"/>
          </w:tcPr>
          <w:p>
            <w:pPr>
              <w:pStyle w:val="TableContents"/>
              <w:bidi w:val="0"/>
              <w:spacing w:before="0" w:after="283"/>
              <w:jc w:val="left"/>
              <w:rPr/>
            </w:pPr>
            <w:r>
              <w:rPr/>
              <w:t> </w:t>
            </w:r>
          </w:p>
        </w:tc>
        <w:tc>
          <w:tcPr>
            <w:tcW w:w="16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4" w:type="dxa"/>
            <w:tcBorders/>
            <w:shd w:fill="FFFFFF" w:val="clear"/>
            <w:tcMar>
              <w:bottom w:w="0" w:type="dxa"/>
            </w:tcMar>
            <w:vAlign w:val="center"/>
          </w:tcPr>
          <w:p>
            <w:pPr>
              <w:pStyle w:val="TableContents"/>
              <w:bidi w:val="0"/>
              <w:spacing w:before="0" w:after="283"/>
              <w:jc w:val="left"/>
              <w:rPr/>
            </w:pPr>
            <w:r>
              <w:rPr/>
              <w:t> </w:t>
            </w:r>
          </w:p>
        </w:tc>
        <w:tc>
          <w:tcPr>
            <w:tcW w:w="147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294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19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7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7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9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9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Totals</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591"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1678"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94"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72"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51"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2944"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356,889</w:t>
            </w:r>
          </w:p>
        </w:tc>
        <w:tc>
          <w:tcPr>
            <w:tcW w:w="64" w:type="dxa"/>
            <w:tcBorders/>
            <w:shd w:fill="FFFFFF" w:val="clear"/>
            <w:tcMar>
              <w:bottom w:w="0"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32" w:name="item13"/>
      <w:bookmarkEnd w:id="32"/>
      <w:r>
        <w:rPr>
          <w:rFonts w:ascii="Times New Roman;Times;serif" w:hAnsi="Times New Roman;Times;serif"/>
          <w:b/>
          <w:sz w:val="20"/>
        </w:rPr>
        <w:t xml:space="preserve">Item 13.     </w:t>
      </w:r>
      <w:r>
        <w:rPr>
          <w:rFonts w:ascii="Times New Roman;Times;serif" w:hAnsi="Times New Roman;Times;serif"/>
          <w:b/>
          <w:i/>
          <w:sz w:val="20"/>
        </w:rPr>
        <w:t>Certain Relationships and Related Transactions, and Director Independence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 incorporates by reference herein information to be set forth in the Proxy Statement that is responsive to the information required with respect to this Item 13.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33" w:name="item14"/>
      <w:bookmarkEnd w:id="33"/>
      <w:r>
        <w:rPr>
          <w:rFonts w:ascii="Times New Roman;Times;serif" w:hAnsi="Times New Roman;Times;serif"/>
          <w:b/>
          <w:sz w:val="20"/>
        </w:rPr>
        <w:t xml:space="preserve">Item 14.     </w:t>
      </w:r>
      <w:r>
        <w:rPr>
          <w:rFonts w:ascii="Times New Roman;Times;serif" w:hAnsi="Times New Roman;Times;serif"/>
          <w:b/>
          <w:i/>
          <w:sz w:val="20"/>
        </w:rPr>
        <w:t>Principal Accountant Fees and Services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 incorporates by reference herein information to be set forth in the Proxy Statement that is responsive to the information required with respect to this Item 14.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IV</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85"/>
        <w:gridCol w:w="9520"/>
      </w:tblGrid>
      <w:tr>
        <w:trPr/>
        <w:tc>
          <w:tcPr>
            <w:tcW w:w="68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34" w:name="item15"/>
            <w:bookmarkEnd w:id="34"/>
            <w:r>
              <w:rPr>
                <w:rFonts w:ascii="Times New Roman;Times;serif" w:hAnsi="Times New Roman;Times;serif"/>
                <w:b/>
                <w:sz w:val="20"/>
              </w:rPr>
              <w:t>Item 15.</w:t>
            </w:r>
          </w:p>
        </w:tc>
        <w:tc>
          <w:tcPr>
            <w:tcW w:w="9520"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Exhibits and </w:t>
            </w:r>
            <w:r>
              <w:rPr>
                <w:rFonts w:ascii="Times New Roman;Times;serif" w:hAnsi="Times New Roman;Times;serif"/>
                <w:b/>
                <w:i/>
                <w:sz w:val="20"/>
                <w:shd w:fill="FFFFFF" w:val="clear"/>
              </w:rPr>
              <w:t>Financial Statement Schedules</w:t>
            </w:r>
          </w:p>
          <w:p>
            <w:pPr>
              <w:pStyle w:val="TableContents"/>
              <w:bidi w:val="0"/>
              <w:spacing w:before="0" w:after="0"/>
              <w:ind w:left="0" w:right="0" w:hanging="0"/>
              <w:jc w:val="left"/>
              <w:rPr/>
            </w:pPr>
            <w:r>
              <w:rPr/>
              <w:t> </w:t>
            </w:r>
          </w:p>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 Documents filed as a part of this Annual Report on Form 10-K:</w:t>
            </w:r>
          </w:p>
          <w:p>
            <w:pPr>
              <w:pStyle w:val="TableContents"/>
              <w:bidi w:val="0"/>
              <w:spacing w:before="0" w:after="0"/>
              <w:ind w:left="0" w:right="0" w:hanging="0"/>
              <w:jc w:val="left"/>
              <w:rPr/>
            </w:pPr>
            <w:r>
              <w:rPr/>
              <w:t> </w:t>
            </w:r>
          </w:p>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(1) Financial Statements (See Index to Consolidated Financial Statements in Item 8 of this Form 10-K).</w:t>
            </w:r>
          </w:p>
          <w:p>
            <w:pPr>
              <w:pStyle w:val="TableContents"/>
              <w:bidi w:val="0"/>
              <w:spacing w:before="0" w:after="0"/>
              <w:ind w:left="180" w:right="0" w:hanging="0"/>
              <w:jc w:val="both"/>
              <w:rPr/>
            </w:pPr>
            <w:r>
              <w:rPr/>
              <w:t> </w:t>
            </w:r>
          </w:p>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 Financial Statement Schedules: See Schedule II: Valuation and Qualifying Accounts</w:t>
            </w:r>
          </w:p>
          <w:p>
            <w:pPr>
              <w:pStyle w:val="TableContents"/>
              <w:bidi w:val="0"/>
              <w:spacing w:before="0" w:after="0"/>
              <w:ind w:left="0" w:right="0" w:hanging="0"/>
              <w:jc w:val="left"/>
              <w:rPr/>
            </w:pPr>
            <w:r>
              <w:rPr/>
              <w:t> </w:t>
            </w:r>
          </w:p>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(3) Exhibits (The exhibits listed in the accompanying Exhibit Index immediately following below are filed as part of, or incorporated by reference into, this Annual Report on Form 10-K).</w:t>
            </w:r>
          </w:p>
          <w:p>
            <w:pPr>
              <w:pStyle w:val="TableContents"/>
              <w:bidi w:val="0"/>
              <w:spacing w:before="0" w:after="0"/>
              <w:ind w:left="180" w:right="0" w:hanging="0"/>
              <w:jc w:val="both"/>
              <w:rPr/>
            </w:pPr>
            <w:r>
              <w:rPr/>
              <w: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Exhibits: See Item 15(a)(3) as set forth above and the Exhibit Index below.</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Financial Statement Schedules: See Item 15(a)(2) as set forth above.</w:t>
            </w:r>
          </w:p>
        </w:tc>
      </w:tr>
      <w:tr>
        <w:trPr/>
        <w:tc>
          <w:tcPr>
            <w:tcW w:w="685" w:type="dxa"/>
            <w:tcBorders/>
            <w:vAlign w:val="center"/>
          </w:tcPr>
          <w:p>
            <w:pPr>
              <w:pStyle w:val="TableContents"/>
              <w:bidi w:val="0"/>
              <w:spacing w:before="0" w:after="0"/>
              <w:ind w:left="0" w:right="0" w:hanging="0"/>
              <w:jc w:val="left"/>
              <w:rPr/>
            </w:pPr>
            <w:r>
              <w:rPr/>
              <w:t> </w:t>
            </w:r>
          </w:p>
        </w:tc>
        <w:tc>
          <w:tcPr>
            <w:tcW w:w="9520" w:type="dxa"/>
            <w:tcBorders/>
            <w:vAlign w:val="center"/>
          </w:tcPr>
          <w:p>
            <w:pPr>
              <w:pStyle w:val="TableContents"/>
              <w:bidi w:val="0"/>
              <w:spacing w:before="0" w:after="0"/>
              <w:ind w:left="0" w:right="0" w:hanging="0"/>
              <w:jc w:val="left"/>
              <w:rPr/>
            </w:pPr>
            <w:r>
              <w:rPr/>
              <w:t> </w:t>
            </w:r>
          </w:p>
        </w:tc>
      </w:tr>
      <w:tr>
        <w:trPr/>
        <w:tc>
          <w:tcPr>
            <w:tcW w:w="685" w:type="dxa"/>
            <w:tcBorders/>
            <w:vAlign w:val="center"/>
          </w:tcPr>
          <w:p>
            <w:pPr>
              <w:pStyle w:val="TableContents"/>
              <w:bidi w:val="0"/>
              <w:spacing w:before="0" w:after="0"/>
              <w:ind w:left="0" w:right="0" w:hanging="0"/>
              <w:jc w:val="left"/>
              <w:rPr/>
            </w:pPr>
            <w:r>
              <w:rPr/>
              <w:t> </w:t>
            </w:r>
          </w:p>
        </w:tc>
        <w:tc>
          <w:tcPr>
            <w:tcW w:w="9520" w:type="dxa"/>
            <w:tcBorders/>
            <w:vAlign w:val="center"/>
          </w:tcPr>
          <w:p>
            <w:pPr>
              <w:pStyle w:val="TableContents"/>
              <w:bidi w:val="0"/>
              <w:spacing w:before="0" w:after="0"/>
              <w:ind w:left="0" w:right="0" w:hanging="0"/>
              <w:jc w:val="left"/>
              <w:rPr/>
            </w:pPr>
            <w:r>
              <w:rPr/>
              <w:t> </w:t>
            </w:r>
          </w:p>
        </w:tc>
      </w:tr>
      <w:tr>
        <w:trPr/>
        <w:tc>
          <w:tcPr>
            <w:tcW w:w="685" w:type="dxa"/>
            <w:tcBorders/>
            <w:vAlign w:val="center"/>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Exhibit No.:</w:t>
            </w:r>
          </w:p>
        </w:tc>
        <w:tc>
          <w:tcPr>
            <w:tcW w:w="9520" w:type="dxa"/>
            <w:tcBorders/>
            <w:vAlign w:val="center"/>
          </w:tcPr>
          <w:p>
            <w:pPr>
              <w:pStyle w:val="TableContents"/>
              <w:bidi w:val="0"/>
              <w:spacing w:before="0" w:after="0"/>
              <w:ind w:left="0" w:right="0" w:hanging="0"/>
              <w:jc w:val="left"/>
              <w:rPr/>
            </w:pPr>
            <w:r>
              <w:rPr/>
              <w:t> </w:t>
            </w:r>
          </w:p>
        </w:tc>
      </w:tr>
      <w:tr>
        <w:trPr/>
        <w:tc>
          <w:tcPr>
            <w:tcW w:w="68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center"/>
              <w:rPr>
                <w:color w:val="000000"/>
              </w:rPr>
            </w:pPr>
            <w:r>
              <w:rPr>
                <w:color w:val="000000"/>
              </w:rPr>
              <w:t>2.1#</w:t>
            </w:r>
          </w:p>
        </w:tc>
        <w:tc>
          <w:tcPr>
            <w:tcW w:w="9520" w:type="dxa"/>
            <w:tcBorders/>
            <w:vAlign w:val="center"/>
          </w:tcPr>
          <w:p>
            <w:pPr>
              <w:pStyle w:val="TableContents"/>
              <w:bidi w:val="0"/>
              <w:spacing w:before="0" w:after="283"/>
              <w:jc w:val="both"/>
              <w:rPr/>
            </w:pPr>
            <w:hyperlink r:id="rId3">
              <w:r>
                <w:rPr>
                  <w:rStyle w:val="InternetLink"/>
                  <w:color w:val="0000FF"/>
                </w:rPr>
                <w:t>Share Purchase Agreement, dated as of September 19, 2024, by and among Bel Fuse Inc., Enercon Technologies Ltd., and the Shareholders of Enercon Technologies Ltd., is incorporated by reference to Exhibit 2.1 to the Company’s Current Report on Form 8-K filed on September 24, 2024.</w:t>
              </w:r>
            </w:hyperlink>
          </w:p>
        </w:tc>
      </w:tr>
      <w:tr>
        <w:trPr/>
        <w:tc>
          <w:tcPr>
            <w:tcW w:w="68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tc>
        <w:tc>
          <w:tcPr>
            <w:tcW w:w="9520" w:type="dxa"/>
            <w:tcBorders/>
            <w:vAlign w:val="center"/>
          </w:tcPr>
          <w:p>
            <w:pPr>
              <w:pStyle w:val="TableContents"/>
              <w:bidi w:val="0"/>
              <w:spacing w:before="0" w:after="283"/>
              <w:jc w:val="both"/>
              <w:rPr/>
            </w:pPr>
            <w:r>
              <w:rPr>
                <w:color w:val="0000FF"/>
              </w:rPr>
              <w:t xml:space="preserve">(i) </w:t>
            </w:r>
            <w:hyperlink r:id="rId4">
              <w:r>
                <w:rPr>
                  <w:rStyle w:val="InternetLink"/>
                  <w:color w:val="000080"/>
                </w:rPr>
                <w:t>Restated Certificate of Incorporation, as amended, is incorporated by reference to Exhibit 3.1 of the Company’s  Quarterly Report on Form 10-Q for the quarterly period ended June 30, 1998 filed on August 11, 1998</w:t>
              </w:r>
            </w:hyperlink>
            <w:r>
              <w:rPr>
                <w:color w:val="0000FF"/>
              </w:rPr>
              <w:t xml:space="preserve"> and (ii) </w:t>
            </w:r>
            <w:hyperlink r:id="rId5">
              <w:r>
                <w:rPr>
                  <w:rStyle w:val="InternetLink"/>
                  <w:color w:val="000080"/>
                </w:rPr>
                <w:t>the Certificate of Amendment to the Company’s Restated Certificate of Incorporation, is incorporated by reference to Exhibit 3.2 of the Company’s Annual Report on Form 10-K for the fiscal year ended December 31, 1999 filed on March 29, 2000.</w:t>
              </w:r>
            </w:hyperlink>
          </w:p>
        </w:tc>
      </w:tr>
      <w:tr>
        <w:trPr/>
        <w:tc>
          <w:tcPr>
            <w:tcW w:w="685" w:type="dxa"/>
            <w:tcBorders/>
            <w:vAlign w:val="center"/>
          </w:tcPr>
          <w:p>
            <w:pPr>
              <w:pStyle w:val="TableContents"/>
              <w:bidi w:val="0"/>
              <w:spacing w:before="0" w:after="0"/>
              <w:ind w:left="0" w:right="0" w:hanging="0"/>
              <w:jc w:val="left"/>
              <w:rPr/>
            </w:pPr>
            <w:r>
              <w:rPr/>
              <w:t> </w:t>
            </w:r>
          </w:p>
        </w:tc>
        <w:tc>
          <w:tcPr>
            <w:tcW w:w="9520" w:type="dxa"/>
            <w:tcBorders/>
            <w:vAlign w:val="center"/>
          </w:tcPr>
          <w:p>
            <w:pPr>
              <w:pStyle w:val="TableContents"/>
              <w:bidi w:val="0"/>
              <w:spacing w:before="0" w:after="0"/>
              <w:ind w:left="0" w:right="0" w:hanging="0"/>
              <w:jc w:val="left"/>
              <w:rPr/>
            </w:pPr>
            <w:r>
              <w:rPr/>
              <w:t> </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tc>
        <w:tc>
          <w:tcPr>
            <w:tcW w:w="9520" w:type="dxa"/>
            <w:tcBorders/>
            <w:vAlign w:val="center"/>
          </w:tcPr>
          <w:p>
            <w:pPr>
              <w:pStyle w:val="TableContents"/>
              <w:bidi w:val="0"/>
              <w:spacing w:before="0" w:after="283"/>
              <w:jc w:val="both"/>
              <w:rPr/>
            </w:pPr>
            <w:hyperlink r:id="rId6">
              <w:r>
                <w:rPr>
                  <w:rStyle w:val="InternetLink"/>
                  <w:color w:val="0000FF"/>
                </w:rPr>
                <w:t>Amended and Restated By-Laws of Bel Fuse Inc. (Adopted October 25, 2023), are incorporated by reference to Exhibit 3.1 to the Company’s Current Report on Form 8-K filed on October 25, 2023.</w:t>
              </w:r>
            </w:hyperlink>
          </w:p>
        </w:tc>
      </w:tr>
      <w:tr>
        <w:trPr/>
        <w:tc>
          <w:tcPr>
            <w:tcW w:w="685" w:type="dxa"/>
            <w:tcBorders/>
            <w:vAlign w:val="center"/>
          </w:tcPr>
          <w:p>
            <w:pPr>
              <w:pStyle w:val="TableContents"/>
              <w:bidi w:val="0"/>
              <w:spacing w:before="0" w:after="0"/>
              <w:ind w:left="0" w:right="0" w:hanging="0"/>
              <w:jc w:val="left"/>
              <w:rPr/>
            </w:pPr>
            <w:r>
              <w:rPr/>
              <w:t> </w:t>
            </w:r>
          </w:p>
        </w:tc>
        <w:tc>
          <w:tcPr>
            <w:tcW w:w="9520" w:type="dxa"/>
            <w:tcBorders/>
            <w:vAlign w:val="center"/>
          </w:tcPr>
          <w:p>
            <w:pPr>
              <w:pStyle w:val="TableContents"/>
              <w:bidi w:val="0"/>
              <w:spacing w:before="0" w:after="0"/>
              <w:ind w:left="0" w:right="0" w:hanging="0"/>
              <w:jc w:val="left"/>
              <w:rPr/>
            </w:pPr>
            <w:r>
              <w:rPr/>
              <w:t> </w:t>
            </w:r>
          </w:p>
        </w:tc>
      </w:tr>
      <w:tr>
        <w:trPr/>
        <w:tc>
          <w:tcPr>
            <w:tcW w:w="685" w:type="dxa"/>
            <w:tcBorders/>
            <w:vAlign w:val="center"/>
          </w:tcPr>
          <w:p>
            <w:pPr>
              <w:pStyle w:val="TableContents"/>
              <w:bidi w:val="0"/>
              <w:spacing w:before="0" w:after="283"/>
              <w:jc w:val="center"/>
              <w:rPr>
                <w:color w:val="000000"/>
                <w:shd w:fill="FFFFFF" w:val="clear"/>
              </w:rPr>
            </w:pPr>
            <w:r>
              <w:rPr>
                <w:color w:val="000000"/>
                <w:shd w:fill="FFFFFF" w:val="clear"/>
              </w:rPr>
              <w:t>4.1</w:t>
            </w:r>
          </w:p>
        </w:tc>
        <w:tc>
          <w:tcPr>
            <w:tcW w:w="9520" w:type="dxa"/>
            <w:tcBorders/>
            <w:vAlign w:val="center"/>
          </w:tcPr>
          <w:p>
            <w:pPr>
              <w:pStyle w:val="TableContents"/>
              <w:bidi w:val="0"/>
              <w:spacing w:before="0" w:after="283"/>
              <w:jc w:val="both"/>
              <w:rPr>
                <w:color w:val="0000FF"/>
              </w:rPr>
            </w:pPr>
            <w:r>
              <w:rPr>
                <w:color w:val="0000FF"/>
              </w:rPr>
              <w:t>Description of Registrant’s Securities, is incorporated by reference to Exhibit 4.1 to the Company’s Annual Report on Form 10-K for the fiscal year ended December 31, 2024, filed on February 28, 2025.</w:t>
            </w:r>
          </w:p>
        </w:tc>
      </w:tr>
      <w:tr>
        <w:trPr/>
        <w:tc>
          <w:tcPr>
            <w:tcW w:w="68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0" w:right="0" w:hanging="0"/>
              <w:jc w:val="center"/>
              <w:rPr>
                <w:color w:val="000000"/>
              </w:rPr>
            </w:pPr>
            <w:r>
              <w:rPr>
                <w:color w:val="000000"/>
              </w:rPr>
              <w:t> </w:t>
            </w:r>
            <w:r>
              <w:rPr>
                <w:rFonts w:ascii="Times New Roman;Times;serif" w:hAnsi="Times New Roman;Times;serif"/>
                <w:color w:val="000000"/>
                <w:sz w:val="20"/>
              </w:rPr>
              <w:t>10.1†</w:t>
            </w:r>
          </w:p>
        </w:tc>
        <w:tc>
          <w:tcPr>
            <w:tcW w:w="9520"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color w:val="000080"/>
                  <w:sz w:val="20"/>
                </w:rPr>
                <w:t>2020 Equity Compensation Plan, as amended, is incorporated by reference to Exhibit 10.1 to the Company's Current Report on Form 8-K filed on June 12, 2020</w:t>
              </w:r>
            </w:hyperlink>
            <w:r>
              <w:rPr>
                <w:rFonts w:ascii="Times New Roman;Times;serif" w:hAnsi="Times New Roman;Times;serif"/>
                <w:color w:val="0000FF"/>
                <w:sz w:val="20"/>
              </w:rPr>
              <w:t>. </w:t>
            </w:r>
          </w:p>
        </w:tc>
      </w:tr>
      <w:tr>
        <w:trPr/>
        <w:tc>
          <w:tcPr>
            <w:tcW w:w="685" w:type="dxa"/>
            <w:tcBorders/>
            <w:vAlign w:val="center"/>
          </w:tcPr>
          <w:p>
            <w:pPr>
              <w:pStyle w:val="TableContents"/>
              <w:bidi w:val="0"/>
              <w:spacing w:before="0" w:after="0"/>
              <w:ind w:left="0" w:right="0" w:hanging="0"/>
              <w:jc w:val="left"/>
              <w:rPr/>
            </w:pPr>
            <w:r>
              <w:rPr/>
              <w:t> </w:t>
            </w:r>
          </w:p>
        </w:tc>
        <w:tc>
          <w:tcPr>
            <w:tcW w:w="9520" w:type="dxa"/>
            <w:tcBorders/>
            <w:vAlign w:val="center"/>
          </w:tcPr>
          <w:p>
            <w:pPr>
              <w:pStyle w:val="TableContents"/>
              <w:bidi w:val="0"/>
              <w:spacing w:before="0" w:after="0"/>
              <w:ind w:left="0" w:right="0" w:hanging="0"/>
              <w:jc w:val="left"/>
              <w:rPr/>
            </w:pPr>
            <w:r>
              <w:rPr/>
              <w:t> </w:t>
            </w:r>
          </w:p>
        </w:tc>
      </w:tr>
      <w:tr>
        <w:trPr/>
        <w:tc>
          <w:tcPr>
            <w:tcW w:w="685" w:type="dxa"/>
            <w:tcBorders/>
            <w:vAlign w:val="center"/>
          </w:tcPr>
          <w:p>
            <w:pPr>
              <w:pStyle w:val="TableContents"/>
              <w:bidi w:val="0"/>
              <w:spacing w:before="0" w:after="0"/>
              <w:ind w:left="0" w:right="0" w:hanging="0"/>
              <w:jc w:val="center"/>
              <w:rPr>
                <w:color w:val="000000"/>
              </w:rPr>
            </w:pPr>
            <w:r>
              <w:rPr>
                <w:color w:val="000000"/>
              </w:rPr>
              <w:t> </w:t>
            </w:r>
            <w:r>
              <w:rPr>
                <w:rFonts w:ascii="Times New Roman;Times;serif" w:hAnsi="Times New Roman;Times;serif"/>
                <w:color w:val="000000"/>
                <w:sz w:val="20"/>
              </w:rPr>
              <w:t>10.2†</w:t>
            </w:r>
          </w:p>
        </w:tc>
        <w:tc>
          <w:tcPr>
            <w:tcW w:w="9520"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color w:val="0000FF"/>
                  <w:sz w:val="20"/>
                </w:rPr>
                <w:t>Amended and Restated Bel Fuse Supplemental Executive Retirement Plan, dated as of April 17, 2007.  Filed as Exhibit 10.1 to the Company's Current Report on Form 8-K filed on April 23, 2007 and incorporated herein by reference.</w:t>
              </w:r>
            </w:hyperlink>
          </w:p>
        </w:tc>
      </w:tr>
      <w:tr>
        <w:trPr/>
        <w:tc>
          <w:tcPr>
            <w:tcW w:w="68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9520" w:type="dxa"/>
            <w:tcBorders/>
            <w:vAlign w:val="center"/>
          </w:tcPr>
          <w:p>
            <w:pPr>
              <w:pStyle w:val="TableContents"/>
              <w:bidi w:val="0"/>
              <w:spacing w:before="0" w:after="283"/>
              <w:jc w:val="both"/>
              <w:rPr/>
            </w:pPr>
            <w:hyperlink r:id="rId9">
              <w:r>
                <w:rPr>
                  <w:rStyle w:val="InternetLink"/>
                  <w:color w:val="0000FF"/>
                </w:rPr>
                <w:t>2011 Equity Compensation Program.  Incorporated by reference to the Registrant’s proxy statement for its 2011 annual meeting of shareholders.</w:t>
              </w:r>
            </w:hyperlink>
          </w:p>
        </w:tc>
      </w:tr>
      <w:tr>
        <w:trPr/>
        <w:tc>
          <w:tcPr>
            <w:tcW w:w="685" w:type="dxa"/>
            <w:tcBorders/>
            <w:vAlign w:val="center"/>
          </w:tcPr>
          <w:p>
            <w:pPr>
              <w:pStyle w:val="TableContents"/>
              <w:bidi w:val="0"/>
              <w:spacing w:before="0" w:after="0"/>
              <w:ind w:left="0" w:right="0" w:hanging="0"/>
              <w:jc w:val="left"/>
              <w:rPr/>
            </w:pPr>
            <w:r>
              <w:rPr/>
              <w:t> </w:t>
            </w:r>
          </w:p>
        </w:tc>
        <w:tc>
          <w:tcPr>
            <w:tcW w:w="9520" w:type="dxa"/>
            <w:tcBorders/>
            <w:vAlign w:val="center"/>
          </w:tcPr>
          <w:p>
            <w:pPr>
              <w:pStyle w:val="TableContents"/>
              <w:bidi w:val="0"/>
              <w:spacing w:before="0" w:after="0"/>
              <w:ind w:left="0" w:right="0" w:hanging="0"/>
              <w:jc w:val="left"/>
              <w:rPr/>
            </w:pPr>
            <w:r>
              <w:rPr/>
              <w:t> </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9520" w:type="dxa"/>
            <w:tcBorders/>
            <w:vAlign w:val="center"/>
          </w:tcPr>
          <w:p>
            <w:pPr>
              <w:pStyle w:val="TableContents"/>
              <w:bidi w:val="0"/>
              <w:spacing w:before="0" w:after="283"/>
              <w:jc w:val="both"/>
              <w:rPr/>
            </w:pPr>
            <w:hyperlink r:id="rId10">
              <w:r>
                <w:rPr>
                  <w:rStyle w:val="InternetLink"/>
                  <w:color w:val="0000FF"/>
                </w:rPr>
                <w:t>First Amendment Agreement, dated as of January 12, 2023, to Amended and Restated Credit and Security Agreement, dated as of September 2, 2021, by and among Bel Fuse Inc., as Borrower, KeyBank National Association, as Administrative Agent, Swing Line Lender and Issuing Lender, and the other lenders identified therein, is incorporated by reference to Exhibit 10.4 to the Company’s Annual Report on Form 10-K for the fiscal year ended December 31, 2022 filed on March 10, 2023.</w:t>
              </w:r>
            </w:hyperlink>
          </w:p>
        </w:tc>
      </w:tr>
      <w:tr>
        <w:trPr/>
        <w:tc>
          <w:tcPr>
            <w:tcW w:w="685" w:type="dxa"/>
            <w:tcBorders/>
            <w:vAlign w:val="center"/>
          </w:tcPr>
          <w:p>
            <w:pPr>
              <w:pStyle w:val="TableContents"/>
              <w:bidi w:val="0"/>
              <w:spacing w:before="0" w:after="0"/>
              <w:ind w:left="0" w:right="0" w:hanging="0"/>
              <w:jc w:val="left"/>
              <w:rPr/>
            </w:pPr>
            <w:r>
              <w:rPr/>
              <w:t> </w:t>
            </w:r>
          </w:p>
        </w:tc>
        <w:tc>
          <w:tcPr>
            <w:tcW w:w="9520" w:type="dxa"/>
            <w:tcBorders/>
            <w:vAlign w:val="center"/>
          </w:tcPr>
          <w:p>
            <w:pPr>
              <w:pStyle w:val="TableContents"/>
              <w:bidi w:val="0"/>
              <w:spacing w:before="0" w:after="0"/>
              <w:ind w:left="0" w:right="0" w:hanging="0"/>
              <w:jc w:val="left"/>
              <w:rPr/>
            </w:pPr>
            <w:r>
              <w:rPr/>
              <w:t> </w:t>
            </w:r>
          </w:p>
        </w:tc>
      </w:tr>
      <w:tr>
        <w:trPr/>
        <w:tc>
          <w:tcPr>
            <w:tcW w:w="685" w:type="dxa"/>
            <w:tcBorders/>
            <w:vAlign w:val="center"/>
          </w:tcPr>
          <w:p>
            <w:pPr>
              <w:pStyle w:val="TableContents"/>
              <w:bidi w:val="0"/>
              <w:spacing w:before="0" w:after="283"/>
              <w:jc w:val="center"/>
              <w:rPr/>
            </w:pPr>
            <w:r>
              <w:rPr/>
              <w:t>10.5</w:t>
            </w:r>
          </w:p>
        </w:tc>
        <w:tc>
          <w:tcPr>
            <w:tcW w:w="9520" w:type="dxa"/>
            <w:tcBorders/>
            <w:vAlign w:val="center"/>
          </w:tcPr>
          <w:p>
            <w:pPr>
              <w:pStyle w:val="TableContents"/>
              <w:bidi w:val="0"/>
              <w:spacing w:before="0" w:after="283"/>
              <w:jc w:val="both"/>
              <w:rPr/>
            </w:pPr>
            <w:hyperlink r:id="rId11">
              <w:r>
                <w:rPr>
                  <w:rStyle w:val="InternetLink"/>
                  <w:color w:val="0000FF"/>
                </w:rPr>
                <w:t>Second Amendment Agreement, dated September 18, 2024, to Amended and Restated Credit and Security Agreement, dated as of September 2, 2021, by and among Bel Fuse Inc., as the borrower, KeyBank National Association, as administrative agent, swing line lender and issuing lender, and the other lenders identified therein, as amended, is incorporated by reference to Exhibit 10.2 to the Company’s Current Report on Form 8-K filed on September 24, 2024.</w:t>
              </w:r>
            </w:hyperlink>
          </w:p>
        </w:tc>
      </w:tr>
      <w:tr>
        <w:trPr/>
        <w:tc>
          <w:tcPr>
            <w:tcW w:w="68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center"/>
              <w:rPr/>
            </w:pPr>
            <w:r>
              <w:rPr/>
              <w:t>10.6</w:t>
            </w:r>
          </w:p>
        </w:tc>
        <w:tc>
          <w:tcPr>
            <w:tcW w:w="9520" w:type="dxa"/>
            <w:tcBorders/>
            <w:vAlign w:val="center"/>
          </w:tcPr>
          <w:p>
            <w:pPr>
              <w:pStyle w:val="TableContents"/>
              <w:bidi w:val="0"/>
              <w:spacing w:before="0" w:after="283"/>
              <w:jc w:val="both"/>
              <w:rPr/>
            </w:pPr>
            <w:hyperlink r:id="rId12">
              <w:r>
                <w:rPr>
                  <w:rStyle w:val="InternetLink"/>
                  <w:color w:val="0000FF"/>
                </w:rPr>
                <w:t>Third Amendment Agreement, dated November 14, 2024, to Amended and Restated Credit and Security Agreement, dated September 2, 2021, by and among Bel Fuse Inc., as the borrower, KeyBank National Association, as administrative agent, swing line lender and issuing lender, and the other lenders identified therein, as amended, is incorporated by reference to Exhibit 10.2 to the Company’s Current Report on Form 8-K filed on November 20, 2024.</w:t>
              </w:r>
            </w:hyperlink>
          </w:p>
        </w:tc>
      </w:tr>
      <w:tr>
        <w:trPr/>
        <w:tc>
          <w:tcPr>
            <w:tcW w:w="68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center"/>
              <w:rPr/>
            </w:pPr>
            <w:r>
              <w:rPr/>
              <w:t>10.7</w:t>
            </w:r>
          </w:p>
        </w:tc>
        <w:tc>
          <w:tcPr>
            <w:tcW w:w="9520" w:type="dxa"/>
            <w:tcBorders/>
            <w:vAlign w:val="center"/>
          </w:tcPr>
          <w:p>
            <w:pPr>
              <w:pStyle w:val="TableContents"/>
              <w:bidi w:val="0"/>
              <w:spacing w:before="0" w:after="283"/>
              <w:jc w:val="both"/>
              <w:rPr/>
            </w:pPr>
            <w:hyperlink r:id="rId13">
              <w:r>
                <w:rPr>
                  <w:rStyle w:val="InternetLink"/>
                  <w:color w:val="0000FF"/>
                </w:rPr>
                <w:t>Fourth Amendment Agreement, dated May 2, 2025, to Amended and Restated Credit and Security Agreement, dated as of September 2, 2021, by and among Bel Fuse Inc., as the borrower, KeyBank National Association, as administrative agent, swing line lender and issuing lender, and the other lenders identified therein, as amended, is incorporated by reference to Exhibit 10.1 to the Company’s Current Report on Form 8-K filed on May 6, 2025.</w:t>
              </w:r>
            </w:hyperlink>
          </w:p>
        </w:tc>
      </w:tr>
      <w:tr>
        <w:trPr/>
        <w:tc>
          <w:tcPr>
            <w:tcW w:w="685" w:type="dxa"/>
            <w:tcBorders/>
            <w:vAlign w:val="center"/>
          </w:tcPr>
          <w:p>
            <w:pPr>
              <w:pStyle w:val="TableContents"/>
              <w:bidi w:val="0"/>
              <w:spacing w:before="0" w:after="283"/>
              <w:jc w:val="center"/>
              <w:rPr/>
            </w:pPr>
            <w:r>
              <w:rPr/>
              <w:t> </w:t>
            </w:r>
          </w:p>
        </w:tc>
        <w:tc>
          <w:tcPr>
            <w:tcW w:w="9520" w:type="dxa"/>
            <w:tcBorders/>
            <w:vAlign w:val="center"/>
          </w:tcPr>
          <w:p>
            <w:pPr>
              <w:pStyle w:val="TableContents"/>
              <w:bidi w:val="0"/>
              <w:spacing w:before="0" w:after="283"/>
              <w:jc w:val="both"/>
              <w:rPr/>
            </w:pPr>
            <w:r>
              <w:rPr/>
              <w:t> </w:t>
            </w:r>
          </w:p>
        </w:tc>
      </w:tr>
      <w:tr>
        <w:trPr/>
        <w:tc>
          <w:tcPr>
            <w:tcW w:w="685" w:type="dxa"/>
            <w:tcBorders/>
            <w:vAlign w:val="center"/>
          </w:tcPr>
          <w:p>
            <w:pPr>
              <w:pStyle w:val="TableContents"/>
              <w:bidi w:val="0"/>
              <w:spacing w:before="0" w:after="283"/>
              <w:jc w:val="center"/>
              <w:rPr/>
            </w:pPr>
            <w:r>
              <w:rPr/>
              <w:t>10.8#</w:t>
            </w:r>
          </w:p>
        </w:tc>
        <w:tc>
          <w:tcPr>
            <w:tcW w:w="9520" w:type="dxa"/>
            <w:tcBorders/>
            <w:vAlign w:val="center"/>
          </w:tcPr>
          <w:p>
            <w:pPr>
              <w:pStyle w:val="TableContents"/>
              <w:bidi w:val="0"/>
              <w:spacing w:before="0" w:after="283"/>
              <w:jc w:val="both"/>
              <w:rPr/>
            </w:pPr>
            <w:hyperlink r:id="rId14">
              <w:r>
                <w:rPr>
                  <w:rStyle w:val="InternetLink"/>
                  <w:color w:val="0000FF"/>
                </w:rPr>
                <w:t>Conformed Amended and Restated Credit and Security Agreement, dated as of September 2, 2021 (reflecting changes thereto pursuant to First Amendment Agreement dated as of January 12, 2023, Second Amendment Agreement dated as of September 18, 2024, Third Amendment Agreement dated as of November 14, 2024, and Fourth Amendment Agreement dated as of May 2, 2025), by and among Bel Fuse Inc., as the borrower, KeyBank National Association, as administrative agent, swing line lender and issuing lender, and the other lenders identified therein, is incorporated by reference to Exhibit 10.2 to the Company’s Current Report on Form 8-K filed on May 6, 2025.</w:t>
              </w:r>
            </w:hyperlink>
          </w:p>
        </w:tc>
      </w:tr>
      <w:tr>
        <w:trPr/>
        <w:tc>
          <w:tcPr>
            <w:tcW w:w="685" w:type="dxa"/>
            <w:tcBorders/>
            <w:vAlign w:val="center"/>
          </w:tcPr>
          <w:p>
            <w:pPr>
              <w:pStyle w:val="TableContents"/>
              <w:bidi w:val="0"/>
              <w:spacing w:before="0" w:after="283"/>
              <w:jc w:val="left"/>
              <w:rPr/>
            </w:pPr>
            <w:r>
              <w:rPr/>
              <w:t> </w:t>
            </w:r>
          </w:p>
        </w:tc>
        <w:tc>
          <w:tcPr>
            <w:tcW w:w="9520"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9520"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color w:val="0000FF"/>
                  <w:sz w:val="20"/>
                </w:rPr>
                <w:t>ISDA Master Agreement, by and between Bel Fuse Inc. and PNC Bank, National Association, dated as of November 10, 2021, is incorporated by reference to Exhibit 10.1 to the Company’s Current Report on Form 8-K filed on December 10, 2021.</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92"/>
        <w:gridCol w:w="9613"/>
      </w:tblGrid>
      <w:tr>
        <w:trPr/>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10.10</w:t>
            </w:r>
          </w:p>
        </w:tc>
        <w:tc>
          <w:tcPr>
            <w:tcW w:w="9613"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color w:val="0000FF"/>
                  <w:sz w:val="20"/>
                </w:rPr>
                <w:t>ISDA Master Agreement, by and between Bel Fuse Inc. and KeyBank National Association, dated as of November 16, 2021, is incorporated by reference to Exhibit 10.2 to the Company’s Current Report on Form 8-K filed on December 10, 2021.</w:t>
              </w:r>
            </w:hyperlink>
          </w:p>
        </w:tc>
      </w:tr>
      <w:tr>
        <w:trPr/>
        <w:tc>
          <w:tcPr>
            <w:tcW w:w="592" w:type="dxa"/>
            <w:tcBorders/>
            <w:vAlign w:val="center"/>
          </w:tcPr>
          <w:p>
            <w:pPr>
              <w:pStyle w:val="TableContents"/>
              <w:bidi w:val="0"/>
              <w:spacing w:before="0" w:after="283"/>
              <w:jc w:val="center"/>
              <w:rPr/>
            </w:pPr>
            <w:r>
              <w:rPr/>
              <w:t> </w:t>
            </w:r>
          </w:p>
        </w:tc>
        <w:tc>
          <w:tcPr>
            <w:tcW w:w="9613" w:type="dxa"/>
            <w:tcBorders/>
            <w:vAlign w:val="center"/>
          </w:tcPr>
          <w:p>
            <w:pPr>
              <w:pStyle w:val="TableContents"/>
              <w:bidi w:val="0"/>
              <w:spacing w:before="0" w:after="283"/>
              <w:jc w:val="both"/>
              <w:rPr/>
            </w:pPr>
            <w:r>
              <w:rPr/>
              <w:t> </w:t>
            </w:r>
          </w:p>
        </w:tc>
      </w:tr>
      <w:tr>
        <w:trPr/>
        <w:tc>
          <w:tcPr>
            <w:tcW w:w="592" w:type="dxa"/>
            <w:tcBorders/>
            <w:vAlign w:val="center"/>
          </w:tcPr>
          <w:p>
            <w:pPr>
              <w:pStyle w:val="TableContents"/>
              <w:bidi w:val="0"/>
              <w:spacing w:before="0" w:after="283"/>
              <w:jc w:val="center"/>
              <w:rPr/>
            </w:pPr>
            <w:r>
              <w:rPr/>
              <w:t>10.11</w:t>
            </w:r>
          </w:p>
        </w:tc>
        <w:tc>
          <w:tcPr>
            <w:tcW w:w="9613" w:type="dxa"/>
            <w:tcBorders/>
            <w:vAlign w:val="center"/>
          </w:tcPr>
          <w:p>
            <w:pPr>
              <w:pStyle w:val="TableContents"/>
              <w:bidi w:val="0"/>
              <w:spacing w:before="0" w:after="283"/>
              <w:jc w:val="both"/>
              <w:rPr/>
            </w:pPr>
            <w:hyperlink r:id="rId17">
              <w:r>
                <w:rPr>
                  <w:rStyle w:val="InternetLink"/>
                  <w:color w:val="0000FF"/>
                </w:rPr>
                <w:t>Amended Confirmation of Transaction, by and between Bel Fuse Inc. and PNC Bank, National Association, dated as of January 18, 2023, is incorporated by reference to Exhibit 10.8 to the Company’s Annual Report on Form 10-K for the fiscal year ended December 31, 2022 filed on March 10, 2023.</w:t>
              </w:r>
            </w:hyperlink>
          </w:p>
        </w:tc>
      </w:tr>
      <w:tr>
        <w:trPr/>
        <w:tc>
          <w:tcPr>
            <w:tcW w:w="592" w:type="dxa"/>
            <w:tcBorders/>
            <w:vAlign w:val="center"/>
          </w:tcPr>
          <w:p>
            <w:pPr>
              <w:pStyle w:val="TableContents"/>
              <w:bidi w:val="0"/>
              <w:spacing w:before="0" w:after="283"/>
              <w:jc w:val="center"/>
              <w:rPr/>
            </w:pPr>
            <w:r>
              <w:rPr/>
              <w:t> </w:t>
            </w:r>
          </w:p>
        </w:tc>
        <w:tc>
          <w:tcPr>
            <w:tcW w:w="9613" w:type="dxa"/>
            <w:tcBorders/>
            <w:vAlign w:val="center"/>
          </w:tcPr>
          <w:p>
            <w:pPr>
              <w:pStyle w:val="TableContents"/>
              <w:bidi w:val="0"/>
              <w:spacing w:before="0" w:after="283"/>
              <w:jc w:val="both"/>
              <w:rPr/>
            </w:pPr>
            <w:r>
              <w:rPr/>
              <w:t> </w:t>
            </w:r>
          </w:p>
        </w:tc>
      </w:tr>
      <w:tr>
        <w:trPr/>
        <w:tc>
          <w:tcPr>
            <w:tcW w:w="592" w:type="dxa"/>
            <w:tcBorders/>
            <w:vAlign w:val="center"/>
          </w:tcPr>
          <w:p>
            <w:pPr>
              <w:pStyle w:val="TableContents"/>
              <w:bidi w:val="0"/>
              <w:spacing w:before="0" w:after="283"/>
              <w:jc w:val="center"/>
              <w:rPr/>
            </w:pPr>
            <w:r>
              <w:rPr/>
              <w:t>10.12</w:t>
            </w:r>
          </w:p>
        </w:tc>
        <w:tc>
          <w:tcPr>
            <w:tcW w:w="9613" w:type="dxa"/>
            <w:tcBorders/>
            <w:vAlign w:val="center"/>
          </w:tcPr>
          <w:p>
            <w:pPr>
              <w:pStyle w:val="TableContents"/>
              <w:bidi w:val="0"/>
              <w:spacing w:before="0" w:after="283"/>
              <w:jc w:val="both"/>
              <w:rPr/>
            </w:pPr>
            <w:hyperlink r:id="rId18">
              <w:r>
                <w:rPr>
                  <w:rStyle w:val="InternetLink"/>
                  <w:color w:val="0000FF"/>
                </w:rPr>
                <w:t>Amended Confirmation of Transaction, by and between Bel Fuse Inc. and KeyBank National Association, dated as of January 18, 2023, is incorporated by reference to Exhibit 10.9 to the Company’s Annual Report on Form 10-K for the fiscal year ended December 31, 2022 filed on March 10, 2023.</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10.13</w:t>
            </w:r>
          </w:p>
        </w:tc>
        <w:tc>
          <w:tcPr>
            <w:tcW w:w="9613" w:type="dxa"/>
            <w:tcBorders/>
            <w:vAlign w:val="center"/>
          </w:tcPr>
          <w:p>
            <w:pPr>
              <w:pStyle w:val="TableContents"/>
              <w:bidi w:val="0"/>
              <w:spacing w:before="0" w:after="283"/>
              <w:jc w:val="both"/>
              <w:rPr/>
            </w:pPr>
            <w:hyperlink r:id="rId19">
              <w:r>
                <w:rPr>
                  <w:rStyle w:val="InternetLink"/>
                  <w:color w:val="0000FF"/>
                </w:rPr>
                <w:t>Consulting Agreement, dated October 15, 2021, by and between Bel Fuse Inc. and HR Asset Partners, is incorporated by reference to Exhibit 10.9 to the Company’s Annual Report on Form 10-K for the fiscal year ended December 31, 2021 filed on March 14, 2022.</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10.14†</w:t>
            </w:r>
          </w:p>
        </w:tc>
        <w:tc>
          <w:tcPr>
            <w:tcW w:w="9613" w:type="dxa"/>
            <w:tcBorders/>
            <w:vAlign w:val="center"/>
          </w:tcPr>
          <w:p>
            <w:pPr>
              <w:pStyle w:val="TableContents"/>
              <w:bidi w:val="0"/>
              <w:spacing w:before="0" w:after="283"/>
              <w:jc w:val="both"/>
              <w:rPr/>
            </w:pPr>
            <w:hyperlink r:id="rId20">
              <w:r>
                <w:rPr>
                  <w:rStyle w:val="InternetLink"/>
                  <w:color w:val="0000FF"/>
                </w:rPr>
                <w:t>Employment Agreement, dated as of May 6, 2022, by and between Bel Fuse Inc. and Farouq Tuweiq, is incorporated by reference to Exhibit 10.1 to the Company’s Quarterly Report on Form 10-Q for the quarterly period ended March 31, 2022 filed on May 6, 2022.</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10.15†</w:t>
            </w:r>
          </w:p>
        </w:tc>
        <w:tc>
          <w:tcPr>
            <w:tcW w:w="9613" w:type="dxa"/>
            <w:tcBorders/>
            <w:vAlign w:val="center"/>
          </w:tcPr>
          <w:p>
            <w:pPr>
              <w:pStyle w:val="TableContents"/>
              <w:bidi w:val="0"/>
              <w:spacing w:before="0" w:after="283"/>
              <w:jc w:val="both"/>
              <w:rPr/>
            </w:pPr>
            <w:hyperlink r:id="rId21">
              <w:r>
                <w:rPr>
                  <w:rStyle w:val="InternetLink"/>
                  <w:color w:val="0000FF"/>
                </w:rPr>
                <w:t>Offer Letter, dated July 27, 2022, between Bel Fuse Inc. and Kenneth Lai, is incorporated by reference to Exhibit 10.1 to the Company’s Quarterly Report on Form 10-Q for the quarterly period ended September 30, 2022 filed on November 4, 2022.</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10.16†</w:t>
            </w:r>
          </w:p>
        </w:tc>
        <w:tc>
          <w:tcPr>
            <w:tcW w:w="9613" w:type="dxa"/>
            <w:tcBorders/>
            <w:vAlign w:val="center"/>
          </w:tcPr>
          <w:p>
            <w:pPr>
              <w:pStyle w:val="TableContents"/>
              <w:bidi w:val="0"/>
              <w:spacing w:before="0" w:after="0"/>
              <w:jc w:val="both"/>
              <w:rPr/>
            </w:pPr>
            <w:hyperlink r:id="rId22">
              <w:r>
                <w:rPr>
                  <w:rStyle w:val="InternetLink"/>
                  <w:rFonts w:ascii="Times New Roman;serif" w:hAnsi="Times New Roman;serif"/>
                  <w:strike w:val="false"/>
                  <w:dstrike w:val="false"/>
                  <w:color w:val="0000FF"/>
                  <w:sz w:val="20"/>
                  <w:u w:val="none"/>
                  <w:effect w:val="none"/>
                </w:rPr>
                <w:t>Offer Letter, dated October 25, 2022, between Bel Fuse Inc. and Suzanne Kozlovsky, is incorporated by reference Exhibit 10.13 to the Company’s Annual Report on Form 10-K for the fiscal year ended December 31, 2022 filed on March 10, 2023.</w:t>
              </w:r>
            </w:hyperlink>
            <w:r>
              <w:rPr>
                <w:rFonts w:ascii="Times New Roman;serif" w:hAnsi="Times New Roman;serif"/>
                <w:strike w:val="false"/>
                <w:dstrike w:val="false"/>
                <w:sz w:val="20"/>
                <w:u w:val="none"/>
                <w:effect w:val="none"/>
              </w:rPr>
              <w:t xml:space="preserve"> </w:t>
            </w:r>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10.17†</w:t>
            </w:r>
          </w:p>
        </w:tc>
        <w:tc>
          <w:tcPr>
            <w:tcW w:w="9613" w:type="dxa"/>
            <w:tcBorders/>
            <w:vAlign w:val="center"/>
          </w:tcPr>
          <w:p>
            <w:pPr>
              <w:pStyle w:val="TableContents"/>
              <w:bidi w:val="0"/>
              <w:spacing w:before="0" w:after="283"/>
              <w:jc w:val="both"/>
              <w:rPr/>
            </w:pPr>
            <w:hyperlink r:id="rId23">
              <w:r>
                <w:rPr>
                  <w:rStyle w:val="InternetLink"/>
                  <w:color w:val="0000FF"/>
                </w:rPr>
                <w:t>Offer Letter, dated November 27, 2023, and effective July 1, 2024 between Bel Fuse Inc. and Steve Dawson, is incorporated by reference to Exhibit 10.1 to the Company’s Quarterly Report on Form 10-Q for the quarterly period ended June 30, 2024 filed on July 31, 2024.</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10.18#</w:t>
            </w:r>
          </w:p>
        </w:tc>
        <w:tc>
          <w:tcPr>
            <w:tcW w:w="9613" w:type="dxa"/>
            <w:tcBorders/>
            <w:vAlign w:val="center"/>
          </w:tcPr>
          <w:p>
            <w:pPr>
              <w:pStyle w:val="TableContents"/>
              <w:bidi w:val="0"/>
              <w:spacing w:before="0" w:after="283"/>
              <w:jc w:val="both"/>
              <w:rPr/>
            </w:pPr>
            <w:hyperlink r:id="rId24">
              <w:r>
                <w:rPr>
                  <w:rStyle w:val="InternetLink"/>
                  <w:color w:val="0000FF"/>
                </w:rPr>
                <w:t>Shareholders’ Agreement, dated November 14, 2024, by and among Bel Power Solutions s.r.o., FF3 Holdings, L.P., and Enercon Technologies Ltd., is incorporated by reference to Exhibit 10.1 to the Company’s Current Report on Form 8-K filed on November 20, 2024.</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10.19†</w:t>
            </w:r>
          </w:p>
        </w:tc>
        <w:tc>
          <w:tcPr>
            <w:tcW w:w="9613" w:type="dxa"/>
            <w:tcBorders/>
            <w:vAlign w:val="center"/>
          </w:tcPr>
          <w:p>
            <w:pPr>
              <w:pStyle w:val="TableContents"/>
              <w:bidi w:val="0"/>
              <w:spacing w:before="0" w:after="283"/>
              <w:jc w:val="both"/>
              <w:rPr/>
            </w:pPr>
            <w:hyperlink r:id="rId25">
              <w:r>
                <w:rPr>
                  <w:rStyle w:val="InternetLink"/>
                  <w:color w:val="0000FF"/>
                </w:rPr>
                <w:t>Amended and Restated Employment Agreement, dated as of February 3, 2025, by and between Bel Fuse Inc. and Farouq Tuweiq, is incorporated by reference to Exhibit 10.1 to the Company’s Current Report on Form 8-K filed on February 7, 2025.</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10.20†</w:t>
            </w:r>
          </w:p>
        </w:tc>
        <w:tc>
          <w:tcPr>
            <w:tcW w:w="9613" w:type="dxa"/>
            <w:tcBorders/>
            <w:vAlign w:val="center"/>
          </w:tcPr>
          <w:p>
            <w:pPr>
              <w:pStyle w:val="TableContents"/>
              <w:bidi w:val="0"/>
              <w:spacing w:before="0" w:after="283"/>
              <w:jc w:val="left"/>
              <w:rPr/>
            </w:pPr>
            <w:hyperlink r:id="rId26">
              <w:r>
                <w:rPr>
                  <w:rStyle w:val="InternetLink"/>
                  <w:color w:val="0000FF"/>
                </w:rPr>
                <w:t>Employment Agreement, dated as of May 20, 2025, by and between Bel Fuse Inc., and Lynn Hutkin, is incorporated by reference to Exhibit 10.1 to the Company’s Current Report on Form 8-K filed on May 21, 2025.</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10.21†</w:t>
            </w:r>
          </w:p>
        </w:tc>
        <w:tc>
          <w:tcPr>
            <w:tcW w:w="9613" w:type="dxa"/>
            <w:tcBorders/>
            <w:vAlign w:val="center"/>
          </w:tcPr>
          <w:p>
            <w:pPr>
              <w:pStyle w:val="TableContents"/>
              <w:bidi w:val="0"/>
              <w:spacing w:before="0" w:after="283"/>
              <w:jc w:val="left"/>
              <w:rPr/>
            </w:pPr>
            <w:hyperlink r:id="rId27">
              <w:r>
                <w:rPr>
                  <w:rStyle w:val="InternetLink"/>
                  <w:color w:val="0000FF"/>
                </w:rPr>
                <w:t>Employment Agreement, dated as of January 12, 2026 and effective as of January 26, 2026, by and between Bel Fuse Inc and Thomas Smelker, is incorporated by reference to Exhibit 10.1 to the Company’s Current Report on Form 8-K filed on January 15, 2026.</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10.22†</w:t>
            </w:r>
          </w:p>
        </w:tc>
        <w:tc>
          <w:tcPr>
            <w:tcW w:w="9613" w:type="dxa"/>
            <w:tcBorders/>
            <w:vAlign w:val="center"/>
          </w:tcPr>
          <w:p>
            <w:pPr>
              <w:pStyle w:val="TableContents"/>
              <w:bidi w:val="0"/>
              <w:spacing w:before="0" w:after="283"/>
              <w:jc w:val="both"/>
              <w:rPr/>
            </w:pPr>
            <w:hyperlink r:id="rId28">
              <w:r>
                <w:rPr>
                  <w:rStyle w:val="InternetLink"/>
                  <w:color w:val="0000FF"/>
                </w:rPr>
                <w:t>Letter Agreement Regarding Transition Services, dated as of February 3, 2025, by and between Bel Fuse Inc. and Daniel Bernstein, is incorporated by reference to Exhibit 10.2 to the Company’s Current Report on Form 8-K filed on February 7, 2025.</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10.23†</w:t>
            </w:r>
          </w:p>
        </w:tc>
        <w:tc>
          <w:tcPr>
            <w:tcW w:w="9613" w:type="dxa"/>
            <w:tcBorders/>
            <w:vAlign w:val="center"/>
          </w:tcPr>
          <w:p>
            <w:pPr>
              <w:pStyle w:val="TableContents"/>
              <w:bidi w:val="0"/>
              <w:spacing w:before="0" w:after="283"/>
              <w:jc w:val="both"/>
              <w:rPr/>
            </w:pPr>
            <w:hyperlink r:id="rId29">
              <w:r>
                <w:rPr>
                  <w:rStyle w:val="InternetLink"/>
                  <w:color w:val="0000FF"/>
                </w:rPr>
                <w:t>Letter Agreement Regarding Non-Executive Chairman Services, dated as of February 3, 2025, by and between Bel Fuse Inc. and Daniel Bernstein, is incorporated by reference to Exhibit 10.3 to the Company’s Current Report on Form 8-K filed on February 7, 2025.</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10.24†</w:t>
            </w:r>
          </w:p>
        </w:tc>
        <w:tc>
          <w:tcPr>
            <w:tcW w:w="9613" w:type="dxa"/>
            <w:tcBorders/>
            <w:vAlign w:val="center"/>
          </w:tcPr>
          <w:p>
            <w:pPr>
              <w:pStyle w:val="TableContents"/>
              <w:bidi w:val="0"/>
              <w:spacing w:before="0" w:after="283"/>
              <w:jc w:val="both"/>
              <w:rPr/>
            </w:pPr>
            <w:hyperlink r:id="rId30">
              <w:r>
                <w:rPr>
                  <w:rStyle w:val="InternetLink"/>
                  <w:color w:val="0000FF"/>
                </w:rPr>
                <w:t>Israeli Appendix to the Bel Fuse Inc. 2020 Equity Compensation Plan, is incorporated by reference to Exhibit 10.1 to the Company’s Current Report on Form 8-K filed on February 18, 2025.</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16.1</w:t>
            </w:r>
          </w:p>
        </w:tc>
        <w:tc>
          <w:tcPr>
            <w:tcW w:w="9613" w:type="dxa"/>
            <w:tcBorders/>
            <w:vAlign w:val="center"/>
          </w:tcPr>
          <w:p>
            <w:pPr>
              <w:pStyle w:val="TableContents"/>
              <w:bidi w:val="0"/>
              <w:spacing w:before="0" w:after="283"/>
              <w:jc w:val="both"/>
              <w:rPr/>
            </w:pPr>
            <w:hyperlink r:id="rId31">
              <w:r>
                <w:rPr>
                  <w:rStyle w:val="InternetLink"/>
                  <w:color w:val="0000FF"/>
                </w:rPr>
                <w:t>Letter to Securities and Exchange Commission from Grant Thornton LLP, dated December 10, 2025, is incorporated by reference to Exhibit 16.1 to the Company’s Current Report on Form 8-K filed on December 10, 2025</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283"/>
              <w:jc w:val="center"/>
              <w:rPr/>
            </w:pPr>
            <w:r>
              <w:rPr/>
              <w:t>19.1</w:t>
            </w:r>
          </w:p>
        </w:tc>
        <w:tc>
          <w:tcPr>
            <w:tcW w:w="9613" w:type="dxa"/>
            <w:tcBorders/>
            <w:vAlign w:val="center"/>
          </w:tcPr>
          <w:p>
            <w:pPr>
              <w:pStyle w:val="TableContents"/>
              <w:bidi w:val="0"/>
              <w:spacing w:before="0" w:after="283"/>
              <w:jc w:val="both"/>
              <w:rPr/>
            </w:pPr>
            <w:hyperlink r:id="rId32">
              <w:r>
                <w:rPr>
                  <w:rStyle w:val="InternetLink"/>
                  <w:color w:val="0000FF"/>
                </w:rPr>
                <w:t>Bel Fuse Inc. Policy on Insider Trading, is incorporated by reference to Exhibit 19.1 to the Company’s Annual Report on Form 10-K for the fiscal year ended December 31, 2024 filed on February 28, 2025</w:t>
              </w:r>
            </w:hyperlink>
          </w:p>
        </w:tc>
      </w:tr>
      <w:tr>
        <w:trPr/>
        <w:tc>
          <w:tcPr>
            <w:tcW w:w="592" w:type="dxa"/>
            <w:tcBorders/>
            <w:vAlign w:val="center"/>
          </w:tcPr>
          <w:p>
            <w:pPr>
              <w:pStyle w:val="TableContents"/>
              <w:bidi w:val="0"/>
              <w:spacing w:before="0" w:after="283"/>
              <w:jc w:val="left"/>
              <w:rPr/>
            </w:pPr>
            <w:r>
              <w:rPr/>
              <w:t> </w:t>
            </w:r>
          </w:p>
        </w:tc>
        <w:tc>
          <w:tcPr>
            <w:tcW w:w="9613" w:type="dxa"/>
            <w:tcBorders/>
            <w:vAlign w:val="center"/>
          </w:tcPr>
          <w:p>
            <w:pPr>
              <w:pStyle w:val="TableContents"/>
              <w:bidi w:val="0"/>
              <w:spacing w:before="0" w:after="283"/>
              <w:jc w:val="left"/>
              <w:rPr/>
            </w:pPr>
            <w:r>
              <w:rPr/>
              <w:t> </w:t>
            </w:r>
          </w:p>
        </w:tc>
      </w:tr>
      <w:tr>
        <w:trPr/>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9613" w:type="dxa"/>
            <w:tcBorders/>
            <w:vAlign w:val="center"/>
          </w:tcPr>
          <w:p>
            <w:pPr>
              <w:pStyle w:val="TableContents"/>
              <w:bidi w:val="0"/>
              <w:spacing w:before="0" w:after="0"/>
              <w:ind w:left="0" w:right="0" w:hanging="0"/>
              <w:jc w:val="both"/>
              <w:rPr/>
            </w:pPr>
            <w:hyperlink w:anchor="ex_867400.htm">
              <w:r>
                <w:rPr>
                  <w:rStyle w:val="InternetLink"/>
                  <w:rFonts w:ascii="Times New Roman;Times;serif" w:hAnsi="Times New Roman;Times;serif"/>
                  <w:color w:val="0000FF"/>
                  <w:sz w:val="20"/>
                </w:rPr>
                <w:t>Subsidiaries of the Registrant.</w:t>
              </w:r>
            </w:hyperlink>
          </w:p>
        </w:tc>
      </w:tr>
      <w:tr>
        <w:trPr/>
        <w:tc>
          <w:tcPr>
            <w:tcW w:w="592" w:type="dxa"/>
            <w:tcBorders/>
            <w:vAlign w:val="center"/>
          </w:tcPr>
          <w:p>
            <w:pPr>
              <w:pStyle w:val="TableContents"/>
              <w:bidi w:val="0"/>
              <w:spacing w:before="0" w:after="0"/>
              <w:ind w:left="0" w:right="0" w:hanging="0"/>
              <w:jc w:val="left"/>
              <w:rPr/>
            </w:pPr>
            <w:r>
              <w:rPr/>
              <w:t> </w:t>
            </w:r>
          </w:p>
        </w:tc>
        <w:tc>
          <w:tcPr>
            <w:tcW w:w="9613" w:type="dxa"/>
            <w:tcBorders/>
            <w:vAlign w:val="center"/>
          </w:tcPr>
          <w:p>
            <w:pPr>
              <w:pStyle w:val="TableContents"/>
              <w:bidi w:val="0"/>
              <w:spacing w:before="0" w:after="0"/>
              <w:ind w:left="0" w:right="0" w:hanging="0"/>
              <w:jc w:val="left"/>
              <w:rPr/>
            </w:pPr>
            <w:r>
              <w:rPr/>
              <w:t> </w:t>
            </w:r>
          </w:p>
        </w:tc>
      </w:tr>
      <w:tr>
        <w:trPr/>
        <w:tc>
          <w:tcPr>
            <w:tcW w:w="5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23.1*</w:t>
            </w:r>
          </w:p>
        </w:tc>
        <w:tc>
          <w:tcPr>
            <w:tcW w:w="9613" w:type="dxa"/>
            <w:tcBorders/>
            <w:vAlign w:val="center"/>
          </w:tcPr>
          <w:p>
            <w:pPr>
              <w:pStyle w:val="TableContents"/>
              <w:bidi w:val="0"/>
              <w:spacing w:before="0" w:after="0"/>
              <w:ind w:left="0" w:right="0" w:hanging="0"/>
              <w:jc w:val="both"/>
              <w:rPr/>
            </w:pPr>
            <w:hyperlink w:anchor="ex_867401.htm">
              <w:r>
                <w:rPr>
                  <w:rStyle w:val="InternetLink"/>
                  <w:rFonts w:ascii="Times New Roman;Times;serif" w:hAnsi="Times New Roman;Times;serif"/>
                  <w:color w:val="0000FF"/>
                  <w:sz w:val="20"/>
                </w:rPr>
                <w:t>Consent of Independent Registered Public Accounting Firm (Grant Thornton LLP).</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32"/>
        <w:gridCol w:w="9573"/>
      </w:tblGrid>
      <w:tr>
        <w:trPr/>
        <w:tc>
          <w:tcPr>
            <w:tcW w:w="6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w:t>
            </w:r>
          </w:p>
        </w:tc>
        <w:tc>
          <w:tcPr>
            <w:tcW w:w="9573" w:type="dxa"/>
            <w:tcBorders/>
            <w:vAlign w:val="center"/>
          </w:tcPr>
          <w:p>
            <w:pPr>
              <w:pStyle w:val="TableContents"/>
              <w:bidi w:val="0"/>
              <w:spacing w:before="0" w:after="0"/>
              <w:ind w:left="0" w:right="0" w:hanging="0"/>
              <w:jc w:val="both"/>
              <w:rPr/>
            </w:pPr>
            <w:hyperlink w:anchor="sigs">
              <w:r>
                <w:rPr>
                  <w:rStyle w:val="InternetLink"/>
                  <w:rFonts w:ascii="Times New Roman;Times;serif" w:hAnsi="Times New Roman;Times;serif"/>
                  <w:color w:val="0000FF"/>
                  <w:sz w:val="20"/>
                </w:rPr>
                <w:t>Power of attorney (included on the signature page).</w:t>
              </w:r>
            </w:hyperlink>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9573" w:type="dxa"/>
            <w:tcBorders/>
            <w:vAlign w:val="center"/>
          </w:tcPr>
          <w:p>
            <w:pPr>
              <w:pStyle w:val="TableContents"/>
              <w:bidi w:val="0"/>
              <w:spacing w:before="0" w:after="0"/>
              <w:ind w:left="0" w:right="0" w:hanging="0"/>
              <w:jc w:val="both"/>
              <w:rPr/>
            </w:pPr>
            <w:hyperlink w:anchor="ex_867402.htm">
              <w:r>
                <w:rPr>
                  <w:rStyle w:val="InternetLink"/>
                  <w:rFonts w:ascii="Times New Roman;Times;serif" w:hAnsi="Times New Roman;Times;serif"/>
                  <w:color w:val="0000FF"/>
                  <w:sz w:val="20"/>
                </w:rPr>
                <w:t>Certification of the Principal Executive Officer pursuant to Section 302 of the Sarbanes-Oxley Act of 2002.</w:t>
              </w:r>
            </w:hyperlink>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9573" w:type="dxa"/>
            <w:tcBorders/>
            <w:vAlign w:val="center"/>
          </w:tcPr>
          <w:p>
            <w:pPr>
              <w:pStyle w:val="TableContents"/>
              <w:bidi w:val="0"/>
              <w:spacing w:before="0" w:after="0"/>
              <w:ind w:left="0" w:right="0" w:hanging="0"/>
              <w:jc w:val="both"/>
              <w:rPr/>
            </w:pPr>
            <w:hyperlink w:anchor="ex_867403.htm">
              <w:r>
                <w:rPr>
                  <w:rStyle w:val="InternetLink"/>
                  <w:rFonts w:ascii="Times New Roman;Times;serif" w:hAnsi="Times New Roman;Times;serif"/>
                  <w:color w:val="0000FF"/>
                  <w:sz w:val="20"/>
                </w:rPr>
                <w:t>Certification of the Principal Financial Officer pursuant to Section 302 of the Sarbanes-Oxley Act of 2002.</w:t>
              </w:r>
            </w:hyperlink>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0"/>
              <w:ind w:left="0" w:right="0" w:hanging="0"/>
              <w:jc w:val="center"/>
              <w:rPr/>
            </w:pPr>
            <w:r>
              <w:rPr/>
              <w:t> </w:t>
            </w:r>
            <w:r>
              <w:rPr>
                <w:rFonts w:ascii="Times New Roman;Times;serif" w:hAnsi="Times New Roman;Times;serif"/>
                <w:sz w:val="20"/>
              </w:rPr>
              <w:t>32.1**</w:t>
            </w:r>
          </w:p>
        </w:tc>
        <w:tc>
          <w:tcPr>
            <w:tcW w:w="9573" w:type="dxa"/>
            <w:tcBorders/>
            <w:vAlign w:val="center"/>
          </w:tcPr>
          <w:p>
            <w:pPr>
              <w:pStyle w:val="TableContents"/>
              <w:bidi w:val="0"/>
              <w:spacing w:before="0" w:after="0"/>
              <w:ind w:left="0" w:right="0" w:hanging="0"/>
              <w:jc w:val="both"/>
              <w:rPr/>
            </w:pPr>
            <w:hyperlink w:anchor="ex_867404.htm">
              <w:r>
                <w:rPr>
                  <w:rStyle w:val="InternetLink"/>
                  <w:rFonts w:ascii="Times New Roman;Times;serif" w:hAnsi="Times New Roman;Times;serif"/>
                  <w:color w:val="0000FF"/>
                  <w:sz w:val="20"/>
                </w:rPr>
                <w:t>Certification of the Principal Executive Officer pursuant to Section 906 of the Sarbanes - Oxley Act of 2002.</w:t>
              </w:r>
            </w:hyperlink>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0"/>
              <w:ind w:left="0" w:right="0" w:hanging="0"/>
              <w:jc w:val="center"/>
              <w:rPr/>
            </w:pPr>
            <w:r>
              <w:rPr/>
              <w:t> </w:t>
            </w:r>
            <w:r>
              <w:rPr>
                <w:rFonts w:ascii="Times New Roman;Times;serif" w:hAnsi="Times New Roman;Times;serif"/>
                <w:sz w:val="20"/>
              </w:rPr>
              <w:t>32.2**</w:t>
            </w:r>
          </w:p>
        </w:tc>
        <w:tc>
          <w:tcPr>
            <w:tcW w:w="9573" w:type="dxa"/>
            <w:tcBorders/>
            <w:vAlign w:val="center"/>
          </w:tcPr>
          <w:p>
            <w:pPr>
              <w:pStyle w:val="TableContents"/>
              <w:bidi w:val="0"/>
              <w:spacing w:before="0" w:after="0"/>
              <w:ind w:left="0" w:right="0" w:hanging="0"/>
              <w:jc w:val="both"/>
              <w:rPr/>
            </w:pPr>
            <w:hyperlink w:anchor="ex_867405.htm">
              <w:r>
                <w:rPr>
                  <w:rStyle w:val="InternetLink"/>
                  <w:rFonts w:ascii="Times New Roman;Times;serif" w:hAnsi="Times New Roman;Times;serif"/>
                  <w:color w:val="0000FF"/>
                  <w:sz w:val="20"/>
                </w:rPr>
                <w:t>Certification of the Principal Financial Officer pursuant to Section 906 of the Sarbanes-Oxley Act of 2002.</w:t>
              </w:r>
            </w:hyperlink>
          </w:p>
        </w:tc>
      </w:tr>
      <w:tr>
        <w:trPr/>
        <w:tc>
          <w:tcPr>
            <w:tcW w:w="632" w:type="dxa"/>
            <w:tcBorders/>
            <w:vAlign w:val="center"/>
          </w:tcPr>
          <w:p>
            <w:pPr>
              <w:pStyle w:val="TableContents"/>
              <w:bidi w:val="0"/>
              <w:spacing w:before="0" w:after="283"/>
              <w:jc w:val="center"/>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center"/>
              <w:rPr/>
            </w:pPr>
            <w:r>
              <w:rPr/>
              <w:t>97.1†</w:t>
            </w:r>
          </w:p>
        </w:tc>
        <w:tc>
          <w:tcPr>
            <w:tcW w:w="9573" w:type="dxa"/>
            <w:tcBorders/>
            <w:vAlign w:val="center"/>
          </w:tcPr>
          <w:p>
            <w:pPr>
              <w:pStyle w:val="TableContents"/>
              <w:bidi w:val="0"/>
              <w:spacing w:before="0" w:after="283"/>
              <w:jc w:val="both"/>
              <w:rPr/>
            </w:pPr>
            <w:hyperlink r:id="rId33">
              <w:r>
                <w:rPr>
                  <w:rStyle w:val="InternetLink"/>
                  <w:color w:val="0000FF"/>
                </w:rPr>
                <w:t>Bel Fuse Inc. Compensation Recovery Policy, is incorporated by reference to Exhibit 97.1 to the Company’s Annual Report on Form 10-K for the fiscal year ended December 31, 2023 filed on March 11, 2024.</w:t>
              </w:r>
            </w:hyperlink>
          </w:p>
        </w:tc>
      </w:tr>
      <w:tr>
        <w:trPr/>
        <w:tc>
          <w:tcPr>
            <w:tcW w:w="632" w:type="dxa"/>
            <w:tcBorders/>
            <w:vAlign w:val="center"/>
          </w:tcPr>
          <w:p>
            <w:pPr>
              <w:pStyle w:val="TableContents"/>
              <w:bidi w:val="0"/>
              <w:spacing w:before="0" w:after="283"/>
              <w:jc w:val="center"/>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95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101.SCH*</w:t>
            </w:r>
          </w:p>
        </w:tc>
        <w:tc>
          <w:tcPr>
            <w:tcW w:w="9573" w:type="dxa"/>
            <w:tcBorders/>
            <w:vAlign w:val="center"/>
          </w:tcPr>
          <w:p>
            <w:pPr>
              <w:pStyle w:val="TableContents"/>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Inline XBRL Taxonomy Extension Schema Document</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101.CAL*</w:t>
            </w:r>
          </w:p>
        </w:tc>
        <w:tc>
          <w:tcPr>
            <w:tcW w:w="9573" w:type="dxa"/>
            <w:tcBorders/>
            <w:vAlign w:val="center"/>
          </w:tcPr>
          <w:p>
            <w:pPr>
              <w:pStyle w:val="TableContents"/>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Inline XBRL Taxonomy Extension Calculation Linkbase Document</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101.DEF*</w:t>
            </w:r>
          </w:p>
        </w:tc>
        <w:tc>
          <w:tcPr>
            <w:tcW w:w="9573" w:type="dxa"/>
            <w:tcBorders/>
            <w:vAlign w:val="center"/>
          </w:tcPr>
          <w:p>
            <w:pPr>
              <w:pStyle w:val="TableContents"/>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Inline XBRL Taxonomy Extension Definition Linkbase Document</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0"/>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101.LAB*</w:t>
            </w:r>
          </w:p>
        </w:tc>
        <w:tc>
          <w:tcPr>
            <w:tcW w:w="9573" w:type="dxa"/>
            <w:tcBorders/>
            <w:vAlign w:val="center"/>
          </w:tcPr>
          <w:p>
            <w:pPr>
              <w:pStyle w:val="TableContents"/>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Inline XBRL Taxonomy Extension Label Linkbase Document</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95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both"/>
              <w:rPr/>
            </w:pPr>
            <w:r>
              <w:rPr/>
              <w:t> </w:t>
            </w:r>
          </w:p>
        </w:tc>
      </w:tr>
      <w:tr>
        <w:trPr/>
        <w:tc>
          <w:tcPr>
            <w:tcW w:w="632" w:type="dxa"/>
            <w:tcBorders/>
            <w:vAlign w:val="center"/>
          </w:tcPr>
          <w:p>
            <w:pPr>
              <w:pStyle w:val="TableContents"/>
              <w:bidi w:val="0"/>
              <w:spacing w:before="0" w:after="283"/>
              <w:jc w:val="center"/>
              <w:rPr/>
            </w:pPr>
            <w:r>
              <w:rPr/>
              <w:t>104*</w:t>
            </w:r>
          </w:p>
        </w:tc>
        <w:tc>
          <w:tcPr>
            <w:tcW w:w="9573" w:type="dxa"/>
            <w:tcBorders/>
            <w:vAlign w:val="center"/>
          </w:tcPr>
          <w:p>
            <w:pPr>
              <w:pStyle w:val="TableContents"/>
              <w:bidi w:val="0"/>
              <w:spacing w:before="0" w:after="283"/>
              <w:jc w:val="both"/>
              <w:rPr/>
            </w:pPr>
            <w:r>
              <w:rPr/>
              <w:t>Cover Page Interactive Data File (formatted as Inline XBRL and contained in Exhibit 101)</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Submitted herewith.</w:t>
      </w:r>
    </w:p>
    <w:p>
      <w:pPr>
        <w:pStyle w:val="TextBody"/>
        <w:bidi w:val="0"/>
        <w:spacing w:before="0" w:after="0"/>
        <w:ind w:left="0" w:right="0" w:hanging="0"/>
        <w:jc w:val="both"/>
        <w:rPr/>
      </w:pPr>
      <w:r>
        <w:rPr/>
        <w:t xml:space="preserve">†   </w:t>
      </w:r>
      <w:r>
        <w:rPr>
          <w:rFonts w:ascii="Times New Roman;Times;serif" w:hAnsi="Times New Roman;Times;serif"/>
          <w:sz w:val="20"/>
        </w:rPr>
        <w:t>Management contract or compensatory plan or arrangement.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Annexes, schedules and/or exhibits have been omitted pursuant to Item 601(a)(5) of Regulation S-K. The Company hereby agrees to furnish supplementally a copy of any omitted attachment to the SEC on a confidential basis upon request.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35" w:name="item16"/>
      <w:bookmarkEnd w:id="35"/>
      <w:r>
        <w:rPr>
          <w:rFonts w:ascii="Times New Roman;Times;serif" w:hAnsi="Times New Roman;Times;serif"/>
          <w:b/>
          <w:sz w:val="20"/>
        </w:rPr>
        <w:t xml:space="preserve">Item 16.  </w:t>
      </w:r>
      <w:r>
        <w:rPr>
          <w:rFonts w:ascii="Times New Roman;Times;serif" w:hAnsi="Times New Roman;Times;serif"/>
          <w:b/>
          <w:i/>
          <w:sz w:val="20"/>
        </w:rPr>
        <w:t>Form 10-K Summary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36" w:name="sigs"/>
      <w:bookmarkEnd w:id="36"/>
      <w:r>
        <w:rPr>
          <w:rFonts w:ascii="Times New Roman;Times;serif" w:hAnsi="Times New Roman;Times;serif"/>
          <w:b/>
          <w:sz w:val="20"/>
        </w:rPr>
        <w:t>SIGNATURES</w:t>
      </w:r>
    </w:p>
    <w:p>
      <w:pPr>
        <w:pStyle w:val="TextBody"/>
        <w:bidi w:val="0"/>
        <w:spacing w:before="0" w:after="0"/>
        <w:ind w:left="0" w:right="0" w:firstLine="432"/>
        <w:jc w:val="center"/>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5985" w:type="dxa"/>
        <w:jc w:val="left"/>
        <w:tblInd w:w="0" w:type="dxa"/>
        <w:tblLayout w:type="fixed"/>
        <w:tblCellMar>
          <w:top w:w="0" w:type="dxa"/>
          <w:left w:w="0" w:type="dxa"/>
          <w:bottom w:w="0" w:type="dxa"/>
          <w:right w:w="0" w:type="dxa"/>
        </w:tblCellMar>
      </w:tblPr>
      <w:tblGrid>
        <w:gridCol w:w="2405"/>
        <w:gridCol w:w="365"/>
        <w:gridCol w:w="3155"/>
        <w:gridCol w:w="60"/>
      </w:tblGrid>
      <w:tr>
        <w:trPr/>
        <w:tc>
          <w:tcPr>
            <w:tcW w:w="2405" w:type="dxa"/>
            <w:tcBorders/>
          </w:tcPr>
          <w:p>
            <w:pPr>
              <w:pStyle w:val="TableContents"/>
              <w:bidi w:val="0"/>
              <w:spacing w:before="0" w:after="0"/>
              <w:ind w:left="0" w:right="0" w:hanging="0"/>
              <w:jc w:val="left"/>
              <w:rPr/>
            </w:pPr>
            <w:r>
              <w:rPr/>
              <w:t> </w:t>
            </w:r>
          </w:p>
        </w:tc>
        <w:tc>
          <w:tcPr>
            <w:tcW w:w="3520"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FUSE INC.</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c>
          <w:tcPr>
            <w:tcW w:w="60" w:type="dxa"/>
            <w:tcBorders/>
          </w:tcPr>
          <w:p>
            <w:pPr>
              <w:pStyle w:val="TableContents"/>
              <w:bidi w:val="0"/>
              <w:spacing w:before="0" w:after="0"/>
              <w:ind w:left="0" w:right="0" w:hanging="0"/>
              <w:jc w:val="left"/>
              <w:rPr/>
            </w:pPr>
            <w:r>
              <w:rPr/>
              <w:t> </w:t>
            </w:r>
          </w:p>
        </w:tc>
      </w:tr>
      <w:tr>
        <w:trPr/>
        <w:tc>
          <w:tcPr>
            <w:tcW w:w="2405"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155"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405"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155"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405"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15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Farouq Tuweiq</w:t>
            </w:r>
          </w:p>
        </w:tc>
        <w:tc>
          <w:tcPr>
            <w:tcW w:w="60" w:type="dxa"/>
            <w:tcBorders/>
          </w:tcPr>
          <w:p>
            <w:pPr>
              <w:pStyle w:val="TableContents"/>
              <w:bidi w:val="0"/>
              <w:spacing w:before="0" w:after="0"/>
              <w:ind w:left="0" w:right="0" w:hanging="0"/>
              <w:jc w:val="left"/>
              <w:rPr/>
            </w:pPr>
            <w:r>
              <w:rPr/>
              <w:t> </w:t>
            </w:r>
          </w:p>
        </w:tc>
      </w:tr>
      <w:tr>
        <w:trPr/>
        <w:tc>
          <w:tcPr>
            <w:tcW w:w="2405"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155" w:type="dxa"/>
            <w:tcBorders/>
          </w:tcPr>
          <w:p>
            <w:pPr>
              <w:pStyle w:val="TableContents"/>
              <w:bidi w:val="0"/>
              <w:spacing w:before="0" w:after="283"/>
              <w:jc w:val="left"/>
              <w:rPr/>
            </w:pPr>
            <w:r>
              <w:rPr/>
              <w:t>Farouq Tuweiq</w:t>
            </w:r>
          </w:p>
        </w:tc>
        <w:tc>
          <w:tcPr>
            <w:tcW w:w="60" w:type="dxa"/>
            <w:tcBorders/>
          </w:tcPr>
          <w:p>
            <w:pPr>
              <w:pStyle w:val="TableContents"/>
              <w:bidi w:val="0"/>
              <w:spacing w:before="0" w:after="0"/>
              <w:ind w:left="0" w:right="0" w:hanging="0"/>
              <w:jc w:val="left"/>
              <w:rPr/>
            </w:pPr>
            <w:r>
              <w:rPr/>
              <w:t> </w:t>
            </w:r>
          </w:p>
        </w:tc>
      </w:tr>
      <w:tr>
        <w:trPr/>
        <w:tc>
          <w:tcPr>
            <w:tcW w:w="2405"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315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President and Chief Executive Officer</w:t>
            </w:r>
            <w:r>
              <w:rPr>
                <w:rFonts w:ascii="Times New Roman;Times;serif" w:hAnsi="Times New Roman;Times;serif"/>
                <w:sz w:val="20"/>
              </w:rPr>
              <w:t> </w:t>
            </w:r>
          </w:p>
        </w:tc>
        <w:tc>
          <w:tcPr>
            <w:tcW w:w="60" w:type="dxa"/>
            <w:tcBorders/>
          </w:tcPr>
          <w:p>
            <w:pPr>
              <w:pStyle w:val="TableContents"/>
              <w:bidi w:val="0"/>
              <w:spacing w:before="0" w:after="0"/>
              <w:ind w:left="0" w:right="0" w:hanging="0"/>
              <w:jc w:val="left"/>
              <w:rPr/>
            </w:pPr>
            <w:r>
              <w:rPr/>
              <w:t> </w:t>
            </w:r>
          </w:p>
        </w:tc>
      </w:tr>
      <w:tr>
        <w:trPr/>
        <w:tc>
          <w:tcPr>
            <w:tcW w:w="2405" w:type="dxa"/>
            <w:tcBorders/>
          </w:tcPr>
          <w:p>
            <w:pPr>
              <w:pStyle w:val="TableContents"/>
              <w:bidi w:val="0"/>
              <w:spacing w:before="0" w:after="283"/>
              <w:jc w:val="left"/>
              <w:rPr/>
            </w:pPr>
            <w:r>
              <w:rPr/>
              <w:t>Date:  February 24, 2026</w:t>
            </w:r>
          </w:p>
        </w:tc>
        <w:tc>
          <w:tcPr>
            <w:tcW w:w="365" w:type="dxa"/>
            <w:tcBorders/>
          </w:tcPr>
          <w:p>
            <w:pPr>
              <w:pStyle w:val="TableContents"/>
              <w:bidi w:val="0"/>
              <w:spacing w:before="0" w:after="283"/>
              <w:jc w:val="left"/>
              <w:rPr/>
            </w:pPr>
            <w:r>
              <w:rPr/>
              <w:t> </w:t>
            </w:r>
          </w:p>
        </w:tc>
        <w:tc>
          <w:tcPr>
            <w:tcW w:w="315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ind w:left="72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KNOW ALL MEN BY THESE PRESENTS, that each person whose signature appears below constitutes and appoints Farouq Tuweiq,  Lynn Hutkin and Daniel Bernstein, and each or any of them, his/her attorney-in-fact and agent, each with full power of substitution and resubstitution, for him/her and in his/her name, place, and stead, in any and all capacities, to sign and file any and all amendments to this Annual Report on Form 10-K, with all exhibits thereto and hereto, and other documents with the Securities and Exchange Commission, granting unto said attorney-in-fact and agents, and each of them, full power and authority to do and perform each and every act and thing requisite or necessary to be done in and about the premises, as fully to all intents and purposes as he/she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 </w:t>
      </w: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ind w:left="0" w:right="0" w:hanging="0"/>
        <w:jc w:val="left"/>
        <w:rPr/>
      </w:pPr>
      <w:r>
        <w:rPr/>
        <w:t> </w:t>
      </w:r>
    </w:p>
    <w:tbl>
      <w:tblPr>
        <w:tblW w:w="8115" w:type="dxa"/>
        <w:jc w:val="left"/>
        <w:tblInd w:w="0" w:type="dxa"/>
        <w:tblLayout w:type="fixed"/>
        <w:tblCellMar>
          <w:top w:w="0" w:type="dxa"/>
          <w:left w:w="0" w:type="dxa"/>
          <w:bottom w:w="0" w:type="dxa"/>
          <w:right w:w="0" w:type="dxa"/>
        </w:tblCellMar>
      </w:tblPr>
      <w:tblGrid>
        <w:gridCol w:w="1700"/>
        <w:gridCol w:w="60"/>
        <w:gridCol w:w="4520"/>
        <w:gridCol w:w="60"/>
        <w:gridCol w:w="1775"/>
      </w:tblGrid>
      <w:tr>
        <w:trPr/>
        <w:tc>
          <w:tcPr>
            <w:tcW w:w="170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1700" w:type="dxa"/>
            <w:tcBorders>
              <w:bottom w:val="single" w:sz="2" w:space="0" w:color="000000"/>
            </w:tcBorders>
            <w:tcMar>
              <w:bottom w:w="28" w:type="dxa"/>
            </w:tcMar>
            <w:vAlign w:val="center"/>
          </w:tcPr>
          <w:p>
            <w:pPr>
              <w:pStyle w:val="TableContents"/>
              <w:bidi w:val="0"/>
              <w:spacing w:before="0" w:after="283"/>
              <w:jc w:val="left"/>
              <w:rPr/>
            </w:pPr>
            <w:r>
              <w:rPr/>
              <w:t>/s/Farouq Tuweiq</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President, Chief Executive Officer and Director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February 24, 2026</w:t>
            </w:r>
          </w:p>
        </w:tc>
      </w:tr>
      <w:tr>
        <w:trPr/>
        <w:tc>
          <w:tcPr>
            <w:tcW w:w="1700" w:type="dxa"/>
            <w:tcBorders/>
            <w:vAlign w:val="center"/>
          </w:tcPr>
          <w:p>
            <w:pPr>
              <w:pStyle w:val="TableContents"/>
              <w:bidi w:val="0"/>
              <w:spacing w:before="0" w:after="283"/>
              <w:jc w:val="left"/>
              <w:rPr/>
            </w:pPr>
            <w:r>
              <w:rPr/>
              <w:t>Farouq Tuweiq</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i/>
              </w:rPr>
            </w:pPr>
            <w:r>
              <w:rPr>
                <w:i/>
              </w:rPr>
              <w:t>(Principal Executive Officer)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0"/>
              <w:ind w:left="0" w:right="0" w:hanging="0"/>
              <w:jc w:val="left"/>
              <w:rPr/>
            </w:pPr>
            <w:r>
              <w:rPr/>
              <w:t> </w:t>
            </w:r>
          </w:p>
        </w:tc>
      </w:tr>
      <w:tr>
        <w:trPr/>
        <w:tc>
          <w:tcPr>
            <w:tcW w:w="170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Daniel Bernstein</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283"/>
              <w:jc w:val="left"/>
              <w:rPr/>
            </w:pPr>
            <w:r>
              <w:rPr/>
              <w:t>Chairman of the Board of Directors</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283"/>
              <w:jc w:val="center"/>
              <w:rPr/>
            </w:pPr>
            <w:r>
              <w:rPr/>
              <w:t>February 24, 2026</w:t>
            </w:r>
          </w:p>
        </w:tc>
      </w:tr>
      <w:tr>
        <w:trPr/>
        <w:tc>
          <w:tcPr>
            <w:tcW w:w="17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Daniel Bernstein</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both"/>
              <w:rPr/>
            </w:pPr>
            <w:r>
              <w:rPr/>
              <w:t> </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17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170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Peter Gilbert</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283"/>
              <w:jc w:val="center"/>
              <w:rPr/>
            </w:pPr>
            <w:r>
              <w:rPr/>
              <w:t>February 24, 2026</w:t>
            </w:r>
          </w:p>
        </w:tc>
      </w:tr>
      <w:tr>
        <w:trPr/>
        <w:tc>
          <w:tcPr>
            <w:tcW w:w="17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Peter Gilbert</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17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170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David Valletta</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283"/>
              <w:jc w:val="center"/>
              <w:rPr/>
            </w:pPr>
            <w:r>
              <w:rPr/>
              <w:t>February 24, 2026</w:t>
            </w:r>
          </w:p>
        </w:tc>
      </w:tr>
      <w:tr>
        <w:trPr/>
        <w:tc>
          <w:tcPr>
            <w:tcW w:w="17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David Valletta</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17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0"/>
              <w:ind w:left="0" w:right="0" w:hanging="0"/>
              <w:jc w:val="center"/>
              <w:rPr/>
            </w:pPr>
            <w:r>
              <w:rPr/>
              <w:t> </w:t>
            </w:r>
          </w:p>
        </w:tc>
      </w:tr>
      <w:tr>
        <w:trPr/>
        <w:tc>
          <w:tcPr>
            <w:tcW w:w="170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Mark Segall</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283"/>
              <w:jc w:val="center"/>
              <w:rPr/>
            </w:pPr>
            <w:r>
              <w:rPr/>
              <w:t>February 24, 2026</w:t>
            </w:r>
          </w:p>
        </w:tc>
      </w:tr>
      <w:tr>
        <w:trPr/>
        <w:tc>
          <w:tcPr>
            <w:tcW w:w="17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Mark Segall</w:t>
            </w:r>
          </w:p>
        </w:tc>
        <w:tc>
          <w:tcPr>
            <w:tcW w:w="60"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775"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 </w:t>
      </w:r>
    </w:p>
    <w:tbl>
      <w:tblPr>
        <w:tblW w:w="8895" w:type="dxa"/>
        <w:jc w:val="left"/>
        <w:tblInd w:w="0" w:type="dxa"/>
        <w:tblLayout w:type="fixed"/>
        <w:tblCellMar>
          <w:top w:w="0" w:type="dxa"/>
          <w:left w:w="0" w:type="dxa"/>
          <w:bottom w:w="28" w:type="dxa"/>
          <w:right w:w="0" w:type="dxa"/>
        </w:tblCellMar>
      </w:tblPr>
      <w:tblGrid>
        <w:gridCol w:w="1820"/>
        <w:gridCol w:w="60"/>
        <w:gridCol w:w="5180"/>
        <w:gridCol w:w="60"/>
        <w:gridCol w:w="1775"/>
      </w:tblGrid>
      <w:tr>
        <w:trPr/>
        <w:tc>
          <w:tcPr>
            <w:tcW w:w="1820"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Eric Nowling</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18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75" w:type="dxa"/>
            <w:tcBorders/>
            <w:tcMar>
              <w:bottom w:w="0" w:type="dxa"/>
            </w:tcMar>
            <w:vAlign w:val="center"/>
          </w:tcPr>
          <w:p>
            <w:pPr>
              <w:pStyle w:val="TableContents"/>
              <w:bidi w:val="0"/>
              <w:spacing w:before="0" w:after="283"/>
              <w:jc w:val="center"/>
              <w:rPr/>
            </w:pPr>
            <w:r>
              <w:rPr/>
              <w:t>February 24, 2026</w:t>
            </w:r>
          </w:p>
        </w:tc>
      </w:tr>
      <w:tr>
        <w:trPr/>
        <w:tc>
          <w:tcPr>
            <w:tcW w:w="182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Eric Nowling</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1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75" w:type="dxa"/>
            <w:tcBorders/>
            <w:tcMar>
              <w:bottom w:w="0" w:type="dxa"/>
            </w:tcMar>
            <w:vAlign w:val="center"/>
          </w:tcPr>
          <w:p>
            <w:pPr>
              <w:pStyle w:val="TableContents"/>
              <w:bidi w:val="0"/>
              <w:spacing w:before="0" w:after="0"/>
              <w:ind w:left="0" w:right="0" w:hanging="0"/>
              <w:jc w:val="center"/>
              <w:rPr/>
            </w:pPr>
            <w:r>
              <w:rPr/>
              <w:t> </w:t>
            </w:r>
          </w:p>
        </w:tc>
      </w:tr>
      <w:tr>
        <w:trPr/>
        <w:tc>
          <w:tcPr>
            <w:tcW w:w="182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1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75" w:type="dxa"/>
            <w:tcBorders/>
            <w:tcMar>
              <w:bottom w:w="0" w:type="dxa"/>
            </w:tcMar>
            <w:vAlign w:val="center"/>
          </w:tcPr>
          <w:p>
            <w:pPr>
              <w:pStyle w:val="TableContents"/>
              <w:bidi w:val="0"/>
              <w:spacing w:before="0" w:after="0"/>
              <w:ind w:left="0" w:right="0" w:hanging="0"/>
              <w:jc w:val="center"/>
              <w:rPr/>
            </w:pPr>
            <w:r>
              <w:rPr/>
              <w:t> </w:t>
            </w:r>
          </w:p>
        </w:tc>
      </w:tr>
      <w:tr>
        <w:trPr/>
        <w:tc>
          <w:tcPr>
            <w:tcW w:w="1820"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Vincent Vellucci</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18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75" w:type="dxa"/>
            <w:tcBorders/>
            <w:tcMar>
              <w:bottom w:w="0" w:type="dxa"/>
            </w:tcMar>
            <w:vAlign w:val="center"/>
          </w:tcPr>
          <w:p>
            <w:pPr>
              <w:pStyle w:val="TableContents"/>
              <w:bidi w:val="0"/>
              <w:spacing w:before="0" w:after="283"/>
              <w:jc w:val="center"/>
              <w:rPr/>
            </w:pPr>
            <w:r>
              <w:rPr/>
              <w:t>February 24, 2026</w:t>
            </w:r>
          </w:p>
        </w:tc>
      </w:tr>
      <w:tr>
        <w:trPr/>
        <w:tc>
          <w:tcPr>
            <w:tcW w:w="182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Vincent Vellucci</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1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75" w:type="dxa"/>
            <w:tcBorders/>
            <w:tcMar>
              <w:bottom w:w="0" w:type="dxa"/>
            </w:tcMar>
            <w:vAlign w:val="center"/>
          </w:tcPr>
          <w:p>
            <w:pPr>
              <w:pStyle w:val="TableContents"/>
              <w:bidi w:val="0"/>
              <w:spacing w:before="0" w:after="0"/>
              <w:ind w:left="0" w:right="0" w:hanging="0"/>
              <w:jc w:val="center"/>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1820" w:type="dxa"/>
            <w:tcBorders>
              <w:bottom w:val="single" w:sz="2" w:space="0" w:color="000000"/>
            </w:tcBorders>
            <w:vAlign w:val="center"/>
          </w:tcPr>
          <w:p>
            <w:pPr>
              <w:pStyle w:val="TableContents"/>
              <w:bidi w:val="0"/>
              <w:spacing w:before="0" w:after="283"/>
              <w:jc w:val="left"/>
              <w:rPr/>
            </w:pPr>
            <w:r>
              <w:rPr/>
              <w:t>/s/ Rita V. Smith</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24, 2026</w:t>
            </w:r>
          </w:p>
        </w:tc>
      </w:tr>
      <w:tr>
        <w:trPr/>
        <w:tc>
          <w:tcPr>
            <w:tcW w:w="1820" w:type="dxa"/>
            <w:tcBorders/>
            <w:tcMar>
              <w:bottom w:w="0" w:type="dxa"/>
            </w:tcMar>
            <w:vAlign w:val="center"/>
          </w:tcPr>
          <w:p>
            <w:pPr>
              <w:pStyle w:val="TableContents"/>
              <w:bidi w:val="0"/>
              <w:spacing w:before="0" w:after="283"/>
              <w:jc w:val="left"/>
              <w:rPr/>
            </w:pPr>
            <w:r>
              <w:rPr/>
              <w:t>Rita V. Smith</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18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75" w:type="dxa"/>
            <w:tcBorders/>
            <w:tcMar>
              <w:bottom w:w="0" w:type="dxa"/>
            </w:tcMar>
            <w:vAlign w:val="center"/>
          </w:tcPr>
          <w:p>
            <w:pPr>
              <w:pStyle w:val="TableContents"/>
              <w:bidi w:val="0"/>
              <w:spacing w:before="0" w:after="0"/>
              <w:ind w:left="0" w:right="0" w:hanging="0"/>
              <w:jc w:val="center"/>
              <w:rPr/>
            </w:pPr>
            <w:r>
              <w:rPr/>
              <w:t> </w:t>
            </w:r>
          </w:p>
        </w:tc>
      </w:tr>
      <w:tr>
        <w:trPr/>
        <w:tc>
          <w:tcPr>
            <w:tcW w:w="1820" w:type="dxa"/>
            <w:tcBorders>
              <w:bottom w:val="single" w:sz="2" w:space="0" w:color="000000"/>
            </w:tcBorders>
            <w:vAlign w:val="center"/>
          </w:tcPr>
          <w:p>
            <w:pPr>
              <w:pStyle w:val="TableContents"/>
              <w:bidi w:val="0"/>
              <w:spacing w:before="0" w:after="283"/>
              <w:jc w:val="left"/>
              <w:rPr/>
            </w:pPr>
            <w:r>
              <w:rPr/>
              <w:t>/s/ Jacqueline Brito</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February 24, 2026</w:t>
            </w:r>
          </w:p>
        </w:tc>
      </w:tr>
      <w:tr>
        <w:trPr/>
        <w:tc>
          <w:tcPr>
            <w:tcW w:w="1820" w:type="dxa"/>
            <w:tcBorders/>
            <w:tcMar>
              <w:bottom w:w="0" w:type="dxa"/>
            </w:tcMar>
            <w:vAlign w:val="center"/>
          </w:tcPr>
          <w:p>
            <w:pPr>
              <w:pStyle w:val="TableContents"/>
              <w:bidi w:val="0"/>
              <w:spacing w:before="0" w:after="283"/>
              <w:jc w:val="left"/>
              <w:rPr/>
            </w:pPr>
            <w:r>
              <w:rPr/>
              <w:t>Jacqueline Brito</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1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left"/>
              <w:rPr/>
            </w:pPr>
            <w:r>
              <w:rPr/>
              <w:t> </w:t>
            </w:r>
          </w:p>
        </w:tc>
      </w:tr>
      <w:tr>
        <w:trPr/>
        <w:tc>
          <w:tcPr>
            <w:tcW w:w="1820"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Lynn Hutkin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180"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and Treasurer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75" w:type="dxa"/>
            <w:tcBorders/>
            <w:tcMar>
              <w:bottom w:w="0" w:type="dxa"/>
            </w:tcMar>
            <w:vAlign w:val="center"/>
          </w:tcPr>
          <w:p>
            <w:pPr>
              <w:pStyle w:val="TableContents"/>
              <w:bidi w:val="0"/>
              <w:spacing w:before="0" w:after="283"/>
              <w:jc w:val="center"/>
              <w:rPr/>
            </w:pPr>
            <w:r>
              <w:rPr/>
              <w:t>February 24, 2026</w:t>
            </w:r>
          </w:p>
        </w:tc>
      </w:tr>
      <w:tr>
        <w:trPr/>
        <w:tc>
          <w:tcPr>
            <w:tcW w:w="1820" w:type="dxa"/>
            <w:tcBorders/>
            <w:tcMar>
              <w:bottom w:w="0" w:type="dxa"/>
            </w:tcMar>
            <w:vAlign w:val="center"/>
          </w:tcPr>
          <w:p>
            <w:pPr>
              <w:pStyle w:val="TableContents"/>
              <w:bidi w:val="0"/>
              <w:spacing w:before="0" w:after="283"/>
              <w:jc w:val="left"/>
              <w:rPr/>
            </w:pPr>
            <w:r>
              <w:rPr/>
              <w:t>Lynn Hutkin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180" w:type="dxa"/>
            <w:tcBorders/>
            <w:tcMar>
              <w:bottom w:w="0" w:type="dxa"/>
            </w:tcMar>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(Principal Financial Officer and Principal Accounting Officer)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775"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83 </w:t>
      </w:r>
    </w:p>
    <w:p>
      <w:pPr>
        <w:pStyle w:val="TextBody"/>
        <w:bidi w:val="0"/>
        <w:spacing w:before="0" w:after="0"/>
        <w:ind w:left="0" w:right="0" w:hanging="0"/>
        <w:jc w:val="right"/>
        <w:rPr>
          <w:rFonts w:ascii="Times New Roman;Times;serif" w:hAnsi="Times New Roman;Times;serif"/>
          <w:b/>
          <w:sz w:val="20"/>
        </w:rPr>
      </w:pPr>
      <w:bookmarkStart w:id="37" w:name="ex_867400.htm"/>
      <w:bookmarkStart w:id="38" w:name="ksex_867400"/>
      <w:bookmarkEnd w:id="37"/>
      <w:bookmarkEnd w:id="38"/>
      <w:r>
        <w:rPr>
          <w:rFonts w:ascii="Times New Roman;Times;serif" w:hAnsi="Times New Roman;Times;serif"/>
          <w:b/>
          <w:sz w:val="20"/>
        </w:rPr>
        <w:t>Exhibit 21.1</w:t>
      </w:r>
      <w:r>
        <w:br w:type="page"/>
      </w:r>
    </w:p>
    <w:p>
      <w:pPr>
        <w:pStyle w:val="TextBody"/>
        <w:bidi w:val="0"/>
        <w:spacing w:before="0" w:after="0"/>
        <w:ind w:left="0" w:right="0" w:hanging="0"/>
        <w:jc w:val="left"/>
        <w:rPr/>
      </w:pPr>
      <w:r>
        <w:rPr/>
        <w:t> </w:t>
      </w:r>
    </w:p>
    <w:tbl>
      <w:tblPr>
        <w:tblW w:w="7855" w:type="dxa"/>
        <w:jc w:val="left"/>
        <w:tblInd w:w="0" w:type="dxa"/>
        <w:tblLayout w:type="fixed"/>
        <w:tblCellMar>
          <w:top w:w="0" w:type="dxa"/>
          <w:left w:w="0" w:type="dxa"/>
          <w:bottom w:w="0" w:type="dxa"/>
          <w:right w:w="0" w:type="dxa"/>
        </w:tblCellMar>
      </w:tblPr>
      <w:tblGrid>
        <w:gridCol w:w="5420"/>
        <w:gridCol w:w="2435"/>
      </w:tblGrid>
      <w:tr>
        <w:trPr/>
        <w:tc>
          <w:tcPr>
            <w:tcW w:w="78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SUBSIDIARIES OF THE REGISTRANT</w:t>
            </w:r>
          </w:p>
        </w:tc>
      </w:tr>
      <w:tr>
        <w:trPr/>
        <w:tc>
          <w:tcPr>
            <w:tcW w:w="5420" w:type="dxa"/>
            <w:tcBorders/>
            <w:vAlign w:val="center"/>
          </w:tcPr>
          <w:p>
            <w:pPr>
              <w:pStyle w:val="TableContents"/>
              <w:bidi w:val="0"/>
              <w:spacing w:before="0" w:after="0"/>
              <w:ind w:left="0" w:right="0" w:hanging="0"/>
              <w:jc w:val="left"/>
              <w:rPr/>
            </w:pPr>
            <w:r>
              <w:rPr/>
              <w:t> </w:t>
            </w:r>
          </w:p>
        </w:tc>
        <w:tc>
          <w:tcPr>
            <w:tcW w:w="2435" w:type="dxa"/>
            <w:tcBorders/>
            <w:vAlign w:val="center"/>
          </w:tcPr>
          <w:p>
            <w:pPr>
              <w:pStyle w:val="TableContents"/>
              <w:bidi w:val="0"/>
              <w:spacing w:before="0" w:after="0"/>
              <w:ind w:left="0" w:right="0" w:hanging="0"/>
              <w:jc w:val="left"/>
              <w:rPr/>
            </w:pPr>
            <w:r>
              <w:rPr/>
              <w:t> </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Subsidiary</w:t>
            </w:r>
          </w:p>
        </w:tc>
        <w:tc>
          <w:tcPr>
            <w:tcW w:w="2435" w:type="dxa"/>
            <w:tcBorders/>
            <w:vAlign w:val="center"/>
          </w:tcPr>
          <w:p>
            <w:pPr>
              <w:pStyle w:val="TableContents"/>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Jurisdiction of Organization</w:t>
            </w:r>
          </w:p>
        </w:tc>
      </w:tr>
      <w:tr>
        <w:trPr/>
        <w:tc>
          <w:tcPr>
            <w:tcW w:w="5420" w:type="dxa"/>
            <w:tcBorders/>
            <w:vAlign w:val="center"/>
          </w:tcPr>
          <w:p>
            <w:pPr>
              <w:pStyle w:val="TableContents"/>
              <w:bidi w:val="0"/>
              <w:spacing w:before="0" w:after="283"/>
              <w:jc w:val="left"/>
              <w:rPr/>
            </w:pPr>
            <w:r>
              <w:rPr/>
              <w:t>Bel Power Solutions Germany GmbH</w:t>
            </w:r>
          </w:p>
        </w:tc>
        <w:tc>
          <w:tcPr>
            <w:tcW w:w="2435" w:type="dxa"/>
            <w:tcBorders/>
            <w:vAlign w:val="center"/>
          </w:tcPr>
          <w:p>
            <w:pPr>
              <w:pStyle w:val="TableContents"/>
              <w:bidi w:val="0"/>
              <w:spacing w:before="0" w:after="283"/>
              <w:jc w:val="left"/>
              <w:rPr/>
            </w:pPr>
            <w:r>
              <w:rPr/>
              <w:t>Germany</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Components Ltd.</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Connector Inc.</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Fuse (Macao Commercial Offshore) Limited</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Macao</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Fuse Limited</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420" w:type="dxa"/>
            <w:tcBorders/>
            <w:vAlign w:val="center"/>
          </w:tcPr>
          <w:p>
            <w:pPr>
              <w:pStyle w:val="TableContents"/>
              <w:bidi w:val="0"/>
              <w:spacing w:before="0" w:after="283"/>
              <w:jc w:val="left"/>
              <w:rPr/>
            </w:pPr>
            <w:r>
              <w:rPr/>
              <w:t>Bel Guangxi Electronics Co. Ltd.</w:t>
            </w:r>
          </w:p>
        </w:tc>
        <w:tc>
          <w:tcPr>
            <w:tcW w:w="2435" w:type="dxa"/>
            <w:tcBorders/>
            <w:vAlign w:val="center"/>
          </w:tcPr>
          <w:p>
            <w:pPr>
              <w:pStyle w:val="TableContents"/>
              <w:bidi w:val="0"/>
              <w:spacing w:before="0" w:after="283"/>
              <w:jc w:val="left"/>
              <w:rPr/>
            </w:pPr>
            <w:r>
              <w:rPr/>
              <w:t>PRC</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Power (Hangzhou) Co. Ltd.</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Power Europe S.r.l.</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Italy</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Power Inc.</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Massachusetts</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Power Solutions GmbH</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Switzerland</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Power Solutions Inc.</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Power Solutions Ireland Limited</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Ireland</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Power Solutions s.r.o.</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Slovakia</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Sales (Hong Kong) Ltd.</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Stewart GmbH</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Transformer Inc.</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Ventures Inc.</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BPS Asia Pacific Electronics (Shenzhen) Co. Ltd.</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BPS Cooperatief U.A.</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Netherlands</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Cinch Connectivity Solutions LTD</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England and Wales</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Cinch Connectivity Solutions, Inc.</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Cinch Connectors de Mexico, S.A. de C.V.</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Cinch Connectors Limited</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England and Wales</w:t>
            </w:r>
          </w:p>
        </w:tc>
      </w:tr>
      <w:tr>
        <w:trPr/>
        <w:tc>
          <w:tcPr>
            <w:tcW w:w="5420" w:type="dxa"/>
            <w:tcBorders/>
            <w:vAlign w:val="center"/>
          </w:tcPr>
          <w:p>
            <w:pPr>
              <w:pStyle w:val="TableContents"/>
              <w:bidi w:val="0"/>
              <w:spacing w:before="0" w:after="283"/>
              <w:jc w:val="left"/>
              <w:rPr/>
            </w:pPr>
            <w:r>
              <w:rPr/>
              <w:t>Continental Converters Corporation Pte. LTD</w:t>
            </w:r>
          </w:p>
        </w:tc>
        <w:tc>
          <w:tcPr>
            <w:tcW w:w="2435" w:type="dxa"/>
            <w:tcBorders/>
            <w:vAlign w:val="center"/>
          </w:tcPr>
          <w:p>
            <w:pPr>
              <w:pStyle w:val="TableContents"/>
              <w:bidi w:val="0"/>
              <w:spacing w:before="0" w:after="283"/>
              <w:jc w:val="left"/>
              <w:rPr/>
            </w:pPr>
            <w:r>
              <w:rPr/>
              <w:t>Singapore</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Dongguan Transpower Electric Products Co., Ltd.</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420" w:type="dxa"/>
            <w:tcBorders/>
            <w:vAlign w:val="center"/>
          </w:tcPr>
          <w:p>
            <w:pPr>
              <w:pStyle w:val="TableContents"/>
              <w:bidi w:val="0"/>
              <w:spacing w:before="0" w:after="283"/>
              <w:jc w:val="left"/>
              <w:rPr/>
            </w:pPr>
            <w:r>
              <w:rPr/>
              <w:t>Elcatech Development LTD</w:t>
            </w:r>
          </w:p>
        </w:tc>
        <w:tc>
          <w:tcPr>
            <w:tcW w:w="2435" w:type="dxa"/>
            <w:tcBorders/>
            <w:vAlign w:val="center"/>
          </w:tcPr>
          <w:p>
            <w:pPr>
              <w:pStyle w:val="TableContents"/>
              <w:bidi w:val="0"/>
              <w:spacing w:before="0" w:after="283"/>
              <w:jc w:val="left"/>
              <w:rPr/>
            </w:pPr>
            <w:r>
              <w:rPr/>
              <w:t>Israel</w:t>
            </w:r>
          </w:p>
        </w:tc>
      </w:tr>
      <w:tr>
        <w:trPr/>
        <w:tc>
          <w:tcPr>
            <w:tcW w:w="5420" w:type="dxa"/>
            <w:tcBorders/>
            <w:vAlign w:val="center"/>
          </w:tcPr>
          <w:p>
            <w:pPr>
              <w:pStyle w:val="TableContents"/>
              <w:bidi w:val="0"/>
              <w:spacing w:before="0" w:after="283"/>
              <w:jc w:val="left"/>
              <w:rPr/>
            </w:pPr>
            <w:r>
              <w:rPr/>
              <w:t>Enercon Technologies LTD</w:t>
            </w:r>
          </w:p>
        </w:tc>
        <w:tc>
          <w:tcPr>
            <w:tcW w:w="2435" w:type="dxa"/>
            <w:tcBorders/>
            <w:vAlign w:val="center"/>
          </w:tcPr>
          <w:p>
            <w:pPr>
              <w:pStyle w:val="TableContents"/>
              <w:bidi w:val="0"/>
              <w:spacing w:before="0" w:after="283"/>
              <w:jc w:val="left"/>
              <w:rPr/>
            </w:pPr>
            <w:r>
              <w:rPr/>
              <w:t>Israel</w:t>
            </w:r>
          </w:p>
        </w:tc>
      </w:tr>
      <w:tr>
        <w:trPr/>
        <w:tc>
          <w:tcPr>
            <w:tcW w:w="5420" w:type="dxa"/>
            <w:tcBorders/>
            <w:vAlign w:val="center"/>
          </w:tcPr>
          <w:p>
            <w:pPr>
              <w:pStyle w:val="TableContents"/>
              <w:bidi w:val="0"/>
              <w:spacing w:before="0" w:after="283"/>
              <w:jc w:val="left"/>
              <w:rPr/>
            </w:pPr>
            <w:r>
              <w:rPr/>
              <w:t>Enercon Technologies Europe AG</w:t>
            </w:r>
          </w:p>
        </w:tc>
        <w:tc>
          <w:tcPr>
            <w:tcW w:w="2435" w:type="dxa"/>
            <w:tcBorders/>
            <w:vAlign w:val="center"/>
          </w:tcPr>
          <w:p>
            <w:pPr>
              <w:pStyle w:val="TableContents"/>
              <w:bidi w:val="0"/>
              <w:spacing w:before="0" w:after="283"/>
              <w:jc w:val="left"/>
              <w:rPr/>
            </w:pPr>
            <w:r>
              <w:rPr/>
              <w:t>Switzerland</w:t>
            </w:r>
          </w:p>
        </w:tc>
      </w:tr>
      <w:tr>
        <w:trPr/>
        <w:tc>
          <w:tcPr>
            <w:tcW w:w="5420" w:type="dxa"/>
            <w:tcBorders/>
            <w:vAlign w:val="center"/>
          </w:tcPr>
          <w:p>
            <w:pPr>
              <w:pStyle w:val="TableContents"/>
              <w:bidi w:val="0"/>
              <w:spacing w:before="0" w:after="283"/>
              <w:jc w:val="left"/>
              <w:rPr/>
            </w:pPr>
            <w:r>
              <w:rPr/>
              <w:t>EOS Power India Private Limited</w:t>
            </w:r>
          </w:p>
        </w:tc>
        <w:tc>
          <w:tcPr>
            <w:tcW w:w="2435" w:type="dxa"/>
            <w:tcBorders/>
            <w:vAlign w:val="center"/>
          </w:tcPr>
          <w:p>
            <w:pPr>
              <w:pStyle w:val="TableContents"/>
              <w:bidi w:val="0"/>
              <w:spacing w:before="0" w:after="283"/>
              <w:jc w:val="left"/>
              <w:rPr/>
            </w:pPr>
            <w:r>
              <w:rPr/>
              <w:t>India</w:t>
            </w:r>
          </w:p>
        </w:tc>
      </w:tr>
      <w:tr>
        <w:trPr/>
        <w:tc>
          <w:tcPr>
            <w:tcW w:w="5420" w:type="dxa"/>
            <w:tcBorders/>
            <w:vAlign w:val="center"/>
          </w:tcPr>
          <w:p>
            <w:pPr>
              <w:pStyle w:val="TableContents"/>
              <w:bidi w:val="0"/>
              <w:spacing w:before="0" w:after="283"/>
              <w:jc w:val="left"/>
              <w:rPr/>
            </w:pPr>
            <w:r>
              <w:rPr/>
              <w:t>Mil Power Converter Technologies India Private Limited</w:t>
            </w:r>
          </w:p>
        </w:tc>
        <w:tc>
          <w:tcPr>
            <w:tcW w:w="2435" w:type="dxa"/>
            <w:tcBorders/>
            <w:vAlign w:val="center"/>
          </w:tcPr>
          <w:p>
            <w:pPr>
              <w:pStyle w:val="TableContents"/>
              <w:bidi w:val="0"/>
              <w:spacing w:before="0" w:after="283"/>
              <w:jc w:val="left"/>
              <w:rPr/>
            </w:pPr>
            <w:r>
              <w:rPr/>
              <w:t>India</w:t>
            </w:r>
          </w:p>
        </w:tc>
      </w:tr>
      <w:tr>
        <w:trPr/>
        <w:tc>
          <w:tcPr>
            <w:tcW w:w="5420" w:type="dxa"/>
            <w:tcBorders/>
            <w:vAlign w:val="center"/>
          </w:tcPr>
          <w:p>
            <w:pPr>
              <w:pStyle w:val="TableContents"/>
              <w:bidi w:val="0"/>
              <w:spacing w:before="0" w:after="283"/>
              <w:jc w:val="left"/>
              <w:rPr/>
            </w:pPr>
            <w:r>
              <w:rPr/>
              <w:t>Mil Power Magnetics India Private Limited</w:t>
            </w:r>
          </w:p>
        </w:tc>
        <w:tc>
          <w:tcPr>
            <w:tcW w:w="2435" w:type="dxa"/>
            <w:tcBorders/>
            <w:vAlign w:val="center"/>
          </w:tcPr>
          <w:p>
            <w:pPr>
              <w:pStyle w:val="TableContents"/>
              <w:bidi w:val="0"/>
              <w:spacing w:before="0" w:after="283"/>
              <w:jc w:val="left"/>
              <w:rPr/>
            </w:pPr>
            <w:r>
              <w:rPr/>
              <w:t>India</w:t>
            </w:r>
          </w:p>
        </w:tc>
      </w:tr>
      <w:tr>
        <w:trPr/>
        <w:tc>
          <w:tcPr>
            <w:tcW w:w="5420" w:type="dxa"/>
            <w:tcBorders/>
            <w:vAlign w:val="center"/>
          </w:tcPr>
          <w:p>
            <w:pPr>
              <w:pStyle w:val="TableContents"/>
              <w:bidi w:val="0"/>
              <w:spacing w:before="0" w:after="283"/>
              <w:jc w:val="left"/>
              <w:rPr/>
            </w:pPr>
            <w:r>
              <w:rPr/>
              <w:t>Mil Power Source Inc.</w:t>
            </w:r>
          </w:p>
        </w:tc>
        <w:tc>
          <w:tcPr>
            <w:tcW w:w="2435" w:type="dxa"/>
            <w:tcBorders/>
            <w:vAlign w:val="center"/>
          </w:tcPr>
          <w:p>
            <w:pPr>
              <w:pStyle w:val="TableContents"/>
              <w:bidi w:val="0"/>
              <w:spacing w:before="0" w:after="283"/>
              <w:jc w:val="left"/>
              <w:rPr/>
            </w:pPr>
            <w:r>
              <w:rPr/>
              <w:t>United States</w:t>
            </w:r>
          </w:p>
        </w:tc>
      </w:tr>
      <w:tr>
        <w:trPr/>
        <w:tc>
          <w:tcPr>
            <w:tcW w:w="5420" w:type="dxa"/>
            <w:tcBorders/>
            <w:vAlign w:val="center"/>
          </w:tcPr>
          <w:p>
            <w:pPr>
              <w:pStyle w:val="TableContents"/>
              <w:bidi w:val="0"/>
              <w:spacing w:before="0" w:after="283"/>
              <w:jc w:val="left"/>
              <w:rPr/>
            </w:pPr>
            <w:r>
              <w:rPr/>
              <w:t>Multisphere Power Solutions Private Limited</w:t>
            </w:r>
          </w:p>
        </w:tc>
        <w:tc>
          <w:tcPr>
            <w:tcW w:w="2435" w:type="dxa"/>
            <w:tcBorders/>
            <w:vAlign w:val="center"/>
          </w:tcPr>
          <w:p>
            <w:pPr>
              <w:pStyle w:val="TableContents"/>
              <w:bidi w:val="0"/>
              <w:spacing w:before="0" w:after="283"/>
              <w:jc w:val="left"/>
              <w:rPr/>
            </w:pPr>
            <w:r>
              <w:rPr/>
              <w:t>India</w:t>
            </w:r>
          </w:p>
        </w:tc>
      </w:tr>
      <w:tr>
        <w:trPr/>
        <w:tc>
          <w:tcPr>
            <w:tcW w:w="5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PAI Capital LLC</w:t>
            </w:r>
          </w:p>
        </w:tc>
        <w:tc>
          <w:tcPr>
            <w:tcW w:w="2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bl>
    <w:p>
      <w:pPr>
        <w:pStyle w:val="TextBody"/>
        <w:bidi w:val="0"/>
        <w:spacing w:before="0" w:after="283"/>
        <w:jc w:val="left"/>
        <w:rPr/>
      </w:pPr>
      <w:r>
        <w:rPr/>
        <w:t> </w:t>
      </w:r>
    </w:p>
    <w:tbl>
      <w:tblPr>
        <w:tblW w:w="5920" w:type="dxa"/>
        <w:jc w:val="left"/>
        <w:tblInd w:w="0" w:type="dxa"/>
        <w:tblLayout w:type="fixed"/>
        <w:tblCellMar>
          <w:top w:w="0" w:type="dxa"/>
          <w:left w:w="0" w:type="dxa"/>
          <w:bottom w:w="0" w:type="dxa"/>
          <w:right w:w="0" w:type="dxa"/>
        </w:tblCellMar>
      </w:tblPr>
      <w:tblGrid>
        <w:gridCol w:w="4205"/>
        <w:gridCol w:w="1715"/>
      </w:tblGrid>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Shireoaks Worksop Holdings Ltd.</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England and Wales</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Signal Dominicana, S.R.L.</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Dominican Republic</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Stewart Connector Systems de Mexico, S.A. de C.V.</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Stratos International, LLC</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Stratos Lightwave LLC</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Stratos Lightwave-Florida LLC</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Transpower Cooperatief U.A.</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Netherlands</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Transpower Technologies (HK) Limited</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Trompeter Electronics, Inc.</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TRP Connector B.V.</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Netherlands</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TRP Connector Limited</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Macao</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TRP International*</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Winsonko (Guangxi Pingguo) Electron Co., Ltd.</w:t>
            </w:r>
          </w:p>
        </w:tc>
        <w:tc>
          <w:tcPr>
            <w:tcW w:w="17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4205" w:type="dxa"/>
            <w:tcBorders/>
            <w:vAlign w:val="center"/>
          </w:tcPr>
          <w:p>
            <w:pPr>
              <w:pStyle w:val="TableContents"/>
              <w:bidi w:val="0"/>
              <w:spacing w:before="0" w:after="0"/>
              <w:ind w:left="0" w:right="0" w:hanging="0"/>
              <w:jc w:val="left"/>
              <w:rPr/>
            </w:pPr>
            <w:r>
              <w:rPr/>
              <w:t> </w:t>
            </w:r>
          </w:p>
        </w:tc>
        <w:tc>
          <w:tcPr>
            <w:tcW w:w="1715" w:type="dxa"/>
            <w:tcBorders/>
            <w:vAlign w:val="center"/>
          </w:tcPr>
          <w:p>
            <w:pPr>
              <w:pStyle w:val="TableContents"/>
              <w:bidi w:val="0"/>
              <w:spacing w:before="0" w:after="0"/>
              <w:ind w:left="0" w:right="0" w:hanging="0"/>
              <w:jc w:val="left"/>
              <w:rPr/>
            </w:pPr>
            <w:r>
              <w:rPr/>
              <w:t> </w:t>
            </w:r>
          </w:p>
        </w:tc>
      </w:tr>
      <w:tr>
        <w:trPr/>
        <w:tc>
          <w:tcPr>
            <w:tcW w:w="4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TRP International is a China Business Trust</w:t>
            </w:r>
          </w:p>
        </w:tc>
        <w:tc>
          <w:tcPr>
            <w:tcW w:w="171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9" w:name="ex_867401.htm"/>
      <w:bookmarkStart w:id="40" w:name="ksex_867401"/>
      <w:bookmarkEnd w:id="39"/>
      <w:bookmarkEnd w:id="40"/>
      <w:r>
        <w:rPr>
          <w:rFonts w:ascii="Times New Roman;Times;serif" w:hAnsi="Times New Roman;Times;serif"/>
          <w:b/>
          <w:sz w:val="20"/>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issued our reports dated February 24, 2026, with respect to the consolidated financial statements and internal control over financial reporting included in the Annual Report of Bel Fuse Inc. on Form 10-K for the year ended </w:t>
      </w:r>
      <w:bookmarkStart w:id="41" w:name="led38925F2025971759865971297"/>
      <w:bookmarkEnd w:id="41"/>
      <w:r>
        <w:rPr>
          <w:rFonts w:ascii="Times New Roman" w:hAnsi="Times New Roman"/>
          <w:caps w:val="false"/>
          <w:smallCaps w:val="false"/>
          <w:sz w:val="20"/>
        </w:rPr>
        <w:t>December 31, 2025. We consent to the incorporation by reference of said reports in the Registration Statements of Bel Fuse Inc. on Form S-3 (File No. 333-271817) and on Forms S-8 (File No. 333-180340 and File No. 333-239267).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Iselin, New Jersey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February 24, 2026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2" w:name="ex_867402.htm"/>
      <w:bookmarkStart w:id="43" w:name="ksex_867402"/>
      <w:bookmarkEnd w:id="42"/>
      <w:bookmarkEnd w:id="43"/>
      <w:r>
        <w:rPr>
          <w:rFonts w:ascii="Times New Roman;Times;serif" w:hAnsi="Times New Roman;Times;serif"/>
          <w:b/>
          <w:sz w:val="20"/>
        </w:rPr>
        <w:t>Exhibit 31.1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Farouq Tuweiq, certify that:</w:t>
      </w:r>
    </w:p>
    <w:p>
      <w:pPr>
        <w:pStyle w:val="TextBody"/>
        <w:bidi w:val="0"/>
        <w:spacing w:before="0" w:after="0"/>
        <w:ind w:left="0" w:right="0" w:hanging="0"/>
        <w:jc w:val="left"/>
        <w:rPr/>
      </w:pPr>
      <w:r>
        <w:rPr/>
        <w:t> </w:t>
      </w:r>
    </w:p>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53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annual report on Form 10-K of Bel Fuse Inc.;</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003"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001"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004"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57"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001"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49"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tbl>
      <w:tblPr>
        <w:tblW w:w="5110" w:type="dxa"/>
        <w:jc w:val="left"/>
        <w:tblInd w:w="0" w:type="dxa"/>
        <w:tblLayout w:type="fixed"/>
        <w:tblCellMar>
          <w:top w:w="0" w:type="dxa"/>
          <w:left w:w="0" w:type="dxa"/>
          <w:bottom w:w="0" w:type="dxa"/>
          <w:right w:w="0" w:type="dxa"/>
        </w:tblCellMar>
      </w:tblPr>
      <w:tblGrid>
        <w:gridCol w:w="2030"/>
        <w:gridCol w:w="3080"/>
      </w:tblGrid>
      <w:tr>
        <w:trPr/>
        <w:tc>
          <w:tcPr>
            <w:tcW w:w="2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24, 2026</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Farouq Tuweiq</w:t>
            </w:r>
          </w:p>
        </w:tc>
      </w:tr>
      <w:tr>
        <w:trPr/>
        <w:tc>
          <w:tcPr>
            <w:tcW w:w="203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283"/>
              <w:jc w:val="left"/>
              <w:rPr/>
            </w:pPr>
            <w:r>
              <w:rPr/>
              <w:t>Farouq Tuweiq</w:t>
            </w:r>
          </w:p>
        </w:tc>
      </w:tr>
      <w:tr>
        <w:trPr/>
        <w:tc>
          <w:tcPr>
            <w:tcW w:w="203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4" w:name="ex_867403.htm"/>
      <w:bookmarkStart w:id="45" w:name="ksex_867403"/>
      <w:bookmarkEnd w:id="44"/>
      <w:bookmarkEnd w:id="45"/>
      <w:r>
        <w:rPr>
          <w:rFonts w:ascii="Times New Roman;Times;serif" w:hAnsi="Times New Roman;Times;serif"/>
          <w:b/>
          <w:sz w:val="20"/>
        </w:rPr>
        <w:t>Exhibit 31.2</w:t>
      </w:r>
      <w:r>
        <w:br w:type="page"/>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Lynn Hutkin, certify that:</w:t>
      </w:r>
    </w:p>
    <w:p>
      <w:pPr>
        <w:pStyle w:val="TextBody"/>
        <w:bidi w:val="0"/>
        <w:spacing w:before="0" w:after="0"/>
        <w:ind w:left="0" w:right="0" w:hanging="0"/>
        <w:jc w:val="left"/>
        <w:rPr/>
      </w:pPr>
      <w:r>
        <w:rPr/>
        <w:t> </w:t>
      </w:r>
    </w:p>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3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annual report on Form 10-K of Bel Fuse Inc.;</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003"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001"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004"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957"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941"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10001"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49"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left"/>
              <w:rPr/>
            </w:pPr>
            <w:r>
              <w:rPr/>
              <w:t> </w:t>
            </w:r>
          </w:p>
        </w:tc>
      </w:tr>
    </w:tbl>
    <w:tbl>
      <w:tblPr>
        <w:tblW w:w="7210" w:type="dxa"/>
        <w:jc w:val="left"/>
        <w:tblInd w:w="0" w:type="dxa"/>
        <w:tblLayout w:type="fixed"/>
        <w:tblCellMar>
          <w:top w:w="0" w:type="dxa"/>
          <w:left w:w="0" w:type="dxa"/>
          <w:bottom w:w="0" w:type="dxa"/>
          <w:right w:w="0" w:type="dxa"/>
        </w:tblCellMar>
      </w:tblPr>
      <w:tblGrid>
        <w:gridCol w:w="2030"/>
        <w:gridCol w:w="5180"/>
      </w:tblGrid>
      <w:tr>
        <w:trPr/>
        <w:tc>
          <w:tcPr>
            <w:tcW w:w="2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24, 2026</w:t>
            </w:r>
          </w:p>
        </w:tc>
        <w:tc>
          <w:tcPr>
            <w:tcW w:w="5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Lynn Hutkin</w:t>
            </w:r>
          </w:p>
        </w:tc>
      </w:tr>
      <w:tr>
        <w:trPr/>
        <w:tc>
          <w:tcPr>
            <w:tcW w:w="2030"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283"/>
              <w:jc w:val="left"/>
              <w:rPr/>
            </w:pPr>
            <w:r>
              <w:rPr/>
              <w:t>Lynn Hutkin</w:t>
            </w:r>
          </w:p>
        </w:tc>
      </w:tr>
      <w:tr>
        <w:trPr/>
        <w:tc>
          <w:tcPr>
            <w:tcW w:w="2030"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r>
        <w:trPr/>
        <w:tc>
          <w:tcPr>
            <w:tcW w:w="2030"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6" w:name="ex_867404.htm"/>
      <w:bookmarkStart w:id="47" w:name="ksex_867404"/>
      <w:bookmarkEnd w:id="46"/>
      <w:bookmarkEnd w:id="47"/>
      <w:r>
        <w:rPr>
          <w:rFonts w:ascii="Times New Roman;Times;serif" w:hAnsi="Times New Roman;Times;serif"/>
          <w:b/>
          <w:sz w:val="20"/>
        </w:rPr>
        <w:t>Exhibit 32.1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annual report of Bel Fuse Inc. (the "Company") on Form 10-K for the year ended </w:t>
      </w:r>
      <w:bookmarkStart w:id="48" w:name="led38925F2025971759865887288"/>
      <w:bookmarkEnd w:id="48"/>
      <w:r>
        <w:rPr>
          <w:rFonts w:ascii="Times New Roman;Times;serif" w:hAnsi="Times New Roman;Times;serif"/>
          <w:sz w:val="20"/>
        </w:rPr>
        <w:t>December 31, 2025 filed with the Securities and Exchange Commission (the "Report"), I, Farouq Tuweiq, as President and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245"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consolidated financial condition of the Company as of the dates presented and consolidated results of operations of the Company for the periods presented.</w:t>
            </w:r>
          </w:p>
        </w:tc>
      </w:tr>
      <w:tr>
        <w:trPr/>
        <w:tc>
          <w:tcPr>
            <w:tcW w:w="214"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left"/>
              <w:rPr/>
            </w:pPr>
            <w:r>
              <w:rPr/>
              <w:t> </w:t>
            </w:r>
          </w:p>
        </w:tc>
      </w:tr>
    </w:tbl>
    <w:tbl>
      <w:tblPr>
        <w:tblW w:w="5110" w:type="dxa"/>
        <w:jc w:val="left"/>
        <w:tblInd w:w="0" w:type="dxa"/>
        <w:tblLayout w:type="fixed"/>
        <w:tblCellMar>
          <w:top w:w="0" w:type="dxa"/>
          <w:left w:w="0" w:type="dxa"/>
          <w:bottom w:w="0" w:type="dxa"/>
          <w:right w:w="0" w:type="dxa"/>
        </w:tblCellMar>
      </w:tblPr>
      <w:tblGrid>
        <w:gridCol w:w="2030"/>
        <w:gridCol w:w="3080"/>
      </w:tblGrid>
      <w:tr>
        <w:trPr/>
        <w:tc>
          <w:tcPr>
            <w:tcW w:w="2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24, 2026</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Farouq Tuweiq</w:t>
            </w:r>
          </w:p>
        </w:tc>
      </w:tr>
      <w:tr>
        <w:trPr/>
        <w:tc>
          <w:tcPr>
            <w:tcW w:w="203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283"/>
              <w:jc w:val="left"/>
              <w:rPr/>
            </w:pPr>
            <w:r>
              <w:rPr/>
              <w:t>Farouq Tuweiq</w:t>
            </w:r>
          </w:p>
        </w:tc>
      </w:tr>
      <w:tr>
        <w:trPr/>
        <w:tc>
          <w:tcPr>
            <w:tcW w:w="203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9" w:name="ex_867405.htm"/>
      <w:bookmarkStart w:id="50" w:name="ksex_867405"/>
      <w:bookmarkEnd w:id="49"/>
      <w:bookmarkEnd w:id="50"/>
      <w:r>
        <w:rPr>
          <w:rFonts w:ascii="Times New Roman;Times;serif" w:hAnsi="Times New Roman;Times;serif"/>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annual report of Bel Fuse Inc. (the "Company") on Form 10-K for the year ended </w:t>
      </w:r>
      <w:bookmarkStart w:id="51" w:name="led38925F2025971759865850732"/>
      <w:bookmarkEnd w:id="51"/>
      <w:r>
        <w:rPr>
          <w:rFonts w:ascii="Times New Roman;Times;serif" w:hAnsi="Times New Roman;Times;serif"/>
          <w:sz w:val="20"/>
        </w:rPr>
        <w:t>December 31, 2025 filed with the Securities and Exchange Commission (the "Report"), I, Lynn Hutkin, as Chief Financial Officer (principal financial officer and principal accounting officer) and Treasurer of the Company, certify, pursuant to 18 U.S.C. Section 1350, as adopted pursuant to Section 906 of the Sarbanes-Oxley Act of 2002, that to my knowledge:</w:t>
      </w:r>
    </w:p>
    <w:p>
      <w:pPr>
        <w:pStyle w:val="TextBody"/>
        <w:bidi w:val="0"/>
        <w:spacing w:before="0" w:after="0"/>
        <w:ind w:left="0" w:right="0" w:hanging="0"/>
        <w:jc w:val="both"/>
        <w:rPr/>
      </w:pPr>
      <w:r>
        <w:rPr/>
        <w:t> </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245"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consolidated financial condition of the Company as of the dates presented and consolidated results of operations of the Company for the periods presented.</w:t>
            </w:r>
          </w:p>
        </w:tc>
      </w:tr>
      <w:tr>
        <w:trPr/>
        <w:tc>
          <w:tcPr>
            <w:tcW w:w="214" w:type="dxa"/>
            <w:tcBorders/>
            <w:vAlign w:val="center"/>
          </w:tcPr>
          <w:p>
            <w:pPr>
              <w:pStyle w:val="TableContents"/>
              <w:bidi w:val="0"/>
              <w:spacing w:before="0" w:after="283"/>
              <w:jc w:val="left"/>
              <w:rPr/>
            </w:pPr>
            <w:r>
              <w:rPr/>
              <w:t> </w:t>
            </w:r>
          </w:p>
        </w:tc>
        <w:tc>
          <w:tcPr>
            <w:tcW w:w="9991" w:type="dxa"/>
            <w:tcBorders/>
            <w:vAlign w:val="center"/>
          </w:tcPr>
          <w:p>
            <w:pPr>
              <w:pStyle w:val="TableContents"/>
              <w:bidi w:val="0"/>
              <w:spacing w:before="0" w:after="283"/>
              <w:jc w:val="left"/>
              <w:rPr/>
            </w:pPr>
            <w:r>
              <w:rPr/>
              <w:t> </w:t>
            </w:r>
          </w:p>
        </w:tc>
      </w:tr>
    </w:tbl>
    <w:tbl>
      <w:tblPr>
        <w:tblW w:w="7210" w:type="dxa"/>
        <w:jc w:val="left"/>
        <w:tblInd w:w="0" w:type="dxa"/>
        <w:tblLayout w:type="fixed"/>
        <w:tblCellMar>
          <w:top w:w="0" w:type="dxa"/>
          <w:left w:w="0" w:type="dxa"/>
          <w:bottom w:w="0" w:type="dxa"/>
          <w:right w:w="0" w:type="dxa"/>
        </w:tblCellMar>
      </w:tblPr>
      <w:tblGrid>
        <w:gridCol w:w="2030"/>
        <w:gridCol w:w="5180"/>
      </w:tblGrid>
      <w:tr>
        <w:trPr/>
        <w:tc>
          <w:tcPr>
            <w:tcW w:w="2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24, 2026</w:t>
            </w:r>
          </w:p>
        </w:tc>
        <w:tc>
          <w:tcPr>
            <w:tcW w:w="5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Lynn Hutkin</w:t>
            </w:r>
          </w:p>
        </w:tc>
      </w:tr>
      <w:tr>
        <w:trPr/>
        <w:tc>
          <w:tcPr>
            <w:tcW w:w="2030"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283"/>
              <w:jc w:val="left"/>
              <w:rPr/>
            </w:pPr>
            <w:r>
              <w:rPr/>
              <w:t>Lynn Hutkin</w:t>
            </w:r>
          </w:p>
        </w:tc>
      </w:tr>
      <w:tr>
        <w:trPr/>
        <w:tc>
          <w:tcPr>
            <w:tcW w:w="2030"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r>
        <w:trPr/>
        <w:tc>
          <w:tcPr>
            <w:tcW w:w="2030"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729580/000143774924029891/ex_726159.htm" TargetMode="External"/><Relationship Id="rId4" Type="http://schemas.openxmlformats.org/officeDocument/2006/relationships/hyperlink" Target="http://www.sec.gov/Archives/edgar/data/729580/0000950110-98-000892.txt" TargetMode="External"/><Relationship Id="rId5" Type="http://schemas.openxmlformats.org/officeDocument/2006/relationships/hyperlink" Target="http://www.sec.gov/Archives/edgar/data/729580/000095011000000254/0000950110-00-000254.txt" TargetMode="External"/><Relationship Id="rId6" Type="http://schemas.openxmlformats.org/officeDocument/2006/relationships/hyperlink" Target="http://www.sec.gov/Archives/edgar/data/729580/000143774923028966/ex_582931.htm" TargetMode="External"/><Relationship Id="rId7" Type="http://schemas.openxmlformats.org/officeDocument/2006/relationships/hyperlink" Target="http://www.sec.gov/Archives/edgar/data/729580/000143774920012969/ex_190115.htm" TargetMode="External"/><Relationship Id="rId8" Type="http://schemas.openxmlformats.org/officeDocument/2006/relationships/hyperlink" Target="http://www.sec.gov/Archives/edgar/data/729580/000114420407020085/v072289_ex10-1.htm" TargetMode="External"/><Relationship Id="rId9" Type="http://schemas.openxmlformats.org/officeDocument/2006/relationships/hyperlink" Target="http://www.sec.gov/Archives/edgar/data/729580/000072958011000011/def14a.htm" TargetMode="External"/><Relationship Id="rId10" Type="http://schemas.openxmlformats.org/officeDocument/2006/relationships/hyperlink" Target="http://www.sec.gov/Archives/edgar/data/729580/000143774923006172/ex_484463.htm" TargetMode="External"/><Relationship Id="rId11" Type="http://schemas.openxmlformats.org/officeDocument/2006/relationships/hyperlink" Target="http://www.sec.gov/Archives/edgar/data/729580/000143774924029891/ex_726847.htm" TargetMode="External"/><Relationship Id="rId12" Type="http://schemas.openxmlformats.org/officeDocument/2006/relationships/hyperlink" Target="http://www.sec.gov/Archives/edgar/data/729580/000143774924035846/ex_747163.htm" TargetMode="External"/><Relationship Id="rId13" Type="http://schemas.openxmlformats.org/officeDocument/2006/relationships/hyperlink" Target="http://www.sec.gov/Archives/edgar/data/729580/000143774925014806/ex_810502.htm" TargetMode="External"/><Relationship Id="rId14" Type="http://schemas.openxmlformats.org/officeDocument/2006/relationships/hyperlink" Target="http://www.sec.gov/Archives/edgar/data/729580/000143774925014806/ex_810502.htm" TargetMode="External"/><Relationship Id="rId15" Type="http://schemas.openxmlformats.org/officeDocument/2006/relationships/hyperlink" Target="http://www.sec.gov/Archives/edgar/data/729580/000143774921028276/ex_314077.htm" TargetMode="External"/><Relationship Id="rId16" Type="http://schemas.openxmlformats.org/officeDocument/2006/relationships/hyperlink" Target="http://www.sec.gov/Archives/edgar/data/729580/000143774921028276/ex_314417.htm" TargetMode="External"/><Relationship Id="rId17" Type="http://schemas.openxmlformats.org/officeDocument/2006/relationships/hyperlink" Target="http://www.sec.gov/Archives/edgar/data/729580/000143774923006172/ex_484277.htm" TargetMode="External"/><Relationship Id="rId18" Type="http://schemas.openxmlformats.org/officeDocument/2006/relationships/hyperlink" Target="http://www.sec.gov/Archives/edgar/data/729580/000143774923006172/ex_484276.htm" TargetMode="External"/><Relationship Id="rId19" Type="http://schemas.openxmlformats.org/officeDocument/2006/relationships/hyperlink" Target="http://www.sec.gov/Archives/edgar/data/729580/000143774922006139/ex_346596.htm" TargetMode="External"/><Relationship Id="rId20" Type="http://schemas.openxmlformats.org/officeDocument/2006/relationships/hyperlink" Target="http://www.sec.gov/Archives/edgar/data/729580/000143774922011326/ex_371373.htm" TargetMode="External"/><Relationship Id="rId21" Type="http://schemas.openxmlformats.org/officeDocument/2006/relationships/hyperlink" Target="http://www.sec.gov/Archives/edgar/data/729580/000143774922026007/ex_440098.htm" TargetMode="External"/><Relationship Id="rId22" Type="http://schemas.openxmlformats.org/officeDocument/2006/relationships/hyperlink" Target="http://www.sec.gov/Archives/edgar/data/729580/000143774923006172/ex_484314.htm" TargetMode="External"/><Relationship Id="rId23" Type="http://schemas.openxmlformats.org/officeDocument/2006/relationships/hyperlink" Target="http://www.sec.gov/Archives/edgar/data/729580/000143774924024020/ex_701445.htm" TargetMode="External"/><Relationship Id="rId24" Type="http://schemas.openxmlformats.org/officeDocument/2006/relationships/hyperlink" Target="http://www.sec.gov/Archives/edgar/data/729580/000143774924035846/ex_747161.htm" TargetMode="External"/><Relationship Id="rId25" Type="http://schemas.openxmlformats.org/officeDocument/2006/relationships/hyperlink" Target="http://www.sec.gov/Archives/edgar/data/729580/000143774925003119/ex_774992.htm" TargetMode="External"/><Relationship Id="rId26" Type="http://schemas.openxmlformats.org/officeDocument/2006/relationships/hyperlink" Target="http://www.sec.gov/Archives/edgar/data/729580/000143774925017985/ex_821791.htm" TargetMode="External"/><Relationship Id="rId27" Type="http://schemas.openxmlformats.org/officeDocument/2006/relationships/hyperlink" Target="http://www.sec.gov/Archives/edgar/data/729580/000143774926001362/ex_907577.htm" TargetMode="External"/><Relationship Id="rId28" Type="http://schemas.openxmlformats.org/officeDocument/2006/relationships/hyperlink" Target="http://www.sec.gov/Archives/edgar/data/729580/000143774925003119/ex_774993.htm" TargetMode="External"/><Relationship Id="rId29" Type="http://schemas.openxmlformats.org/officeDocument/2006/relationships/hyperlink" Target="http://www.sec.gov/Archives/edgar/data/729580/000143774925003119/ex_774994.htm" TargetMode="External"/><Relationship Id="rId30" Type="http://schemas.openxmlformats.org/officeDocument/2006/relationships/hyperlink" Target="http://www.sec.gov/Archives/edgar/data/729580/000143774925004235/ex_779072.htm" TargetMode="External"/><Relationship Id="rId31" Type="http://schemas.openxmlformats.org/officeDocument/2006/relationships/hyperlink" Target="http://www.sec.gov/Archives/edgar/data/729580/000143774925037380/ex_895733.htm" TargetMode="External"/><Relationship Id="rId32" Type="http://schemas.openxmlformats.org/officeDocument/2006/relationships/hyperlink" Target="http://www.sec.gov/Archives/edgar/data/729580/000143774925005652/ex_780813.htm" TargetMode="External"/><Relationship Id="rId33" Type="http://schemas.openxmlformats.org/officeDocument/2006/relationships/hyperlink" Target="http://www.sec.gov/Archives/edgar/data/729580/000143774924007265/ex_632181.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59346</Words>
  <Characters>328548</Characters>
  <CharactersWithSpaces>392629</CharactersWithSpaces>
  <Paragraphs>15367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