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13,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333-295813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Bel Fuse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New Jersey</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22-1463699</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Executive Drive,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Orange, New Jersey 07052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+1 201-432-0463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13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Farouq Tuweiq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Executive Drive, Suite 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Orange, New Jersey 07052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+1 201-432-0463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Adam Johnson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Kimberly Petillo-Decossard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 Levi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&amp; Case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+1 212-819-8200</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w:t>
      </w:r>
    </w:p>
    <w:p>
      <w:pPr>
        <w:spacing w:after="0" w:line="1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1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54"/>
        <w:spacing w:after="0" w:line="261" w:lineRule="auto"/>
        <w:rPr>
          <w:sz w:val="20"/>
          <w:szCs w:val="20"/>
          <w:color w:val="auto"/>
        </w:rPr>
      </w:pPr>
      <w:r>
        <w:rPr>
          <w:rFonts w:ascii="Times New Roman" w:cs="Times New Roman" w:eastAsia="Times New Roman" w:hAnsi="Times New Roman"/>
          <w:sz w:val="18"/>
          <w:szCs w:val="18"/>
          <w:color w:val="auto"/>
        </w:rPr>
        <w:t>This Amendment No. 1 to the Registration Statement on Form S-3 (File No. 333-295813) is being filed solely for the purpose of filing certain exhibits. Accordingly, this Amendment No. 1 consists only of the facing page, this explanatory note, Item 16(a) of Part II of the Registration Statement, the signature page to the Registration Statement, and the filed exhibits. The remainder of the Registration Statement is unchanged and has therefore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16. List of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8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15"/>
            <w:shd w:val="clear" w:color="auto" w:fill="CCEEFF"/>
          </w:tcPr>
          <w:p>
            <w:pPr>
              <w:spacing w:after="0" w:line="176" w:lineRule="exact"/>
              <w:rPr>
                <w:rFonts w:ascii="Times New Roman" w:cs="Times New Roman" w:eastAsia="Times New Roman" w:hAnsi="Times New Roman"/>
                <w:sz w:val="18"/>
                <w:szCs w:val="18"/>
                <w:color w:val="auto"/>
              </w:rPr>
            </w:pPr>
            <w:hyperlink r:id="rId14">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0000EE"/>
                </w:rPr>
                <w:t>Restated Certificate of Incorporation, as amended, is incorporated by reference to Exhibit 3.1 of the Company’s Quarterly Report on</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 xml:space="preserve">Form 10-Q for the quarterly period ended June 30, 1998 filed on August 11, 1998 </w:t>
              </w:r>
              <w:r>
                <w:rPr>
                  <w:rFonts w:ascii="Times New Roman" w:cs="Times New Roman" w:eastAsia="Times New Roman" w:hAnsi="Times New Roman"/>
                  <w:sz w:val="18"/>
                  <w:szCs w:val="18"/>
                  <w:color w:val="000000"/>
                </w:rPr>
                <w:t>and (ii)</w:t>
              </w:r>
              <w:r>
                <w:rPr>
                  <w:rFonts w:ascii="Times New Roman" w:cs="Times New Roman" w:eastAsia="Times New Roman" w:hAnsi="Times New Roman"/>
                  <w:sz w:val="18"/>
                  <w:szCs w:val="18"/>
                  <w:color w:val="0000EE"/>
                </w:rPr>
                <w:t xml:space="preserve"> the Certificate of Amendment to the Company’s</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Restated Certificate of Incorporation, is incorporated by reference to Exhibit 3.2 of the Company’s Annual Report on Form 10-K for the</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fiscal year ended December 31, 1999 filed on March 29, 2000.</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Amended and Restated By-Laws of Bel Fuse Inc. (Adopted October 25, 2023), are incorporated by reference to Exhibit 3.1 to the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Company’s Current Report on Form 8-K filed on October 25, 2023.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Description of Registrant’s Securities, is incorporated by reference to Exhibit 4.1 to the Company’s Annual Report on Form 10-K for the</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fiscal year ended December 31, 2024, filed on February 28, 2025.</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common stock certificate.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Certificate of Designations of Preferred Stock.</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Unit.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Deposit Agreement.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Lowenstein Sandler LLP</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White &amp; Case LLP</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Consent of Independent Registered Public Accounting Firm (Grant Thornton LLP).</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Lowenstein Sandler LLP (included in exhibit 5.1)</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White &amp; Case LLP (included in exhibit 5.2)</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Power of attorney (included on the signature page).</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140" w:hanging="1132"/>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8980" w:firstLine="8"/>
        <w:spacing w:after="0" w:line="312" w:lineRule="auto"/>
        <w:tabs>
          <w:tab w:leader="none" w:pos="3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 Previously filed.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West Orange, State of New Jersey, on May 13,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Farouq Tuweiq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Farouq Tuweiq</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1"/>
                <w:szCs w:val="21"/>
                <w:color w:val="auto"/>
              </w:rPr>
            </w:pPr>
          </w:p>
        </w:tc>
        <w:tc>
          <w:tcPr>
            <w:tcW w:w="628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Farouq Tuweiq</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Farouq Tuweiq</w:t>
            </w:r>
          </w:p>
        </w:tc>
        <w:tc>
          <w:tcPr>
            <w:tcW w:w="24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240" w:type="dxa"/>
            <w:vAlign w:val="bottom"/>
          </w:tcPr>
          <w:p>
            <w:pPr>
              <w:spacing w:after="0"/>
              <w:rPr>
                <w:sz w:val="20"/>
                <w:szCs w:val="20"/>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Hutkin</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Lynn Hutkin</w:t>
            </w:r>
          </w:p>
        </w:tc>
        <w:tc>
          <w:tcPr>
            <w:tcW w:w="24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2240" w:type="dxa"/>
            <w:vAlign w:val="bottom"/>
          </w:tcPr>
          <w:p>
            <w:pPr>
              <w:spacing w:after="0"/>
              <w:rPr>
                <w:sz w:val="20"/>
                <w:szCs w:val="20"/>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Daniel Bernstein</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Peter Gilbert</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David Valletta</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Mark Segall</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Eric Nowling</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Vincent Vellucci</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Rita V. Smith</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Jacquelline Brito</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 By:</w:t>
      </w:r>
      <w:r>
        <w:rPr>
          <w:sz w:val="20"/>
          <w:szCs w:val="20"/>
          <w:color w:val="auto"/>
        </w:rPr>
        <w:tab/>
      </w:r>
      <w:r>
        <w:rPr>
          <w:rFonts w:ascii="Times New Roman" w:cs="Times New Roman" w:eastAsia="Times New Roman" w:hAnsi="Times New Roman"/>
          <w:sz w:val="17"/>
          <w:szCs w:val="17"/>
          <w:color w:val="auto"/>
        </w:rPr>
        <w:t>/s/ Lynn Hutkin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Lynn Hutkin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322580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Dated as of [ ]</w:t>
      </w:r>
    </w:p>
    <w:p>
      <w:pPr>
        <w:spacing w:after="0" w:line="225" w:lineRule="exact"/>
        <w:rPr>
          <w:sz w:val="20"/>
          <w:szCs w:val="20"/>
          <w:color w:val="auto"/>
        </w:rPr>
      </w:pPr>
    </w:p>
    <w:p>
      <w:pPr>
        <w:ind w:left="4520" w:hanging="98"/>
        <w:spacing w:after="0"/>
        <w:tabs>
          <w:tab w:leader="none" w:pos="4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1174750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tcBorders>
              <w:bottom w:val="single" w:sz="8" w:color="CCEEFF"/>
            </w:tcBorders>
          </w:tcPr>
          <w:p>
            <w:pPr>
              <w:spacing w:after="0"/>
              <w:rPr>
                <w:sz w:val="20"/>
                <w:szCs w:val="20"/>
                <w:color w:val="auto"/>
              </w:rPr>
            </w:pPr>
          </w:p>
        </w:tc>
        <w:tc>
          <w:tcPr>
            <w:tcW w:w="91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DEFINITIONS AND INCORPORATION BY REFERENCE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Definitions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Rules of Construction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20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20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Issuable in Series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2.2.</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2.4.</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2.6.</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Securityholder Lists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 and Exchange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2.8.</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2.9.</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Securities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Temporary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Cancellation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Defaulted Interest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2.14.</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Global Securities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CUSIP Numbers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20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20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to Trustee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Redemption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3.4.</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3.6.</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COVENANTS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4.3.</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Compliance Certificate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4.5.</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Existence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2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SUCCESSORS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2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w:t>
            </w:r>
          </w:p>
        </w:tc>
        <w:tc>
          <w:tcPr>
            <w:tcW w:w="9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691"/>
        </w:trPr>
        <w:tc>
          <w:tcPr>
            <w:tcW w:w="12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DEFAULTS AND REMEDIES</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Events of Default</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6.3.</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6.5.</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6.7.</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Limitation on Suits</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6.9.</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 by Holders</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Waiver of Past Defaults</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Undertaking for Costs</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6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6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Duties of Trustee</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7.2.</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Rights of Trustee</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7.4.</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Trustee’s Disclaimer</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Defaults</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7.6.</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7.8.</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Replacement of Trustee</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26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SATISFACTION AND DISCHARGE; DEFEASANCE</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26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8.2.</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8.4.</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Covenant Defeasance</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Company</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8.6.</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AMENDMENTS AND WAIVERS</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Consent of Holders</w:t>
            </w:r>
          </w:p>
        </w:tc>
        <w:tc>
          <w:tcPr>
            <w:tcW w:w="2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9.3.</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Limitations</w:t>
            </w:r>
          </w:p>
        </w:tc>
        <w:tc>
          <w:tcPr>
            <w:tcW w:w="2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w:t>
            </w:r>
          </w:p>
        </w:tc>
      </w:tr>
      <w:tr>
        <w:trPr>
          <w:trHeight w:val="709"/>
        </w:trPr>
        <w:tc>
          <w:tcPr>
            <w:tcW w:w="12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7540" w:type="dxa"/>
            <w:vAlign w:val="bottom"/>
          </w:tcPr>
          <w:p>
            <w:pPr>
              <w:ind w:left="32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500" w:type="dxa"/>
            <w:vAlign w:val="bottom"/>
          </w:tcPr>
          <w:p>
            <w:pPr>
              <w:spacing w:after="0"/>
              <w:rPr>
                <w:sz w:val="22"/>
                <w:szCs w:val="22"/>
                <w:color w:val="auto"/>
              </w:rPr>
            </w:pPr>
          </w:p>
        </w:tc>
      </w:tr>
      <w:tr>
        <w:trPr>
          <w:trHeight w:val="282"/>
        </w:trPr>
        <w:tc>
          <w:tcPr>
            <w:tcW w:w="1200" w:type="dxa"/>
            <w:vAlign w:val="bottom"/>
          </w:tcPr>
          <w:p>
            <w:pPr>
              <w:spacing w:after="0"/>
              <w:rPr>
                <w:sz w:val="24"/>
                <w:szCs w:val="24"/>
                <w:color w:val="auto"/>
              </w:rPr>
            </w:pPr>
          </w:p>
        </w:tc>
        <w:tc>
          <w:tcPr>
            <w:tcW w:w="7540" w:type="dxa"/>
            <w:vAlign w:val="bottom"/>
          </w:tcPr>
          <w:p>
            <w:pPr>
              <w:ind w:left="3920"/>
              <w:spacing w:after="0"/>
              <w:rPr>
                <w:sz w:val="20"/>
                <w:szCs w:val="20"/>
                <w:color w:val="auto"/>
              </w:rPr>
            </w:pPr>
            <w:r>
              <w:rPr>
                <w:rFonts w:ascii="Times New Roman" w:cs="Times New Roman" w:eastAsia="Times New Roman" w:hAnsi="Times New Roman"/>
                <w:sz w:val="22"/>
                <w:szCs w:val="22"/>
                <w:color w:val="auto"/>
              </w:rPr>
              <w:t>(continued)</w:t>
            </w:r>
          </w:p>
        </w:tc>
        <w:tc>
          <w:tcPr>
            <w:tcW w:w="2500" w:type="dxa"/>
            <w:vAlign w:val="bottom"/>
          </w:tcPr>
          <w:p>
            <w:pPr>
              <w:spacing w:after="0"/>
              <w:rPr>
                <w:sz w:val="24"/>
                <w:szCs w:val="24"/>
                <w:color w:val="auto"/>
              </w:rPr>
            </w:pPr>
          </w:p>
        </w:tc>
      </w:tr>
      <w:tr>
        <w:trPr>
          <w:trHeight w:val="204"/>
        </w:trPr>
        <w:tc>
          <w:tcPr>
            <w:tcW w:w="120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9.4.</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9.6.</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9.7.</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Trustee Protected</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0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MISCELLANEOUS</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0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Holidays</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Governing Laws</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Successors</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in a Foreign Currency or in Euros</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10.16.</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Judgment Currency</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10.17</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Force Majeure</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10.18</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U.S.A. Patriot Act</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SINKING FUNDS</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2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Applicability of Article</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2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r>
      <w:tr>
        <w:trPr>
          <w:trHeight w:val="682"/>
        </w:trPr>
        <w:tc>
          <w:tcPr>
            <w:tcW w:w="12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and tie between Trust Indenture Act of 1939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Indenture, dated as of [ ]</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 310(a)(1)</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(a)(2)</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(a)(3)</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(a)(4)</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(a)(5)</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(b)</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 311(a)</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(b)</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(c)</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 312(a)</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(b)</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(c)</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 313(a)</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(b)(1)</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(a)(2)</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(c)(1)</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(d)</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 314(a)</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(b)</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(c)(1)</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(c)(2)</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(c)(3)</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(d)</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(e)</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(f)</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 315(a)</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(b)</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(c)</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(d)</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(e)</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 316(a)</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(a)(1)(A)</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(a)(1)(B)</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(b)</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 317(a)(1)</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(a)(2)</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(b)</w:t>
            </w:r>
          </w:p>
        </w:tc>
        <w:tc>
          <w:tcPr>
            <w:tcW w:w="5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5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 318(a)</w:t>
            </w:r>
          </w:p>
        </w:tc>
        <w:tc>
          <w:tcPr>
            <w:tcW w:w="5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Indenture dated as of [ ] between Bel Fuse Inc., a New Jersey corporation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 ]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Service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unless otherwise provided by Board Resolution, Officers’ Certificate or supplemental indenture hereto for a particular Series, any day except a Saturday, Sunday or a legal holiday in New York, New York (or in connection with any payment, the place of payment) on which banking institutions are authorized or required by law, regulation or executive order to close.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two Officers, at least one of whom must be the Company’s principal executive officer, principal financial officer or principal accounting officer.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Request</w:t>
      </w:r>
      <w:r>
        <w:rPr>
          <w:rFonts w:ascii="Times New Roman" w:cs="Times New Roman" w:eastAsia="Times New Roman" w:hAnsi="Times New Roman"/>
          <w:sz w:val="18"/>
          <w:szCs w:val="18"/>
          <w:color w:val="auto"/>
        </w:rPr>
        <w:t>” means a written request signed in the name of the Company by its Chief Executive Officer, the President or an Executive Vice President, and by its Treasurer, an Assistant Treasurer, its Secretary or an Assistant Secretary, and delivered to the Trustee.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w:t>
      </w:r>
      <w:r>
        <w:rPr>
          <w:rFonts w:ascii="Times New Roman" w:cs="Times New Roman" w:eastAsia="Times New Roman" w:hAnsi="Times New Roman"/>
          <w:sz w:val="18"/>
          <w:szCs w:val="18"/>
          <w:color w:val="auto"/>
        </w:rPr>
        <w:t>” means, with respect to any Default or Event of Default, that such Default or Event of Default has not been cured or waived.</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Euro</w:t>
      </w:r>
      <w:r>
        <w:rPr>
          <w:rFonts w:ascii="Times New Roman" w:cs="Times New Roman" w:eastAsia="Times New Roman" w:hAnsi="Times New Roman"/>
          <w:sz w:val="18"/>
          <w:szCs w:val="18"/>
          <w:color w:val="auto"/>
        </w:rPr>
        <w:t>” means the single currency of participating member states of the economic and monetary union as contemplated in the Treaty on European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 America.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(i) direct obligations of the government that issued or caused to be issued such currency for the payment of which obligations its full faith and credit is pledged or</w:t>
      </w:r>
    </w:p>
    <w:p>
      <w:pPr>
        <w:jc w:val="both"/>
        <w:ind w:firstLine="8"/>
        <w:spacing w:after="0" w:line="255" w:lineRule="auto"/>
        <w:tabs>
          <w:tab w:leader="none" w:pos="2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Securityholder</w:t>
      </w:r>
      <w:r>
        <w:rPr>
          <w:rFonts w:ascii="Times New Roman" w:cs="Times New Roman" w:eastAsia="Times New Roman" w:hAnsi="Times New Roman"/>
          <w:sz w:val="18"/>
          <w:szCs w:val="18"/>
          <w:color w:val="auto"/>
        </w:rPr>
        <w:t>” means a person in whose name a Security is registered.</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Discount Security which by its terms bears interest only after Maturity, means interest payable after Maturity.</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the President, the Chief Financial Officer, the General Counsel, any Executive Vice President, the Treasurer, the Secretary, any Assistant Treasurer or any Assistant Secretary of the Company.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two Officers, one of whom must be the Company’s principal executive officer, principal financial officer or principal accounting officer.</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counsel may be an employee of or counsel to the Company.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and also means, with respect to a particular corporate trust matter, any other officer to whom any corporate trust matter is referred because of his or her knowledge of and familiarity with a particular subject.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2.1 and 2.2 hereof.</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xml:space="preserve">” means the Trust Indenture Act of 1939 (15 U.S. Code §§ 77aaa-77bbbb) as in effect on the date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w:t>
      </w:r>
    </w:p>
    <w:p>
      <w:pPr>
        <w:spacing w:after="0" w:line="1" w:lineRule="exact"/>
        <w:rPr>
          <w:sz w:val="20"/>
          <w:szCs w:val="20"/>
          <w:color w:val="auto"/>
        </w:rPr>
      </w:pPr>
    </w:p>
    <w:p>
      <w:pPr>
        <w:jc w:val="both"/>
        <w:ind w:firstLine="8"/>
        <w:spacing w:after="0" w:line="253" w:lineRule="auto"/>
        <w:tabs>
          <w:tab w:leader="none" w:pos="2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1.2. Other Definitions.</w:t>
            </w:r>
          </w:p>
        </w:tc>
        <w:tc>
          <w:tcPr>
            <w:tcW w:w="4100" w:type="dxa"/>
            <w:vAlign w:val="bottom"/>
          </w:tcPr>
          <w:p>
            <w:pPr>
              <w:spacing w:after="0"/>
              <w:rPr>
                <w:sz w:val="17"/>
                <w:szCs w:val="17"/>
                <w:color w:val="auto"/>
              </w:rPr>
            </w:pPr>
          </w:p>
        </w:tc>
      </w:tr>
      <w:tr>
        <w:trPr>
          <w:trHeight w:val="434"/>
        </w:trPr>
        <w:tc>
          <w:tcPr>
            <w:tcW w:w="9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DEFINED IN</w:t>
            </w:r>
          </w:p>
        </w:tc>
      </w:tr>
      <w:tr>
        <w:trPr>
          <w:trHeight w:val="241"/>
        </w:trPr>
        <w:tc>
          <w:tcPr>
            <w:tcW w:w="714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TERM</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r>
      <w:tr>
        <w:trPr>
          <w:trHeight w:val="216"/>
        </w:trPr>
        <w:tc>
          <w:tcPr>
            <w:tcW w:w="7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7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7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216"/>
        </w:trPr>
        <w:tc>
          <w:tcPr>
            <w:tcW w:w="7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Journal</w:t>
            </w:r>
            <w:r>
              <w:rPr>
                <w:rFonts w:ascii="Times New Roman" w:cs="Times New Roman" w:eastAsia="Times New Roman" w:hAnsi="Times New Roman"/>
                <w:sz w:val="18"/>
                <w:szCs w:val="18"/>
                <w:color w:val="auto"/>
              </w:rPr>
              <w:t>”</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7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7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r>
      <w:tr>
        <w:trPr>
          <w:trHeight w:val="216"/>
        </w:trPr>
        <w:tc>
          <w:tcPr>
            <w:tcW w:w="7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r>
      <w:tr>
        <w:trPr>
          <w:trHeight w:val="216"/>
        </w:trPr>
        <w:tc>
          <w:tcPr>
            <w:tcW w:w="7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Market Exchange Rate</w:t>
            </w:r>
            <w:r>
              <w:rPr>
                <w:rFonts w:ascii="Times New Roman" w:cs="Times New Roman" w:eastAsia="Times New Roman" w:hAnsi="Times New Roman"/>
                <w:sz w:val="18"/>
                <w:szCs w:val="18"/>
                <w:color w:val="auto"/>
              </w:rPr>
              <w:t>”</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7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7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r>
      <w:tr>
        <w:trPr>
          <w:trHeight w:val="216"/>
        </w:trPr>
        <w:tc>
          <w:tcPr>
            <w:tcW w:w="7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7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7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7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Service Agent</w:t>
            </w:r>
            <w:r>
              <w:rPr>
                <w:rFonts w:ascii="Times New Roman" w:cs="Times New Roman" w:eastAsia="Times New Roman" w:hAnsi="Times New Roman"/>
                <w:sz w:val="18"/>
                <w:szCs w:val="18"/>
                <w:color w:val="auto"/>
              </w:rPr>
              <w:t>”</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7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Securityholder.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900" w:hanging="24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3"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2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this Indenture.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or Officers’ Certificate:</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2.2.1. the title of the Series (which shall distinguish the Securities of that particular Series from the Securities of any other Series) and ranking (including the terms of any subordination provisions) of the Series;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 the price or prices (expressed as a percentage of the principal amount thereof) at which the Securities of the Series will be issued;</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 the date or dates on which the principal of the Securities of the Series is payable;</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2.2.10. if other than denominations of $1,000 and any integral multiple thereof, the denominations in which the Securities of the Series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issuable;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2.2.13. the currency of denomination of the Securities of the Series, which may be Dollars or any Foreign Currency, including, but not limited to, the Euro, and if such currency of denomination is a composite currency other than the Euro, the agency or organization, if any, responsible for overseeing such composite currency;</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2.2.14. the designation of the currency, currencies or currency units in which payment of the principal of and interest, if any, on the Securities of the Series will be made;</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2.2.17. the provisions, if any, relating to any security provided for the Securities of the Series;</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2.2.19. any addition to, deletion of or change in the covenants set forth in Articles IV or V hereof which applies to Securities of the Series;</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2.2.20. any other terms of the Securities of the Series (which may supplement, modify or delete any provision of this Indenture insofar as it applies to such Series);</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2.2.21. any depositaries,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2.2.22.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 and</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2.2.23. whether the Securities of such Series will be senior debt securities or subordinated debt securities and, if applicable, a description of the subordination terms thereof.</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Officer shall sign the Securities for the Company by manual, facsimile or electronic 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an Officer whose signature is on a Security no longer holds that office at the time the Security is authenticated, the Security shall nevertheless be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7.2) shall be fully protected in relying on:</w:t>
      </w:r>
    </w:p>
    <w:p>
      <w:pPr>
        <w:spacing w:after="0" w:line="27" w:lineRule="exact"/>
        <w:rPr>
          <w:sz w:val="20"/>
          <w:szCs w:val="20"/>
          <w:color w:val="auto"/>
        </w:rPr>
      </w:pPr>
    </w:p>
    <w:p>
      <w:pPr>
        <w:jc w:val="both"/>
        <w:ind w:right="20" w:firstLine="8"/>
        <w:spacing w:after="0" w:line="255" w:lineRule="auto"/>
        <w:tabs>
          <w:tab w:leader="none" w:pos="2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w:t>
      </w:r>
    </w:p>
    <w:p>
      <w:pPr>
        <w:ind w:right="200" w:firstLine="8"/>
        <w:spacing w:after="0" w:line="26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in good faith by its board of directors or trustees, executive committee or a trust committee of directors and/or executive vice presidents shall determine that such action would expose the Trustee to personal liability to Holders of any then outstanding Series of Securities.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where notices and demands to or upon the Company in respect of the Securities of such Series and this Indenture may be served (“</w:t>
      </w:r>
      <w:r>
        <w:rPr>
          <w:rFonts w:ascii="Times New Roman" w:cs="Times New Roman" w:eastAsia="Times New Roman" w:hAnsi="Times New Roman"/>
          <w:sz w:val="18"/>
          <w:szCs w:val="18"/>
          <w:i w:val="1"/>
          <w:iCs w:val="1"/>
          <w:color w:val="auto"/>
        </w:rPr>
        <w:t>Service Agent</w:t>
      </w:r>
      <w:r>
        <w:rPr>
          <w:rFonts w:ascii="Times New Roman" w:cs="Times New Roman" w:eastAsia="Times New Roman" w:hAnsi="Times New Roman"/>
          <w:sz w:val="18"/>
          <w:szCs w:val="18"/>
          <w:color w:val="auto"/>
        </w:rPr>
        <w:t>”). The Registrar shall keep a register with respect to each Series of Securities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co-registrars, additional paying agents or additional service agents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to maintain a Registrar, Paying Agent and Service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service agent.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includes any additional paying agent; and the term “</w:t>
      </w:r>
      <w:r>
        <w:rPr>
          <w:rFonts w:ascii="Times New Roman" w:cs="Times New Roman" w:eastAsia="Times New Roman" w:hAnsi="Times New Roman"/>
          <w:sz w:val="18"/>
          <w:szCs w:val="18"/>
          <w:i w:val="1"/>
          <w:iCs w:val="1"/>
          <w:color w:val="auto"/>
        </w:rPr>
        <w:t>Service Agent</w:t>
      </w:r>
      <w:r>
        <w:rPr>
          <w:rFonts w:ascii="Times New Roman" w:cs="Times New Roman" w:eastAsia="Times New Roman" w:hAnsi="Times New Roman"/>
          <w:sz w:val="18"/>
          <w:szCs w:val="18"/>
          <w:color w:val="auto"/>
        </w:rPr>
        <w:t>” includes any additional service agent.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Paying Agent and Service Agent for each Series unless another Registrar, Paying Agent or Service Agent, as the case may be, is appointed prior to the time Securities of that Series are first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Securityholder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bona fide purchaser.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Security does not cease to be outstanding because the Company or an Affiliate of the Company holds the Security.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Company may not issue new Securities to replace Securities that it has paid or delivered to the Trustee for cancellation.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mail to the Trustee and to each Securityholder of the Series a notice that states the record date, the payment date and the amount of interest to be paid. The Company may pay defaulted interest in any other lawful manner.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2.14.1. </w:t>
      </w: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76"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2.14.2.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 Notwithstanding any provisions to the contrary contained in Section 2.7 of this Indenture and in addition thereto, any Global Security shall be exchangeable pursuant to Section 2.7 of this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9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2.14.3.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2.14.4.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2.14.5.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2.14.6. </w:t>
      </w:r>
      <w:r>
        <w:rPr>
          <w:rFonts w:ascii="Times New Roman" w:cs="Times New Roman" w:eastAsia="Times New Roman" w:hAnsi="Times New Roman"/>
          <w:sz w:val="18"/>
          <w:szCs w:val="18"/>
          <w:u w:val="single" w:color="auto"/>
          <w:color w:val="auto"/>
        </w:rPr>
        <w:t>Consents, Declaration and Directions</w:t>
      </w:r>
      <w:r>
        <w:rPr>
          <w:rFonts w:ascii="Times New Roman" w:cs="Times New Roman" w:eastAsia="Times New Roman" w:hAnsi="Times New Roman"/>
          <w:sz w:val="18"/>
          <w:szCs w:val="18"/>
          <w:color w:val="auto"/>
        </w:rPr>
        <w:t>. Except as provided in Section 2.14.5,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notice at least 30 days before the redemption date (or such shorter notice as may be acceptable to the Trustee).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Unless otherwise indicated for a particular Series by a Board Resolution, a supplemental indenture hereto or an Officers’ Certificate, if less than all the Securities of a Series are to be redeemed, the Trustee shall select the Securities of the Series to be redeemed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in the case of Global Securities based on a method that most nearly approximates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selection as the Trustee deems fair and appropriate) unless otherwise required by law or applicable stock exchange or depositary requirements.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2.2.10,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15 days but not more than 60 days before a redemption date, the Company shall mail a notice of redemption by first-class mail to each Holder whose Securities are to be redeemed.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The notice shall identify the Securities of the Series to be redeemed and shall state:</w:t>
      </w:r>
    </w:p>
    <w:p>
      <w:pPr>
        <w:spacing w:after="0" w:line="225" w:lineRule="exact"/>
        <w:rPr>
          <w:sz w:val="20"/>
          <w:szCs w:val="20"/>
          <w:color w:val="auto"/>
        </w:rPr>
      </w:pPr>
    </w:p>
    <w:p>
      <w:pPr>
        <w:ind w:left="1220" w:hanging="240"/>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jc w:val="both"/>
        <w:ind w:right="20" w:firstLine="980"/>
        <w:spacing w:after="0" w:line="266" w:lineRule="auto"/>
        <w:tabs>
          <w:tab w:leader="none" w:pos="12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7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Once notice of redemption is mailed or published as provided in Section 3.3, Securities of a Series called for redemption become due and payable on the redemption date and at the redemption price. Unless otherwise set forth in the Board Resolution, supplemental indenture or Officers’ Certificate for the applicable Series of Securities, a notice of redemption pertaining to such Series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or before 10:00 a.m., New York City time, on the redemption date, the Company shall deposit with the Paying Agent money sufficient to pay the redemption price of and accrued interest, if any, on all Securities to be redeemed on that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shall, so long as any Securities are outstanding, deliver to the Trustee within 15 days after it files them with the SEC (unless already publicly available through the SEC’s EDGAR Filing System)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or she may have knowledge).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Subject to Article V, the Company will do or cause to be done all things necessary to preserve and keep in full force and effect its corporate existence and rights (charter and statutory);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preserve any such right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When Company May Merge,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ind w:right="20" w:firstLine="980"/>
        <w:spacing w:after="0" w:line="282" w:lineRule="auto"/>
        <w:tabs>
          <w:tab w:leader="none" w:pos="12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hereto complies with this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in the establishing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Resolution, supplemental indenture hereto or Officers’ Certificate, it is provided that such Series shall not have the benefit of said Event of Default:</w:t>
      </w:r>
    </w:p>
    <w:p>
      <w:pPr>
        <w:spacing w:after="0" w:line="207" w:lineRule="exact"/>
        <w:rPr>
          <w:sz w:val="20"/>
          <w:szCs w:val="20"/>
          <w:color w:val="auto"/>
        </w:rPr>
      </w:pPr>
    </w:p>
    <w:p>
      <w:pPr>
        <w:jc w:val="both"/>
        <w:ind w:firstLine="980"/>
        <w:spacing w:after="0" w:line="266" w:lineRule="auto"/>
        <w:tabs>
          <w:tab w:leader="none" w:pos="1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17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or</w:t>
      </w:r>
    </w:p>
    <w:p>
      <w:pPr>
        <w:spacing w:after="0" w:line="225" w:lineRule="exact"/>
        <w:rPr>
          <w:rFonts w:ascii="Times New Roman" w:cs="Times New Roman" w:eastAsia="Times New Roman" w:hAnsi="Times New Roman"/>
          <w:sz w:val="18"/>
          <w:szCs w:val="18"/>
          <w:color w:val="auto"/>
        </w:rPr>
      </w:pPr>
    </w:p>
    <w:p>
      <w:pPr>
        <w:jc w:val="both"/>
        <w:ind w:firstLine="980"/>
        <w:spacing w:after="0" w:line="258" w:lineRule="auto"/>
        <w:tabs>
          <w:tab w:leader="none" w:pos="12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or any Security (other than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3"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 or</w:t>
      </w:r>
    </w:p>
    <w:p>
      <w:pPr>
        <w:spacing w:after="0" w:line="22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days;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firstLine="980"/>
        <w:spacing w:after="0" w:line="282" w:lineRule="auto"/>
        <w:tabs>
          <w:tab w:leader="none" w:pos="1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60"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w:t>
      </w:r>
    </w:p>
    <w:p>
      <w:pPr>
        <w:spacing w:after="0" w:line="5" w:lineRule="exact"/>
        <w:rPr>
          <w:sz w:val="20"/>
          <w:szCs w:val="20"/>
          <w:color w:val="auto"/>
        </w:rPr>
      </w:pPr>
    </w:p>
    <w:p>
      <w:pPr>
        <w:ind w:firstLine="8"/>
        <w:spacing w:after="0" w:line="260" w:lineRule="auto"/>
        <w:tabs>
          <w:tab w:leader="none" w:pos="2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occur, the principal amount (or specified amount) of and accrued and unpaid interest, if any, on all outstanding Securities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and be immediately due and payable without any declaration or other act on the part of the Trustee or any Holder.</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225" w:lineRule="exact"/>
        <w:rPr>
          <w:sz w:val="20"/>
          <w:szCs w:val="20"/>
          <w:color w:val="auto"/>
        </w:rPr>
      </w:pPr>
    </w:p>
    <w:p>
      <w:pPr>
        <w:ind w:firstLine="980"/>
        <w:spacing w:after="0" w:line="282" w:lineRule="auto"/>
        <w:tabs>
          <w:tab w:leader="none" w:pos="1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 or</w:t>
      </w:r>
    </w:p>
    <w:p>
      <w:pPr>
        <w:spacing w:after="0" w:line="22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when and as due by the terms of a Security,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then, </w:t>
      </w:r>
      <w:r>
        <w:rPr>
          <w:rFonts w:ascii="Times New Roman" w:cs="Times New Roman" w:eastAsia="Times New Roman" w:hAnsi="Times New Roman"/>
          <w:sz w:val="18"/>
          <w:szCs w:val="18"/>
          <w:color w:val="auto"/>
        </w:rPr>
        <w:t>the Company will, upon demand of the Trustee, pay to it, for the benefit of the Holders of such Securities, the whole amount then due and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3" w:lineRule="exact"/>
        <w:rPr>
          <w:sz w:val="20"/>
          <w:szCs w:val="20"/>
          <w:color w:val="auto"/>
        </w:rPr>
      </w:pPr>
    </w:p>
    <w:p>
      <w:pPr>
        <w:jc w:val="both"/>
        <w:ind w:firstLine="656"/>
        <w:spacing w:after="0" w:line="266" w:lineRule="auto"/>
        <w:tabs>
          <w:tab w:leader="none" w:pos="9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in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7.7; and</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such Holder has previously given written notice to the Trustee of a continuing Event of Default with respect to the Securities of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right="20" w:firstLine="980"/>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reasonable indemnity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firstLine="980"/>
        <w:spacing w:after="0" w:line="282" w:lineRule="auto"/>
        <w:tabs>
          <w:tab w:leader="none" w:pos="12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ind w:left="1220" w:hanging="240"/>
        <w:spacing w:after="0"/>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225" w:lineRule="exact"/>
        <w:rPr>
          <w:rFonts w:ascii="Times New Roman" w:cs="Times New Roman" w:eastAsia="Times New Roman" w:hAnsi="Times New Roman"/>
          <w:sz w:val="18"/>
          <w:szCs w:val="18"/>
          <w:color w:val="auto"/>
        </w:rPr>
      </w:pPr>
    </w:p>
    <w:p>
      <w:pPr>
        <w:ind w:right="20" w:firstLine="980"/>
        <w:spacing w:after="0" w:line="282" w:lineRule="auto"/>
        <w:tabs>
          <w:tab w:leader="none" w:pos="12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980"/>
        <w:spacing w:after="0" w:line="266" w:lineRule="auto"/>
        <w:tabs>
          <w:tab w:leader="none" w:pos="121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304"/>
        <w:spacing w:after="0" w:line="258" w:lineRule="auto"/>
        <w:tabs>
          <w:tab w:leader="none" w:pos="15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w:t>
      </w:r>
    </w:p>
    <w:p>
      <w:pPr>
        <w:spacing w:after="0" w:line="183"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that:</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225" w:lineRule="exact"/>
        <w:rPr>
          <w:sz w:val="20"/>
          <w:szCs w:val="20"/>
          <w:color w:val="auto"/>
        </w:rPr>
      </w:pPr>
    </w:p>
    <w:p>
      <w:pPr>
        <w:ind w:firstLine="1304"/>
        <w:spacing w:after="0" w:line="282" w:lineRule="auto"/>
        <w:tabs>
          <w:tab w:leader="none" w:pos="15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1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7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225" w:lineRule="exact"/>
        <w:rPr>
          <w:rFonts w:ascii="Times New Roman" w:cs="Times New Roman" w:eastAsia="Times New Roman" w:hAnsi="Times New Roman"/>
          <w:sz w:val="18"/>
          <w:szCs w:val="18"/>
          <w:color w:val="auto"/>
        </w:rPr>
      </w:pPr>
    </w:p>
    <w:p>
      <w:pPr>
        <w:ind w:firstLine="980"/>
        <w:spacing w:after="0" w:line="282" w:lineRule="auto"/>
        <w:tabs>
          <w:tab w:leader="none" w:pos="12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unless it receives indemnity satisfactory to it against any loss, liability or expense.</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the Registrar and any authenticating agent shall be entitled to the protections, immunities and standard of care as are set forth in paragraphs (a), (b) and (c) of this Section with respect to the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0"/>
        <w:spacing w:after="0" w:line="266" w:lineRule="auto"/>
        <w:tabs>
          <w:tab w:leader="none" w:pos="12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on and shall be protected in acting or refraining from acting upon any document (whether in its original, electronic or facsimile form) believed by it to be genuine and to have been signed or presented by the proper person. The Trustee need not investigate any fact or matter stated in the document.</w:t>
      </w:r>
    </w:p>
    <w:p>
      <w:pPr>
        <w:spacing w:after="0" w:line="175" w:lineRule="exact"/>
        <w:rPr>
          <w:rFonts w:ascii="Times New Roman" w:cs="Times New Roman" w:eastAsia="Times New Roman" w:hAnsi="Times New Roman"/>
          <w:sz w:val="18"/>
          <w:szCs w:val="18"/>
          <w:color w:val="auto"/>
        </w:rPr>
      </w:pPr>
    </w:p>
    <w:p>
      <w:pPr>
        <w:ind w:right="20" w:firstLine="980"/>
        <w:spacing w:after="0" w:line="282" w:lineRule="auto"/>
        <w:tabs>
          <w:tab w:leader="none" w:pos="12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The Trustee shall not be liable for any action it takes or omits to take in good faith in reliance on such Officers’ Certificate or Opinion of Counsel.</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provided that the Trustee’s conduct does not constitute willful misconduct, negligence or bad faith.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980"/>
        <w:spacing w:after="0" w:line="266" w:lineRule="auto"/>
        <w:tabs>
          <w:tab w:leader="none" w:pos="12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good faith and in reliance thereon.</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unless such Holders shall have offered to the Trustee reasonable security or indemnity against the costs, expenses and liabilities which might be incurred by it in compliance with such request or direction.</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Within 60 days after May 15 in each year, the Trustee shall transmit by mail to all Securityholders, as their names and addresses appear on the register kept by the Registrar, a brief report dated as of such May 15, in accordance with, and to the extent required under, TIA § 313.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indemnify each of the Trustee and any predecessor Trustee (including the cost of defending itself) against any loss, liability or expense,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willful misconduct, negligence or bad faith.</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76" w:lineRule="exact"/>
        <w:rPr>
          <w:sz w:val="20"/>
          <w:szCs w:val="20"/>
          <w:color w:val="auto"/>
        </w:rPr>
      </w:pPr>
    </w:p>
    <w:p>
      <w:pPr>
        <w:ind w:left="1220" w:hanging="240"/>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 Law;</w:t>
      </w:r>
    </w:p>
    <w:p>
      <w:pPr>
        <w:spacing w:after="0" w:line="22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prior to such replacement.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$100,000,000 as set forth in its most recent published annual report of condition. The Trustee shall comply with TIA § 310(b).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Indenture shall upon Company Order cease to be of further effect (except as hereinafter provided in this Section 8.1), and the Trustee, at the expense of the Company, shall execute proper instruments acknowledging satisfaction and discharge of this Indenture, when</w:t>
      </w:r>
    </w:p>
    <w:p>
      <w:pPr>
        <w:spacing w:after="0" w:line="162" w:lineRule="exact"/>
        <w:rPr>
          <w:sz w:val="20"/>
          <w:szCs w:val="20"/>
          <w:color w:val="auto"/>
        </w:rPr>
      </w:pPr>
    </w:p>
    <w:p>
      <w:pPr>
        <w:ind w:left="1220" w:hanging="240"/>
        <w:spacing w:after="0"/>
        <w:tabs>
          <w:tab w:leader="none" w:pos="1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1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not theretofore delivered to the Trustee for cancellation</w:t>
      </w:r>
    </w:p>
    <w:p>
      <w:pPr>
        <w:spacing w:after="0" w:line="225"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ind w:right="20" w:firstLine="1628"/>
        <w:spacing w:after="0" w:line="282" w:lineRule="auto"/>
        <w:tabs>
          <w:tab w:leader="none" w:pos="1877"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61"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deemed paid and discharged pursuant to Section 8.3, as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and the Company, in the case of (1), (2) or (3) above,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80" w:lineRule="exact"/>
        <w:rPr>
          <w:sz w:val="20"/>
          <w:szCs w:val="20"/>
          <w:color w:val="auto"/>
        </w:rPr>
      </w:pPr>
    </w:p>
    <w:p>
      <w:pPr>
        <w:ind w:left="1240" w:hanging="260"/>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firstLine="980"/>
        <w:spacing w:after="0" w:line="282" w:lineRule="auto"/>
        <w:tabs>
          <w:tab w:leader="none" w:pos="12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Application of Trust Funds;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0"/>
        <w:spacing w:after="0" w:line="255" w:lineRule="auto"/>
        <w:tabs>
          <w:tab w:leader="none" w:pos="12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8.5, all money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188" w:lineRule="exact"/>
        <w:rPr>
          <w:rFonts w:ascii="Times New Roman" w:cs="Times New Roman" w:eastAsia="Times New Roman" w:hAnsi="Times New Roman"/>
          <w:sz w:val="18"/>
          <w:szCs w:val="18"/>
          <w:color w:val="auto"/>
        </w:rPr>
      </w:pPr>
    </w:p>
    <w:p>
      <w:pPr>
        <w:jc w:val="both"/>
        <w:ind w:firstLine="980"/>
        <w:spacing w:after="0" w:line="266" w:lineRule="auto"/>
        <w:tabs>
          <w:tab w:leader="none" w:pos="12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w:t>
      </w:r>
    </w:p>
    <w:p>
      <w:pPr>
        <w:spacing w:after="0" w:line="175" w:lineRule="exact"/>
        <w:rPr>
          <w:rFonts w:ascii="Times New Roman" w:cs="Times New Roman" w:eastAsia="Times New Roman" w:hAnsi="Times New Roman"/>
          <w:sz w:val="18"/>
          <w:szCs w:val="18"/>
          <w:color w:val="auto"/>
        </w:rPr>
      </w:pPr>
    </w:p>
    <w:p>
      <w:pPr>
        <w:jc w:val="both"/>
        <w:ind w:firstLine="980"/>
        <w:spacing w:after="0" w:line="256" w:lineRule="auto"/>
        <w:tabs>
          <w:tab w:leader="none" w:pos="12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Request any U.S. Government Obligations or Foreign Government Obligations or money held by it as provided in Sections 8.3 or 8.4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Legal Defeasance of Securities of any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this Section 8.3 is otherwise specified, pursuant to Section 2.2.20,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 hereof, (i) payment of the principal of and each installment of principal of and</w:t>
      </w:r>
    </w:p>
    <w:p>
      <w:pPr>
        <w:spacing w:after="0" w:line="162" w:lineRule="exact"/>
        <w:rPr>
          <w:sz w:val="20"/>
          <w:szCs w:val="20"/>
          <w:color w:val="auto"/>
        </w:rPr>
      </w:pPr>
    </w:p>
    <w:p>
      <w:pPr>
        <w:jc w:val="both"/>
        <w:ind w:firstLine="980"/>
        <w:spacing w:after="0" w:line="266" w:lineRule="auto"/>
        <w:tabs>
          <w:tab w:leader="none" w:pos="12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1240" w:hanging="260"/>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2.4, 2.7, 2.8, 8.2, 8.3 and 8.5; and</w:t>
      </w:r>
    </w:p>
    <w:p>
      <w:pPr>
        <w:spacing w:after="0" w:line="22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powers, trust and immunities of the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following conditions shall have been satisfied:</w:t>
      </w:r>
    </w:p>
    <w:p>
      <w:pPr>
        <w:spacing w:after="0" w:line="225" w:lineRule="exact"/>
        <w:rPr>
          <w:rFonts w:ascii="Times New Roman" w:cs="Times New Roman" w:eastAsia="Times New Roman" w:hAnsi="Times New Roman"/>
          <w:sz w:val="18"/>
          <w:szCs w:val="18"/>
          <w:color w:val="auto"/>
        </w:rPr>
      </w:pPr>
    </w:p>
    <w:p>
      <w:pPr>
        <w:jc w:val="both"/>
        <w:ind w:firstLine="980"/>
        <w:spacing w:after="0" w:line="254"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88" w:lineRule="exact"/>
        <w:rPr>
          <w:rFonts w:ascii="Times New Roman" w:cs="Times New Roman" w:eastAsia="Times New Roman" w:hAnsi="Times New Roman"/>
          <w:sz w:val="18"/>
          <w:szCs w:val="18"/>
          <w:color w:val="auto"/>
        </w:rPr>
      </w:pPr>
    </w:p>
    <w:p>
      <w:pPr>
        <w:ind w:right="20" w:firstLine="980"/>
        <w:spacing w:after="0" w:line="282" w:lineRule="auto"/>
        <w:tabs>
          <w:tab w:leader="none" w:pos="1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right="20" w:firstLine="980"/>
        <w:spacing w:after="0" w:line="282" w:lineRule="auto"/>
        <w:tabs>
          <w:tab w:leader="none" w:pos="12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61" w:lineRule="exact"/>
        <w:rPr>
          <w:rFonts w:ascii="Times New Roman" w:cs="Times New Roman" w:eastAsia="Times New Roman" w:hAnsi="Times New Roman"/>
          <w:sz w:val="18"/>
          <w:szCs w:val="18"/>
          <w:color w:val="auto"/>
        </w:rPr>
      </w:pPr>
    </w:p>
    <w:p>
      <w:pPr>
        <w:jc w:val="both"/>
        <w:ind w:firstLine="980"/>
        <w:spacing w:after="0" w:line="256" w:lineRule="auto"/>
        <w:tabs>
          <w:tab w:leader="none" w:pos="123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87" w:lineRule="exact"/>
        <w:rPr>
          <w:rFonts w:ascii="Times New Roman" w:cs="Times New Roman" w:eastAsia="Times New Roman" w:hAnsi="Times New Roman"/>
          <w:sz w:val="18"/>
          <w:szCs w:val="18"/>
          <w:color w:val="auto"/>
        </w:rPr>
      </w:pPr>
    </w:p>
    <w:p>
      <w:pPr>
        <w:jc w:val="both"/>
        <w:ind w:firstLine="980"/>
        <w:spacing w:after="0" w:line="266" w:lineRule="auto"/>
        <w:tabs>
          <w:tab w:leader="none" w:pos="123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2.2.20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2.2.20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w:t>
      </w:r>
    </w:p>
    <w:p>
      <w:pPr>
        <w:spacing w:after="0" w:line="189" w:lineRule="exact"/>
        <w:rPr>
          <w:sz w:val="20"/>
          <w:szCs w:val="20"/>
          <w:color w:val="auto"/>
        </w:rPr>
      </w:pPr>
    </w:p>
    <w:p>
      <w:pPr>
        <w:jc w:val="both"/>
        <w:ind w:firstLine="980"/>
        <w:spacing w:after="0" w:line="254" w:lineRule="auto"/>
        <w:tabs>
          <w:tab w:leader="none" w:pos="12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right="20" w:firstLine="980"/>
        <w:spacing w:after="0" w:line="282" w:lineRule="auto"/>
        <w:tabs>
          <w:tab w:leader="none" w:pos="12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w:t>
      </w:r>
    </w:p>
    <w:p>
      <w:pPr>
        <w:spacing w:after="0" w:line="206" w:lineRule="exact"/>
        <w:rPr>
          <w:rFonts w:ascii="Times New Roman" w:cs="Times New Roman" w:eastAsia="Times New Roman" w:hAnsi="Times New Roman"/>
          <w:sz w:val="18"/>
          <w:szCs w:val="18"/>
          <w:color w:val="auto"/>
        </w:rPr>
      </w:pPr>
    </w:p>
    <w:p>
      <w:pPr>
        <w:jc w:val="both"/>
        <w:ind w:firstLine="980"/>
        <w:spacing w:after="0" w:line="266" w:lineRule="auto"/>
        <w:tabs>
          <w:tab w:leader="none" w:pos="12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2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held by the Trustee or Paying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 AND WAIVERS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Trustee may amend or supplement this Indenture or the Securities of one or more Series without the consent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Securityholder:</w:t>
      </w:r>
    </w:p>
    <w:p>
      <w:pPr>
        <w:spacing w:after="0" w:line="207" w:lineRule="exact"/>
        <w:rPr>
          <w:sz w:val="20"/>
          <w:szCs w:val="20"/>
          <w:color w:val="auto"/>
        </w:rPr>
      </w:pPr>
    </w:p>
    <w:p>
      <w:pPr>
        <w:ind w:left="1220" w:hanging="240"/>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V;</w:t>
      </w:r>
    </w:p>
    <w:p>
      <w:pPr>
        <w:spacing w:after="0" w:line="22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Securities of any Series or secure Securities of any Series;</w:t>
      </w:r>
    </w:p>
    <w:p>
      <w:pPr>
        <w:spacing w:after="0" w:line="22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the Company’s rights or powers under this Indenture;</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Securities of any Series;</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 Indenture;</w:t>
      </w:r>
    </w:p>
    <w:p>
      <w:pPr>
        <w:spacing w:after="0" w:line="225" w:lineRule="exact"/>
        <w:rPr>
          <w:rFonts w:ascii="Times New Roman" w:cs="Times New Roman" w:eastAsia="Times New Roman" w:hAnsi="Times New Roman"/>
          <w:sz w:val="18"/>
          <w:szCs w:val="18"/>
          <w:color w:val="auto"/>
        </w:rPr>
      </w:pPr>
    </w:p>
    <w:p>
      <w:pPr>
        <w:jc w:val="both"/>
        <w:ind w:firstLine="980"/>
        <w:spacing w:after="0" w:line="266" w:lineRule="auto"/>
        <w:tabs>
          <w:tab w:leader="none" w:pos="11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each Securityholder affected, an amendment or waiver may not:</w:t>
      </w:r>
    </w:p>
    <w:p>
      <w:pPr>
        <w:spacing w:after="0" w:line="225" w:lineRule="exact"/>
        <w:rPr>
          <w:sz w:val="20"/>
          <w:szCs w:val="20"/>
          <w:color w:val="auto"/>
        </w:rPr>
      </w:pPr>
    </w:p>
    <w:p>
      <w:pPr>
        <w:ind w:left="1220" w:hanging="240"/>
        <w:spacing w:after="0"/>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225" w:lineRule="exact"/>
        <w:rPr>
          <w:rFonts w:ascii="Times New Roman" w:cs="Times New Roman" w:eastAsia="Times New Roman" w:hAnsi="Times New Roman"/>
          <w:sz w:val="18"/>
          <w:szCs w:val="18"/>
          <w:color w:val="auto"/>
        </w:rPr>
      </w:pPr>
    </w:p>
    <w:p>
      <w:pPr>
        <w:ind w:right="20" w:firstLine="980"/>
        <w:spacing w:after="0" w:line="282" w:lineRule="auto"/>
        <w:tabs>
          <w:tab w:leader="none" w:pos="122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1240" w:hanging="260"/>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22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6.8, 6.13 or 9.3 (this sentence); or</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 hereto that complies with the TIA as then in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Bel Fuse Inc.</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300 Executive Drive, Suite 300, West Orange, New Jersey 07052</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Telephone: (201) 432 0463</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Attention: General Counsel and Secretary</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Telephone: (212) 763-1818</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Attention: Adam Johnson, Kimberly Petillo-Decossard and Scott Levi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1165860</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874395</wp:posOffset>
            </wp:positionV>
            <wp:extent cx="28460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582930</wp:posOffset>
            </wp:positionV>
            <wp:extent cx="28460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760"/>
        <w:spacing w:after="0"/>
        <w:tabs>
          <w:tab w:leader="none" w:pos="88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Securityholder shall be sent electronically or mailed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sent or published in the manner provided above, within the time prescribed, it is duly given, whether or not the Securityholder receives 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Company sends a notice or communication to Securityholders, it shall send a copy to the Trustee and each Agent at the same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 Trustee:</w:t>
      </w:r>
    </w:p>
    <w:p>
      <w:pPr>
        <w:spacing w:after="0" w:line="225" w:lineRule="exact"/>
        <w:rPr>
          <w:sz w:val="20"/>
          <w:szCs w:val="20"/>
          <w:color w:val="auto"/>
        </w:rPr>
      </w:pPr>
    </w:p>
    <w:p>
      <w:pPr>
        <w:ind w:firstLine="980"/>
        <w:spacing w:after="0" w:line="282" w:lineRule="auto"/>
        <w:tabs>
          <w:tab w:leader="none" w:pos="122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ind w:left="1220" w:hanging="240"/>
        <w:spacing w:after="0"/>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06" w:lineRule="exact"/>
        <w:rPr>
          <w:rFonts w:ascii="Times New Roman" w:cs="Times New Roman" w:eastAsia="Times New Roman" w:hAnsi="Times New Roman"/>
          <w:sz w:val="18"/>
          <w:szCs w:val="18"/>
          <w:color w:val="auto"/>
        </w:rPr>
      </w:pPr>
    </w:p>
    <w:p>
      <w:pPr>
        <w:ind w:firstLine="980"/>
        <w:spacing w:after="0" w:line="282"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20" w:firstLine="980"/>
        <w:spacing w:after="0" w:line="282" w:lineRule="auto"/>
        <w:tabs>
          <w:tab w:leader="none" w:pos="12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Securityholders of one or more Series. Any Agent may make reasonable rules and set reasonable requirements for its functions.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Unless otherwise provided by Board Resolution, Officers’ Certificate or supplemental indenture hereto for a particular Series, a “</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director, officer, employee or stockholder, as such, of the Company shall not have any liability for any obligations of the Company under the Securities or this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THIS INDENTURE AND THE SECURITIES SHALL BE GOVERNED BY THE LAWS OF THE STATE OF NEW YORK APPLICABLE TO AGREEMENTS MADE AND TO BE PERFORMED IN SUCH STATE, WITHOUT REGARD TO THE CONFLICT OF LAWS PROVISIONS THEREOF.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Securities in a Foreign Currency or in Euros.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Euros),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w:t>
      </w:r>
      <w:r>
        <w:rPr>
          <w:rFonts w:ascii="Times New Roman" w:cs="Times New Roman" w:eastAsia="Times New Roman" w:hAnsi="Times New Roman"/>
          <w:sz w:val="18"/>
          <w:szCs w:val="18"/>
          <w:i w:val="1"/>
          <w:iCs w:val="1"/>
          <w:color w:val="auto"/>
        </w:rPr>
        <w:t>Market Exchange Rate</w:t>
      </w:r>
      <w:r>
        <w:rPr>
          <w:rFonts w:ascii="Times New Roman" w:cs="Times New Roman" w:eastAsia="Times New Roman" w:hAnsi="Times New Roman"/>
          <w:sz w:val="18"/>
          <w:szCs w:val="18"/>
          <w:color w:val="auto"/>
        </w:rPr>
        <w:t xml:space="preserve">” shall mean the noon Dollar buying rate in New York City for cable transfers of that currency as published by the Federal Reserve Bank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Euros, Market Exchange Rate shall mean the rate of exchange determined by the Commission of the European Union (or any successor thereto) as published in the Official Journal of the European Union (such publication or any successor publication, the “</w:t>
      </w:r>
      <w:r>
        <w:rPr>
          <w:rFonts w:ascii="Times New Roman" w:cs="Times New Roman" w:eastAsia="Times New Roman" w:hAnsi="Times New Roman"/>
          <w:sz w:val="18"/>
          <w:szCs w:val="18"/>
          <w:i w:val="1"/>
          <w:iCs w:val="1"/>
          <w:color w:val="auto"/>
        </w:rPr>
        <w:t>Journal</w:t>
      </w:r>
      <w:r>
        <w:rPr>
          <w:rFonts w:ascii="Times New Roman" w:cs="Times New Roman" w:eastAsia="Times New Roman" w:hAnsi="Times New Roman"/>
          <w:sz w:val="18"/>
          <w:szCs w:val="18"/>
          <w:color w:val="auto"/>
        </w:rPr>
        <w:t>”). If such Market Exchange Rate is not available for any reason with respect to such currency, the Trustee shall use, in its sole discretion and without liability on its part, such quotation of the Federal Reserve Bank of New York or, in the case of Euros, the rate of exchange as published in the Journal, as of the most recent available date, or quotations or, in the case of Euros, rates of exchange from one or more major banks in New York City or in the country of issue of the currency in question or, in the case of Euros, in Luxembourg or such other quotations or, in the case of Euros,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8"/>
          <w:szCs w:val="18"/>
          <w:i w:val="1"/>
          <w:i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normal banking procedures the Trustee could purchase in New York City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New York City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day except a Saturday, Sunday or a Legal Holiday in New York City on which banking institutions are authorized or required by law, regulation or executive order to close.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SINKING FUNDS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 reduction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11.2. Each sinking fund payment shall be applied to the redemption of Securities of any Series as provided for by the terms of the Securities of such Series.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90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as of the day and year first above written.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TRUSTEE], as 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Its:</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904" w:right="9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851660" cy="565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8516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 Fuse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Executive Drive,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Orange, New Jersey 07052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 Bel Fuse Inc.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acted as special counsel to Bel Fuse Inc., a New Jersey corporation (the “Company”), in connection with its filing of a shelf registration statement on Form S-3 (the “Registration Statement”), including the prospectus constituting a part thereof (the “Prospectus”), to which this opinion is attached, filed with the Securities and Exchange Commission (the “Commission”) under the Securities Act of 1933, as amended (the “Securities Act”). We have been requested by the Company to render this opinion in connection with the filing of the Registration Statement.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Prospectus provides that it will be supplemented in the future by one or more supplements to the Prospectus (each a “Prospectus Supplement”). The Prospectus, as supplemented by various Prospectus Supplements, will provide for the registration by the Company of (i) the Company’s senior debt securities and subordinated debt securities (collectively, the “Debt Securities”), which may be issued pursuant to a senior debt indenture (the “Senior Debt Indenture”) between the Company and the trustee to be named therein (the “Senior Debt Trustee”) and a subordinated debt indenture (the “Subordinated Debt Indenture,” and together with the Senior Debt Indenture, collectively, the “Indentures” and each, an “Indenture”) between the Company and the trustee to be named therein (the “Subordinated Debt Trustee” and, together with the Senior Debt Trustee, collectively, the “Trustees” and each, a “Trustee”), (ii) shares of preferred stock, no par value per share, in one or more series or classes (the “Preferred Stock”), (iii) shares of Class A common stock, par value $0.10 per share (“Class A Common Stock”), (iv) shares of Class B common stock, par value $0.10 per share (“Class B Common Stock” and together with the Class A Common Stock, the “Common Stock”), (v) warrants to purchase Class A Common Stock, Class B Common Stock, Preferred Stock or Debt Securities (the “Warrants”), (vi) depositary shares (evidenced by depositary receipts) representing fractional interests in shares of Preferred Stock (the “Depositary Shares”), or (vii) units composed of the foregoing (the “Units”). The Debt Securities, Preferred Stock, Class A Common Stock, Class B Common Stock, Warrants, Depositary Shares and Units are collectively referred to herein as the “Securities.” Any Debt Securities may be exchangeable and/or convertible into shares of Class A Common Stock, Class B Common Stock or Preferred Stock or Depositary Shares. The Preferred Stock may also be exchangeable for and/or convertible into shares of Class A Common Stock, Class B Common Stock or another series of Preferred Stock. The Units may be exchangeable and/or settled into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993140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410210</wp:posOffset>
            </wp:positionV>
            <wp:extent cx="5777865"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5777865" cy="4114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Bel Fuse Inc.</w:t>
            </w:r>
          </w:p>
        </w:tc>
        <w:tc>
          <w:tcPr>
            <w:tcW w:w="5640" w:type="dxa"/>
            <w:vAlign w:val="bottom"/>
          </w:tcPr>
          <w:p>
            <w:pPr>
              <w:ind w:left="4640"/>
              <w:spacing w:after="0"/>
              <w:rPr>
                <w:sz w:val="20"/>
                <w:szCs w:val="20"/>
                <w:color w:val="auto"/>
              </w:rPr>
            </w:pPr>
            <w:r>
              <w:rPr>
                <w:rFonts w:ascii="Times New Roman" w:cs="Times New Roman" w:eastAsia="Times New Roman" w:hAnsi="Times New Roman"/>
                <w:sz w:val="18"/>
                <w:szCs w:val="18"/>
                <w:color w:val="auto"/>
                <w:w w:val="97"/>
              </w:rPr>
              <w:t>May 12, 2026</w:t>
            </w: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Page 2</w:t>
            </w:r>
          </w:p>
        </w:tc>
        <w:tc>
          <w:tcPr>
            <w:tcW w:w="564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rendering our opinion, we have reviewed the Registration Statement and the exhibits thereto. We have also reviewed such corporate documents and records of the Company, such certificates of public officials and officers of the Company and such other matters as we have deemed necessary or appropriate for purposes of this opinion.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assumed that all documents referenced below are the valid and binding obligations of and enforceable against the parties thereto. We have also assumed the authenticity of all documents submitted to us as originals, the genuineness of all signatures, the conformity to authentic original documents of all documents submitted to us as certified, conformed or photostatic copies and the legal capacities of all natural persons.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and subject to the assumptions, limitations and qualifications set forth herein, we are of the opinion that:</w:t>
      </w:r>
    </w:p>
    <w:p>
      <w:pPr>
        <w:spacing w:after="0" w:line="225" w:lineRule="exact"/>
        <w:rPr>
          <w:sz w:val="20"/>
          <w:szCs w:val="20"/>
          <w:color w:val="auto"/>
        </w:rPr>
      </w:pPr>
    </w:p>
    <w:p>
      <w:pPr>
        <w:jc w:val="both"/>
        <w:ind w:left="340" w:hanging="332"/>
        <w:spacing w:after="0" w:line="25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new class or series of Preferred Stock has been duly established in accordance with the terms of the restated certificate of incorporation of the Company, as amended (“Charter”), the amended and restated by-laws of the Company (“Bylaws”) and applicable law (in the event that the Preferred Stock is a new class or series of Preferred Stock), and (a) upon adoption by the Board of Directors of the Company of a resolution in form and content as required by applicable law, and (b) assuming that appropriate certificates of amendment to the Charter relating to such class or series of Preferred Stock have been duly approved by the Company’s Board of Directors and been filed with and accepted for record by the State of New Jersey, and (c) assuming that the Registration Statement and any required post-effective amendment(s) thereto and any and all Prospectus Supplement(s) required by applicable laws have become effective under the Securities Act, and (d) assuming that upon the issuance of such Preferred Stock, the total number of issued and outstanding shares of the applicable class or series of Preferred Stock will not exceed the total number of shares of Preferred Stock or the number of shares of such class or series of Preferred Stock that the Company is then authorized to issue under its Charter, then upon issuance and delivery of and payment for such shares in the manner contemplated by the Registration Statement, the Prospectus and the related Prospectus Supplement(s) and by such resolution, such shares of such class or series of Preferred Stock (including any Preferred Stock duly issued upon (i) the exchange or conversion of any shares of Preferred Stock that are exchangeable or convertible into another class or series of Preferred Stock, (ii) the exercise of any duly issued Warrants exercisable for Preferred Stock, (iii) the exchange or conversion of Debt Securities that are exchangeable or convertible into Preferred Stock or (iv) the exchange or settlement of Units that are exchangeable or able to be settled for Preferred Stock), will be validly issued, fully paid and non-assessable.</w:t>
      </w:r>
    </w:p>
    <w:p>
      <w:pPr>
        <w:spacing w:after="0" w:line="19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Upon adoption by the Board of Directors of the Company of a resolution in form and content as required by applicable law authorizing the issuance and sale of Class A Common Stock, and (b) assuming that the Registration Statement and any required post-effective amendment(s) thereto and any and all Prospectus Supplement(s) required by applicable laws have become effective under the Securities Act, and (c) assuming that upon the issuance of such Class A Common Stock, the total number of issued and outstanding shares of Class A Common Stock plus the number of shares of Class A Common Stock reserved for issuance will not exceed the total number of shares of Common Stock or the number of shares of Class A Common Stock that the Company is then authorized to issue under its Charter, then upon issuance and delivery of and payment for such shares in the manner contemplated by the Registration Statement, the Prospectus and the related Prospectus Supplement(s) and by such resolution, such shares of Class A Common Stock being issued by the Company (including any Class A Common Stock duly issued upon (i) the exchange or conversion of any shares of Preferred Stock that are exchangeable or convertible into Class A Common Stock, (ii) the exercise of any duly issued Warrants exercisable for Class A Common Stock, (iii) the exchange or conversion of Debt Securities that are exchangeable or convertible into Class A Common Stock, or (iv) the exchange or settlement of Units that are exchangeable or able to be settled for Class A Common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1006475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1851660" cy="565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1851660" cy="56578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Bel Fuse Inc.</w:t>
            </w:r>
          </w:p>
        </w:tc>
        <w:tc>
          <w:tcPr>
            <w:tcW w:w="5640" w:type="dxa"/>
            <w:vAlign w:val="bottom"/>
          </w:tcPr>
          <w:p>
            <w:pPr>
              <w:ind w:left="4640"/>
              <w:spacing w:after="0"/>
              <w:rPr>
                <w:sz w:val="20"/>
                <w:szCs w:val="20"/>
                <w:color w:val="auto"/>
              </w:rPr>
            </w:pPr>
            <w:r>
              <w:rPr>
                <w:rFonts w:ascii="Times New Roman" w:cs="Times New Roman" w:eastAsia="Times New Roman" w:hAnsi="Times New Roman"/>
                <w:sz w:val="18"/>
                <w:szCs w:val="18"/>
                <w:color w:val="auto"/>
                <w:w w:val="97"/>
              </w:rPr>
              <w:t>May 12, 2026</w:t>
            </w: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Page 3</w:t>
            </w:r>
          </w:p>
        </w:tc>
        <w:tc>
          <w:tcPr>
            <w:tcW w:w="5640" w:type="dxa"/>
            <w:vAlign w:val="bottom"/>
          </w:tcPr>
          <w:p>
            <w:pPr>
              <w:spacing w:after="0"/>
              <w:rPr>
                <w:sz w:val="20"/>
                <w:szCs w:val="20"/>
                <w:color w:val="auto"/>
              </w:rPr>
            </w:pPr>
          </w:p>
        </w:tc>
      </w:tr>
    </w:tbl>
    <w:p>
      <w:pPr>
        <w:spacing w:after="0" w:line="198" w:lineRule="exact"/>
        <w:rPr>
          <w:sz w:val="20"/>
          <w:szCs w:val="20"/>
          <w:color w:val="auto"/>
        </w:rPr>
      </w:pPr>
    </w:p>
    <w:p>
      <w:pPr>
        <w:jc w:val="both"/>
        <w:ind w:left="340" w:hanging="332"/>
        <w:spacing w:after="0" w:line="253"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Upon adoption by the Board of Directors of the Company of a resolution in form and content as required by applicable law authorizing the issuance and sale of Class B Common Stock, and (b) assuming that the Registration Statement and any required post-effective amendment(s) thereto and any and all Prospectus Supplement(s) required by applicable laws have become effective under the Securities Act, and (c) assuming that upon the issuance of such Class B Common Stock, the total number of issued and outstanding shares of Class B Common Stock plus the number of shares of Class B Common Stock reserved for issuance will not exceed the total number of shares of Common Stock or the number of shares of Class B Common Stock that the Company is then authorized to issue under its Charter, then upon issuance and delivery of and payment for such shares in the manner contemplated by the Registration Statement, the Prospectus and the related Prospectus Supplement(s) and by such resolution, such shares of Class B Common Stock being issued by the Company (including any Class B Common Stock duly issued upon (i) the exchange or conversion of any shares of Preferred Stock that are exchangeable or convertible into Class B Common Stock, (ii) the exercise of any duly issued Warrants exercisable for Class B Common Stock, (iii) the exchange or conversion of Debt Securities that are exchangeable or convertible into Class B Common Stock, or (iv) the exchange or settlement of Units that are exchangeable or able to be settled for Class B Common Stock), will be validly issued, fully paid and non-assessable.</w:t>
      </w:r>
    </w:p>
    <w:p>
      <w:pPr>
        <w:spacing w:after="0" w:line="189"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contained in this letter are expressed solely with respect to the laws of the State of New Jersey. We express no opinion as to matters involving the laws of any jurisdiction other than the State of New Jersey. The opinions contained in this letter are limited to the present corporate laws of the State of New Jersey and to the present judicial interpretations thereof and to the facts as they presently exist. We undertake no obligation to advise you as a result of developments occurring after the date hereof or as a result of facts or circumstances brought to our attention after the date hereof. We are members of the New Jersey Bar and do not hold ourselves out as experts on the laws of any other jurisdiction. We have represented the Company in connection with certain transactions on matters relating to New Jersey corporate law, but do not generally represent the Company nor act as the Company’s regular outside counsel.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copies of this letter as an exhibit to the Registration Statement and to references to us in the prospectus forming a part of the Registration Statement under the caption “Legal Matters.” In giving this consent, we do not thereby admit that we are within the category of persons whose consent is required under Section 7 of the Securities Act, or the rules and regulations promulgated thereunder. This letter speaks as of its date, and we undertake no (and hereby disclaim any) obligation to update this letter.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Lowenstein Sandler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LOWENSTEIN SANDLER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1131570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1851660" cy="5657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851660" cy="56578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168275</wp:posOffset>
            </wp:positionV>
            <wp:extent cx="1114425" cy="1645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111442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 Fuse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Executive Drive,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Orange, New Jersey 07052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acted as New York counsel to Bel Fuse Inc., a corporation organized under the laws of the State of New Jersey (the “Company”), in connection with the preparation and filing by the Company with the Securities and Exchange Commission (the “Commission”) of an automatic shelf registration statement on Form S-3ASR (the “Registration Statement”), relating to the registration under the Securities Act of 1933, as amended (the “Securities Ac”"), of the offer and sale from time to time of (i) shares of Class A common stock of the Company, par value $0.10 per share (the “Class A Common Stock"),</w:t>
      </w:r>
    </w:p>
    <w:p>
      <w:pPr>
        <w:spacing w:after="0" w:line="3" w:lineRule="exact"/>
        <w:rPr>
          <w:sz w:val="20"/>
          <w:szCs w:val="20"/>
          <w:color w:val="auto"/>
        </w:rPr>
      </w:pPr>
    </w:p>
    <w:p>
      <w:pPr>
        <w:jc w:val="both"/>
        <w:ind w:firstLine="8"/>
        <w:spacing w:after="0" w:line="252" w:lineRule="auto"/>
        <w:tabs>
          <w:tab w:leader="none" w:pos="2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of the Company, par value $0.10 per share (the “Class B Common Stock”), (iii) shares of preferred stock of the Company (the “Preferred Stock”), (iv) one or more series of debt securities of the Company (the “Debt Securities”), (iv) depositary shares (“Depositary Shares”), (v) warrants to purchase Common Stock, Preferred Stock, Debt Securities, Depositary Shares, securities of third parties or other rights (“Warrants”), and (vii) units consisting of Debt Securities, Common Stock, Preferred Stock, Depositary Shares, and/or Warrants (“Units”). The Common Stock, the Preferred Stock, the Debt Securities, the Depositary Shares, the Warrants and the Units are collectively referred to herein as the “Securities.” The Securities that are being registered under the Registration Statement will have an indeterminate aggregate initial offering price and may be offered on a continuous or delayed basis pursuant to the provisions of Rule 415 under the Securities Act.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Registration Statement includes a base prospectus relating to the offer and sale of the Securities (the “Base Prospectus”), which will be supplemented by one or more prospectus supplements in connection with the sale of the Securities. Each such prospectus supplement, together with the Base Prospectus, is referred to herein as a “Prospectus.” This opinion letter is rendered in accordance with the requirements of Item 601(b)(5) of Regulation S-K under the Securities Act, and no opinion is expressed herein as to any matter pertaining to the contents of the Registration Statement, the Base Prospectus or any Prospectus filed pursuant to Rule 424(b) with respect thereto, other than as expressly stated herein with respect to the enforceability of certain Securities under the laws of the State of New York.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spacing w:after="0" w:line="176"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ind w:left="980" w:right="2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indenture pursuant to which the Company's Debt Securities are to be issued (the “Indenture”), which is incorporated by reference as an exhibit to the Registration Statement;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we have deemed necessary or appropriate as a basis for the opinions set forth herein.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rendering the opinions contained herein, we have assumed that: (i) the Registration Statement and any supplements and amendments thereto will comply with all applicable laws and will remain effective and in compliance at the time of the offer, issuance and sale of any Securities thereunder; (ii) a Prospectus supplement describing each class or series of Securities offered pursuant to the Registration Statement, to the extent required by applicable law and relevant rules and regulations of the Commission, will be timely filed with the Commission and will comply with all applicable laws; (iii) the definitive terms of each class or series of Securities will have been established in accordance with the authorizing resolutions adopted by the Board (or an authorized committee thereof), the Company's organizational documents and applicable law; (iv) the Company will issue and deliver the Securities in the manner contemplated by the Registration Statement, including the Prospectus, and any Securities that consist of shares of capital stock will have been authorized and reserved for issuance, in each case within the limits of the then remaining authorized but unissued and unreserved amounts of such capital stock; (v) resolutions authorizing the Company to issue, offer and sell the Securities will have been adopted by the Board (or an authorized committee thereof) and will be in full force and effect at all times when the Securities are offered or sold by the Company; (vi) all Securities will be issued and sold in compliance with applicable federal and state securities laws and any applicable laws or regulations or any agreement or other instrument binding upon the Company; and (vii) the Indenture, any form of note under such Indenture, any deposit agreement and form of depositary receipt thereunder, any warrant agreement and form of warrant, and any unit agreement (each as applicable, the “Transaction Documents”) will be governed by and construed in accordance with the laws of the State of New York and will constitute valid and binding obligations of each party thereto other than the Company.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any Securities consisting of Debt Securities, we have further assumed that: (i) the Indenture will have been authorized, executed and delivered by the Company and an entity selected by the Company to act as trustee (the “Trustee”); (ii) the Debt Securities will be issued pursuant to the Indenture; (iii) all terms of the Debt Securities not provided for in the Indenture will have been established in accordance with the provisions thereof and reflected in appropriate documentation approved by appropriate corporate action and, if applicable, executed and delivered by the Company and authenticated by the Trustee; and (iv) the Debt Securities will be authorized, executed, authenticated, issued and delivered by the Company and authenticated by the Trustee in accordance with the provisions of the Indenture and applicable laws and sold as contemplated in the Registration Statement.</w:t>
      </w: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any Securities consisting of Depositary Shares, Warrants or Units, we have further assumed that the relevant Transaction Document (deposit agreement, warrant agreement or unit agreement, as applicable) will have been authorized, executed and delivered by the Company and the applicable counterparty, agent or depositary, and that the applicable Securities will be authorized, executed, authenticated, issued and delivered in accordance with such Transaction Document, the Registration Statement and applicable laws and sold as contemplated in the Registration Statement. We have also assumed that each component of any Depositary Shares or Units, to the extent issued by any person other than the Company, will constitute a valid and binding obligation of such person.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any Securities issuable upon exercise, exchange or conversion of other Securities, in addition to the above assumptions as applicable, we have further assumed that such Securities issuable upon such exercise, exchange or conversion will be presented for exercise, exchange or conversion in accordance with the terms thereof and authorized, executed, countersigned by the transfer agent or registrar therefor and delivered by the Company upon such exercise, exchange or conversion in accordance with the terms thereof.</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limitations stated herein, having considered such questions of law as we have deemed necessary as a basis for the opinions expressed below, we are of the opinion that:</w:t>
      </w:r>
    </w:p>
    <w:p>
      <w:pPr>
        <w:spacing w:after="0" w:line="162" w:lineRule="exact"/>
        <w:rPr>
          <w:sz w:val="20"/>
          <w:szCs w:val="20"/>
          <w:color w:val="auto"/>
        </w:rPr>
      </w:pPr>
    </w:p>
    <w:p>
      <w:pPr>
        <w:jc w:val="both"/>
        <w:ind w:left="660" w:hanging="328"/>
        <w:spacing w:after="0" w:line="272" w:lineRule="auto"/>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Debt Securities (including any Debt Securities issuable upon exercise, exchange or conversion of other Securities), upon receipt by the Company of such lawful consideration therefor as the Board (or an authorized committee thereof) may determine, will constitute valid and binding obligations of the Company under the laws of the State of New York, enforceable against the Company in accordance with their terms, subject to</w:t>
      </w:r>
    </w:p>
    <w:p>
      <w:pPr>
        <w:spacing w:after="0" w:line="1" w:lineRule="exact"/>
        <w:rPr>
          <w:rFonts w:ascii="Times New Roman" w:cs="Times New Roman" w:eastAsia="Times New Roman" w:hAnsi="Times New Roman"/>
          <w:sz w:val="17"/>
          <w:szCs w:val="17"/>
          <w:color w:val="auto"/>
        </w:rPr>
      </w:pPr>
    </w:p>
    <w:p>
      <w:pPr>
        <w:jc w:val="both"/>
        <w:ind w:left="660" w:hanging="4"/>
        <w:spacing w:after="0" w:line="255" w:lineRule="auto"/>
        <w:tabs>
          <w:tab w:leader="none" w:pos="89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185" w:lineRule="exact"/>
        <w:rPr>
          <w:rFonts w:ascii="Times New Roman" w:cs="Times New Roman" w:eastAsia="Times New Roman" w:hAnsi="Times New Roman"/>
          <w:sz w:val="18"/>
          <w:szCs w:val="18"/>
          <w:color w:val="auto"/>
        </w:rPr>
      </w:pPr>
    </w:p>
    <w:p>
      <w:pPr>
        <w:jc w:val="both"/>
        <w:ind w:left="660" w:right="20" w:hanging="328"/>
        <w:spacing w:after="0" w:line="258"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Shares, upon receipt by the Company of such lawful consideration thereof as the Board (or an authorized committee thereof) may determine, will constitute valid and binding obligations of the Company under the laws of the State of New York,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183" w:lineRule="exact"/>
        <w:rPr>
          <w:rFonts w:ascii="Times New Roman" w:cs="Times New Roman" w:eastAsia="Times New Roman" w:hAnsi="Times New Roman"/>
          <w:sz w:val="18"/>
          <w:szCs w:val="18"/>
          <w:color w:val="auto"/>
        </w:rPr>
      </w:pPr>
    </w:p>
    <w:p>
      <w:pPr>
        <w:jc w:val="both"/>
        <w:ind w:left="660" w:right="20" w:hanging="328"/>
        <w:spacing w:after="0" w:line="258"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upon receipt by the Company of such lawful consideration therefor as the Board (or an authorized committee thereof) may determine, will constitute valid and binding obligations of the Company under the laws of the State of New York,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upon receipt by the Company of such lawful consideration thereof as the Board (or an authorized committee thereof) may determine, will constitute valid and binding obligations of the Company under the laws of the State of New York,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The opinions expressed above are limited to questions arising under the laws of the State of New York that, in our experience, are normally applicable to transactions of the type contemplated by the Registration Statement. We do not express any opinion as to the laws of any other jurisdiction. We express no opinion herein with respect to (i) the corporate power or corporate authorization of the Company to execute, deliver or perform its obligations under any of the Securities or any Transaction Document, (ii) the valid existence, good standing or qualification of the Company under the laws of the State of New Jersey or any other jurisdiction or (iii) the validity, due authorization or issuance of, or the non-assessability of, any shares of Class A Common Stock, Class B Common Stock, Preferred Stock or other equity securities of the Company under the laws of the State of New Jersey or any other jurisdiction. In particular, we do not opine on any matters arising under or governed by the laws of the State of New Jersey, including the New Jersey Business Corporation Act or any other statute, regulation or rule of such jurisdiction.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opinion letter is for your benefit in connection with the Registration Statement and may be relied upon by you and by persons entitled to rely upon it pursuant to the applicable provisions of the Securities Act. The opinions expressed above are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5.2 to the Registration Statement and to the reference to our firm as counsel for the Company that has passed on certain legal matters with respect to the Securities appearing under the caption “Legal Matters” in the Base Prospectus forming part of the Registration Statement or any Prospectus. In giving this consent, we do not thereby admit that we are within the category of persons whose consent is required under Section 7 of the Securities Act or the rules and regulations of the Commission thereunder.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opinions expressed above are limited to the matters stated in this opinion letter, and no opinion is implied or may be inferred beyond those expressly stated in this opinion letter.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BEL FUSE INC /NJ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tcPr>
          <w:p>
            <w:pPr>
              <w:spacing w:after="0"/>
              <w:rPr>
                <w:sz w:val="12"/>
                <w:szCs w:val="12"/>
                <w:color w:val="auto"/>
              </w:rPr>
            </w:pP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60" w:type="dxa"/>
            <w:vAlign w:val="bottom"/>
            <w:gridSpan w:val="8"/>
          </w:tcPr>
          <w:p>
            <w:pPr>
              <w:ind w:left="4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A common</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50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par 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$0.10 per share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B common</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par 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$0.10 per share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Debt Securities</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Depository Shares</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Units</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w w:val="99"/>
              </w:rPr>
              <w:t>Fees Previously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A common</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par 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$0.10 per share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w w:val="99"/>
              </w:rPr>
              <w:t>Fees Previously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B common</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par 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$0.10 per share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w w:val="99"/>
              </w:rPr>
              <w:t>Fees Previously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w w:val="99"/>
              </w:rPr>
              <w:t>Fees Previously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w w:val="99"/>
              </w:rPr>
              <w:t>Fees Previously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Debt Securities</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w w:val="99"/>
              </w:rPr>
              <w:t>Fees Previously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Depository Shares</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w w:val="99"/>
              </w:rPr>
              <w:t>Fees Previously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Units</w:t>
            </w:r>
          </w:p>
        </w:tc>
        <w:tc>
          <w:tcPr>
            <w:tcW w:w="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50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940" w:type="dxa"/>
            <w:vAlign w:val="bottom"/>
            <w:gridSpan w:val="6"/>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gridSpan w:val="6"/>
            <w:vMerge w:val="continue"/>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55"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67" w:lineRule="exact"/>
        <w:rPr>
          <w:rFonts w:ascii="Times New Roman" w:cs="Times New Roman" w:eastAsia="Times New Roman" w:hAnsi="Times New Roman"/>
          <w:sz w:val="18"/>
          <w:szCs w:val="18"/>
          <w:color w:val="auto"/>
        </w:rPr>
      </w:pPr>
    </w:p>
    <w:p>
      <w:pPr>
        <w:jc w:val="both"/>
        <w:ind w:left="360" w:hanging="292"/>
        <w:spacing w:after="0" w:line="255"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67" w:lineRule="exact"/>
        <w:rPr>
          <w:rFonts w:ascii="Times New Roman" w:cs="Times New Roman" w:eastAsia="Times New Roman" w:hAnsi="Times New Roman"/>
          <w:sz w:val="18"/>
          <w:szCs w:val="18"/>
          <w:color w:val="auto"/>
        </w:rPr>
      </w:pPr>
    </w:p>
    <w:p>
      <w:pPr>
        <w:jc w:val="both"/>
        <w:ind w:left="360" w:hanging="292"/>
        <w:spacing w:after="0" w:line="255"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w:t>
      </w:r>
    </w:p>
    <w:p>
      <w:pPr>
        <w:sectPr>
          <w:pgSz w:w="11900" w:h="16864" w:orient="portrait"/>
          <w:cols w:equalWidth="0" w:num="1">
            <w:col w:w="11240"/>
          </w:cols>
          <w:pgMar w:left="320" w:top="108" w:right="339" w:bottom="0" w:gutter="0" w:footer="0" w:header="0"/>
        </w:sectPr>
      </w:pPr>
    </w:p>
    <w:bookmarkStart w:id="50" w:name="page51"/>
    <w:bookmarkEnd w:id="50"/>
    <w:p>
      <w:pPr>
        <w:spacing w:after="0" w:line="40" w:lineRule="exact"/>
        <w:rPr>
          <w:sz w:val="20"/>
          <w:szCs w:val="20"/>
          <w:color w:val="auto"/>
        </w:rPr>
      </w:pPr>
    </w:p>
    <w:p>
      <w:pPr>
        <w:ind w:left="341"/>
        <w:spacing w:after="0" w:line="282" w:lineRule="auto"/>
        <w:rPr>
          <w:sz w:val="20"/>
          <w:szCs w:val="20"/>
          <w:color w:val="auto"/>
        </w:rPr>
      </w:pPr>
      <w:r>
        <w:rPr>
          <w:rFonts w:ascii="Times New Roman" w:cs="Times New Roman" w:eastAsia="Times New Roman" w:hAnsi="Times New Roman"/>
          <w:sz w:val="18"/>
          <w:szCs w:val="18"/>
          <w:color w:val="auto"/>
        </w:rPr>
        <w:t>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54" w:lineRule="exact"/>
        <w:rPr>
          <w:sz w:val="20"/>
          <w:szCs w:val="20"/>
          <w:color w:val="auto"/>
        </w:rPr>
      </w:pPr>
    </w:p>
    <w:p>
      <w:pPr>
        <w:jc w:val="both"/>
        <w:ind w:left="341" w:hanging="292"/>
        <w:spacing w:after="0" w:line="255" w:lineRule="auto"/>
        <w:tabs>
          <w:tab w:leader="none" w:pos="3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jc w:val="both"/>
        <w:ind w:left="34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67" w:lineRule="exact"/>
        <w:rPr>
          <w:rFonts w:ascii="Times New Roman" w:cs="Times New Roman" w:eastAsia="Times New Roman" w:hAnsi="Times New Roman"/>
          <w:sz w:val="18"/>
          <w:szCs w:val="18"/>
          <w:color w:val="auto"/>
        </w:rPr>
      </w:pPr>
    </w:p>
    <w:p>
      <w:pPr>
        <w:jc w:val="both"/>
        <w:ind w:left="341" w:hanging="292"/>
        <w:spacing w:after="0" w:line="255" w:lineRule="auto"/>
        <w:tabs>
          <w:tab w:leader="none" w:pos="3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jc w:val="both"/>
        <w:ind w:left="34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67" w:lineRule="exact"/>
        <w:rPr>
          <w:rFonts w:ascii="Times New Roman" w:cs="Times New Roman" w:eastAsia="Times New Roman" w:hAnsi="Times New Roman"/>
          <w:sz w:val="18"/>
          <w:szCs w:val="18"/>
          <w:color w:val="auto"/>
        </w:rPr>
      </w:pPr>
    </w:p>
    <w:p>
      <w:pPr>
        <w:jc w:val="both"/>
        <w:ind w:left="341" w:hanging="292"/>
        <w:spacing w:after="0" w:line="255" w:lineRule="auto"/>
        <w:tabs>
          <w:tab w:leader="none" w:pos="3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jc w:val="both"/>
        <w:ind w:left="34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67" w:lineRule="exact"/>
        <w:rPr>
          <w:rFonts w:ascii="Times New Roman" w:cs="Times New Roman" w:eastAsia="Times New Roman" w:hAnsi="Times New Roman"/>
          <w:sz w:val="18"/>
          <w:szCs w:val="18"/>
          <w:color w:val="auto"/>
        </w:rPr>
      </w:pPr>
    </w:p>
    <w:p>
      <w:pPr>
        <w:jc w:val="both"/>
        <w:ind w:left="341" w:hanging="292"/>
        <w:spacing w:after="0" w:line="255" w:lineRule="auto"/>
        <w:tabs>
          <w:tab w:leader="none" w:pos="3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jc w:val="both"/>
        <w:ind w:left="34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67" w:lineRule="exact"/>
        <w:rPr>
          <w:rFonts w:ascii="Times New Roman" w:cs="Times New Roman" w:eastAsia="Times New Roman" w:hAnsi="Times New Roman"/>
          <w:sz w:val="18"/>
          <w:szCs w:val="18"/>
          <w:color w:val="auto"/>
        </w:rPr>
      </w:pPr>
    </w:p>
    <w:p>
      <w:pPr>
        <w:jc w:val="both"/>
        <w:ind w:left="341" w:hanging="292"/>
        <w:spacing w:after="0" w:line="255" w:lineRule="auto"/>
        <w:tabs>
          <w:tab w:leader="none" w:pos="3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jc w:val="both"/>
        <w:ind w:left="34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67" w:lineRule="exact"/>
        <w:rPr>
          <w:rFonts w:ascii="Times New Roman" w:cs="Times New Roman" w:eastAsia="Times New Roman" w:hAnsi="Times New Roman"/>
          <w:sz w:val="18"/>
          <w:szCs w:val="18"/>
          <w:color w:val="auto"/>
        </w:rPr>
      </w:pPr>
    </w:p>
    <w:p>
      <w:pPr>
        <w:jc w:val="both"/>
        <w:ind w:left="341" w:hanging="292"/>
        <w:spacing w:after="0" w:line="255" w:lineRule="auto"/>
        <w:tabs>
          <w:tab w:leader="none" w:pos="3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jc w:val="both"/>
        <w:ind w:left="34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68" w:lineRule="exact"/>
        <w:rPr>
          <w:sz w:val="20"/>
          <w:szCs w:val="20"/>
          <w:color w:val="auto"/>
        </w:rPr>
      </w:pPr>
    </w:p>
    <w:p>
      <w:pPr>
        <w:jc w:val="both"/>
        <w:ind w:left="381" w:hanging="381"/>
        <w:spacing w:after="0" w:line="258" w:lineRule="auto"/>
        <w:tabs>
          <w:tab w:leader="none" w:pos="3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w:t>
      </w:r>
    </w:p>
    <w:p>
      <w:pPr>
        <w:sectPr>
          <w:pgSz w:w="11900" w:h="16878" w:orient="portrait"/>
          <w:cols w:equalWidth="0" w:num="1">
            <w:col w:w="11221"/>
          </w:cols>
          <w:pgMar w:left="339" w:top="121" w:right="339" w:bottom="0" w:gutter="0" w:footer="0" w:header="0"/>
        </w:sectPr>
      </w:pPr>
    </w:p>
    <w:bookmarkStart w:id="51" w:name="page52"/>
    <w:bookmarkEnd w:id="51"/>
    <w:p>
      <w:pPr>
        <w:jc w:val="both"/>
        <w:ind w:left="388"/>
        <w:spacing w:after="0" w:line="282" w:lineRule="auto"/>
        <w:rPr>
          <w:sz w:val="20"/>
          <w:szCs w:val="20"/>
          <w:color w:val="auto"/>
        </w:rPr>
      </w:pPr>
      <w:r>
        <w:rPr>
          <w:rFonts w:ascii="Times New Roman" w:cs="Times New Roman" w:eastAsia="Times New Roman" w:hAnsi="Times New Roman"/>
          <w:sz w:val="18"/>
          <w:szCs w:val="18"/>
          <w:color w:val="auto"/>
        </w:rPr>
        <w:t>security. Separate consideration may or may not be received for securities that are issuable on exercise, conversion or exchange of other securities, or that are issued in units.</w:t>
      </w:r>
    </w:p>
    <w:p>
      <w:pPr>
        <w:spacing w:after="0" w:line="162" w:lineRule="exact"/>
        <w:rPr>
          <w:sz w:val="20"/>
          <w:szCs w:val="20"/>
          <w:color w:val="auto"/>
        </w:rPr>
      </w:pPr>
    </w:p>
    <w:p>
      <w:pPr>
        <w:jc w:val="both"/>
        <w:ind w:left="388"/>
        <w:spacing w:after="0" w:line="266" w:lineRule="auto"/>
        <w:rPr>
          <w:sz w:val="20"/>
          <w:szCs w:val="20"/>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68" w:lineRule="exact"/>
        <w:rPr>
          <w:sz w:val="20"/>
          <w:szCs w:val="20"/>
          <w:color w:val="auto"/>
        </w:rPr>
      </w:pPr>
    </w:p>
    <w:p>
      <w:pPr>
        <w:jc w:val="both"/>
        <w:ind w:left="368" w:hanging="368"/>
        <w:spacing w:after="0" w:line="255" w:lineRule="auto"/>
        <w:tabs>
          <w:tab w:leader="none" w:pos="3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jc w:val="both"/>
        <w:ind w:left="36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67" w:lineRule="exact"/>
        <w:rPr>
          <w:rFonts w:ascii="Times New Roman" w:cs="Times New Roman" w:eastAsia="Times New Roman" w:hAnsi="Times New Roman"/>
          <w:sz w:val="18"/>
          <w:szCs w:val="18"/>
          <w:color w:val="auto"/>
        </w:rPr>
      </w:pPr>
    </w:p>
    <w:p>
      <w:pPr>
        <w:jc w:val="both"/>
        <w:ind w:left="388" w:hanging="381"/>
        <w:spacing w:after="0" w:line="255" w:lineRule="auto"/>
        <w:tabs>
          <w:tab w:leader="none" w:pos="3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jc w:val="both"/>
        <w:ind w:left="38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67" w:lineRule="exact"/>
        <w:rPr>
          <w:rFonts w:ascii="Times New Roman" w:cs="Times New Roman" w:eastAsia="Times New Roman" w:hAnsi="Times New Roman"/>
          <w:sz w:val="18"/>
          <w:szCs w:val="18"/>
          <w:color w:val="auto"/>
        </w:rPr>
      </w:pPr>
    </w:p>
    <w:p>
      <w:pPr>
        <w:jc w:val="both"/>
        <w:ind w:left="388" w:hanging="381"/>
        <w:spacing w:after="0" w:line="255" w:lineRule="auto"/>
        <w:tabs>
          <w:tab w:leader="none" w:pos="3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jc w:val="both"/>
        <w:ind w:left="38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p>
      <w:pPr>
        <w:spacing w:after="0" w:line="67" w:lineRule="exact"/>
        <w:rPr>
          <w:rFonts w:ascii="Times New Roman" w:cs="Times New Roman" w:eastAsia="Times New Roman" w:hAnsi="Times New Roman"/>
          <w:sz w:val="18"/>
          <w:szCs w:val="18"/>
          <w:color w:val="auto"/>
        </w:rPr>
      </w:pPr>
    </w:p>
    <w:p>
      <w:pPr>
        <w:jc w:val="both"/>
        <w:ind w:left="388" w:hanging="381"/>
        <w:spacing w:after="0" w:line="255" w:lineRule="auto"/>
        <w:tabs>
          <w:tab w:leader="none" w:pos="3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securities of each identified class is being registered as may from time to time be issued at indeterminate prices and as may be issuable upon conversion, redemption, exchange, exercise or settlement of any securities registered hereunder, including under any applicable antidilution provisions. Any securities registered hereunder may be sold separately or as units with other securities registered hereunder.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188" w:lineRule="exact"/>
        <w:rPr>
          <w:rFonts w:ascii="Times New Roman" w:cs="Times New Roman" w:eastAsia="Times New Roman" w:hAnsi="Times New Roman"/>
          <w:sz w:val="18"/>
          <w:szCs w:val="18"/>
          <w:color w:val="auto"/>
        </w:rPr>
      </w:pPr>
    </w:p>
    <w:p>
      <w:pPr>
        <w:jc w:val="both"/>
        <w:ind w:left="38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pursuant to Rule 456(b) under the Securities Act of 1933, as amended (the "Securities Act"), and is excluding this information in reliance on Rule 456(b) and 457(r) under the Securities Act.. Any subsequent registration fees will be paid on a pay-as-you-go basis. The securities registered hereunder may be sold separately or in a combination with other securities registered hereby.</w:t>
      </w:r>
    </w:p>
    <w:sectPr>
      <w:pgSz w:w="11900" w:h="16838" w:orient="portrait"/>
      <w:cols w:equalWidth="0" w:num="1">
        <w:col w:w="11228"/>
      </w:cols>
      <w:pgMar w:left="332"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07"/>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lowerRoman"/>
      <w:start w:val="2"/>
    </w:lvl>
  </w:abstractNum>
  <w:abstractNum w:abstractNumId="4">
    <w:nsid w:val="B03E0C6"/>
    <w:multiLevelType w:val="hybridMultilevel"/>
    <w:lvl w:ilvl="0">
      <w:lvlJc w:val="left"/>
      <w:lvlText w:val="(%1)"/>
      <w:numFmt w:val="lowerRoman"/>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2"/>
    </w:lvl>
  </w:abstractNum>
  <w:abstractNum w:abstractNumId="8">
    <w:nsid w:val="2CA88611"/>
    <w:multiLevelType w:val="hybridMultilevel"/>
    <w:lvl w:ilvl="0">
      <w:lvlJc w:val="left"/>
      <w:lvlText w:val="(%1)"/>
      <w:numFmt w:val="lowerLetter"/>
      <w:start w:val="1"/>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1)"/>
      <w:numFmt w:val="lowerLetter"/>
      <w:start w:val="1"/>
    </w:lvl>
    <w:lvl w:ilvl="1">
      <w:lvlJc w:val="left"/>
      <w:lvlText w:val="(%2)"/>
      <w:numFmt w:val="lowerRoman"/>
      <w:start w:val="1"/>
    </w:lvl>
  </w:abstractNum>
  <w:abstractNum w:abstractNumId="11">
    <w:nsid w:val="3A95F874"/>
    <w:multiLevelType w:val="hybridMultilevel"/>
    <w:lvl w:ilvl="0">
      <w:lvlJc w:val="left"/>
      <w:lvlText w:val="(%1)"/>
      <w:numFmt w:val="lowerLetter"/>
      <w:start w:val="6"/>
    </w:lvl>
  </w:abstractNum>
  <w:abstractNum w:abstractNumId="12">
    <w:nsid w:val="8138641"/>
    <w:multiLevelType w:val="hybridMultilevel"/>
    <w:lvl w:ilvl="0">
      <w:lvlJc w:val="left"/>
      <w:lvlText w:val="(%1)"/>
      <w:numFmt w:val="lowerLetter"/>
      <w:start w:val="5"/>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2"/>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Letter"/>
      <w:start w:val="1"/>
    </w:lvl>
    <w:lvl w:ilvl="1">
      <w:lvlJc w:val="left"/>
      <w:lvlText w:val="(%2)"/>
      <w:numFmt w:val="lowerLetter"/>
      <w:start w:val="9"/>
    </w:lvl>
  </w:abstractNum>
  <w:abstractNum w:abstractNumId="18">
    <w:nsid w:val="4516DDE9"/>
    <w:multiLevelType w:val="hybridMultilevel"/>
    <w:lvl w:ilvl="0">
      <w:lvlJc w:val="left"/>
      <w:lvlText w:val="%1"/>
      <w:numFmt w:val="lowerLetter"/>
      <w:start w:val="1"/>
    </w:lvl>
    <w:lvl w:ilvl="1">
      <w:lvlJc w:val="left"/>
      <w:lvlText w:val="(%2)"/>
      <w:numFmt w:val="lowerLetter"/>
      <w:start w:val="35"/>
    </w:lvl>
  </w:abstractNum>
  <w:abstractNum w:abstractNumId="19">
    <w:nsid w:val="3006C83E"/>
    <w:multiLevelType w:val="hybridMultilevel"/>
    <w:lvl w:ilvl="0">
      <w:lvlJc w:val="left"/>
      <w:lvlText w:val="(%1)"/>
      <w:numFmt w:val="lowerLetter"/>
      <w:start w:val="3"/>
    </w:lvl>
    <w:lvl w:ilvl="1">
      <w:lvlJc w:val="left"/>
      <w:lvlText w:val="(%2)"/>
      <w:numFmt w:val="lowerLetter"/>
      <w:start w:val="9"/>
    </w:lvl>
  </w:abstractNum>
  <w:abstractNum w:abstractNumId="20">
    <w:nsid w:val="614FD4A1"/>
    <w:multiLevelType w:val="hybridMultilevel"/>
    <w:lvl w:ilvl="0">
      <w:lvlJc w:val="left"/>
      <w:lvlText w:val="%1"/>
      <w:numFmt w:val="lowerLetter"/>
      <w:start w:val="1"/>
    </w:lvl>
    <w:lvl w:ilvl="1">
      <w:lvlJc w:val="left"/>
      <w:lvlText w:val="(%2)"/>
      <w:numFmt w:val="lowerRoman"/>
      <w:start w:val="2"/>
    </w:lvl>
  </w:abstractNum>
  <w:abstractNum w:abstractNumId="21">
    <w:nsid w:val="419AC241"/>
    <w:multiLevelType w:val="hybridMultilevel"/>
    <w:lvl w:ilvl="0">
      <w:lvlJc w:val="left"/>
      <w:lvlText w:val="(%1)"/>
      <w:numFmt w:val="lowerLetter"/>
      <w:start w:val="4"/>
    </w:lvl>
    <w:lvl w:ilvl="1">
      <w:lvlJc w:val="left"/>
      <w:lvlText w:val="%2"/>
      <w:numFmt w:val="lowerRoman"/>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Letter"/>
      <w:start w:val="5"/>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6">
    <w:nsid w:val="77465F01"/>
    <w:multiLevelType w:val="hybridMultilevel"/>
    <w:lvl w:ilvl="0">
      <w:lvlJc w:val="left"/>
      <w:lvlText w:val="(%1)"/>
      <w:numFmt w:val="lowerLetter"/>
      <w:start w:val="2"/>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lowerLetter"/>
      <w:start w:val="2"/>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2"/>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4"/>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3"/>
    </w:lvl>
  </w:abstractNum>
  <w:abstractNum w:abstractNumId="39">
    <w:nsid w:val="1D4ED43B"/>
    <w:multiLevelType w:val="hybridMultilevel"/>
    <w:lvl w:ilvl="0">
      <w:lvlJc w:val="left"/>
      <w:lvlText w:val="(%1)"/>
      <w:numFmt w:val="lowerRoman"/>
      <w:start w:val="2"/>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3"/>
    </w:lvl>
  </w:abstractNum>
  <w:abstractNum w:abstractNumId="42">
    <w:nsid w:val="57E4CCAF"/>
    <w:multiLevelType w:val="hybridMultilevel"/>
    <w:lvl w:ilvl="0">
      <w:lvlJc w:val="left"/>
      <w:lvlText w:val="%1."/>
      <w:numFmt w:val="decimal"/>
      <w:start w:val="1"/>
    </w:lvl>
    <w:lvl w:ilvl="1">
      <w:lvlJc w:val="left"/>
      <w:lvlText w:val="(%2)"/>
      <w:numFmt w:val="lowerRoman"/>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4"/>
    </w:lvl>
  </w:abstractNum>
  <w:abstractNum w:abstractNumId="45">
    <w:nsid w:val="542289EC"/>
    <w:multiLevelType w:val="hybridMultilevel"/>
    <w:lvl w:ilvl="0">
      <w:lvlJc w:val="left"/>
      <w:lvlText w:val="(%1)"/>
      <w:numFmt w:val="decimal"/>
      <w:start w:val="10"/>
    </w:lvl>
  </w:abstractNum>
  <w:abstractNum w:abstractNumId="46">
    <w:nsid w:val="6DE91B1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jpeg"/><Relationship Id="rId69" Type="http://schemas.openxmlformats.org/officeDocument/2006/relationships/image" Target="media/image56.png"/><Relationship Id="rId70" Type="http://schemas.openxmlformats.org/officeDocument/2006/relationships/image" Target="media/image57.jpeg"/><Relationship Id="rId71" Type="http://schemas.openxmlformats.org/officeDocument/2006/relationships/image" Target="media/image58.png"/><Relationship Id="rId72" Type="http://schemas.openxmlformats.org/officeDocument/2006/relationships/image" Target="media/image59.jpeg"/><Relationship Id="rId73" Type="http://schemas.openxmlformats.org/officeDocument/2006/relationships/image" Target="media/image60.png"/><Relationship Id="rId74" Type="http://schemas.openxmlformats.org/officeDocument/2006/relationships/image" Target="media/image61.jpeg"/><Relationship Id="rId75" Type="http://schemas.openxmlformats.org/officeDocument/2006/relationships/image" Target="media/image62.jpe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14" Type="http://schemas.openxmlformats.org/officeDocument/2006/relationships/hyperlink" Target="http://www.sec.gov/Archives/edgar/data/729580/0000950110-98-000892.txt" TargetMode="External"/><Relationship Id="rId15" Type="http://schemas.openxmlformats.org/officeDocument/2006/relationships/hyperlink" Target="http://www.sec.gov/Archives/edgar/data/729580/000095011000000254/0000950110-00-000254.txt" TargetMode="External"/><Relationship Id="rId16" Type="http://schemas.openxmlformats.org/officeDocument/2006/relationships/hyperlink" Target="http://www.sec.gov/Archives/edgar/data/729580/000143774923028966/ex_582931.htm" TargetMode="External"/><Relationship Id="rId17" Type="http://schemas.openxmlformats.org/officeDocument/2006/relationships/hyperlink" Target="https://www.sec.gov/Archives/edgar/data/729580/000143774925005652/ex_780850.htm" TargetMode="External"/><Relationship Id="rId18" Type="http://schemas.openxmlformats.org/officeDocument/2006/relationships/hyperlink" Target="http://www.sec.gov/Archives/edgar/data/729580/000121390026055186/ea028990501ex23-1.htm" TargetMode="External"/><Relationship Id="rId19" Type="http://schemas.openxmlformats.org/officeDocument/2006/relationships/hyperlink" Target="http://www.sec.gov/Archives/edgar/data/729580/000121390026055186/ea028990501-s3asr_belfuse.htm#a_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2026-05-13T08:52:26Z</dcterms:created>
  <dcterms:modified xsi:type="dcterms:W3CDTF">2026-05-13T08:52:26Z</dcterms:modified>
</cp:coreProperties>
</file>