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Hamilton Richard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BEL FUSE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EXECUTIVE DRIVE,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ORANGE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07052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BEL FUSE INC /NJ</w:t>
              </w:r>
            </w:hyperlink>
            <w:r>
              <w:rPr/>
              <w:t xml:space="preserve"> [ </w:t>
            </w:r>
            <w:r>
              <w:rPr>
                <w:rFonts w:ascii="Times;serif" w:hAnsi="Times;serif"/>
                <w:color w:val="0000FF"/>
                <w:sz w:val="24"/>
                <w:shd w:fill="FFFFFF" w:val="clear"/>
              </w:rPr>
              <w:t>BELFB</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General Counsel</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1,355</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Mr. Hamilton was granted 1,355 restricted shares of Class B Common Stock on September 10, 2026. The restricted shares vest as follows: 452 shares vest as of September 10, 2027; 452 shares vest as of September 10, 2028; and 451 shares vest as of September 10, 2029.</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List:&amp;#160; Exhibit 24.1 &amp;#8211;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Lynn Hutkin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 w:hAnsi="Times New Roman"/>
          <w:caps w:val="false"/>
          <w:smallCaps w:val="false"/>
          <w:sz w:val="20"/>
        </w:rPr>
      </w:pPr>
      <w:bookmarkStart w:id="2" w:name="hamiltonpoa.htm"/>
      <w:bookmarkStart w:id="3" w:name="kshamiltonpoa"/>
      <w:bookmarkEnd w:id="2"/>
      <w:bookmarkEnd w:id="3"/>
      <w:r>
        <w:rPr>
          <w:rFonts w:ascii="Times New Roman" w:hAnsi="Times New Roman"/>
          <w:caps w:val="false"/>
          <w:smallCaps w:val="false"/>
          <w:sz w:val="20"/>
        </w:rPr>
        <w:t>Exhibit 24</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Know all by these presents, that the undersigned hereby constitutes and appoints each of </w:t>
      </w:r>
      <w:r>
        <w:rPr>
          <w:rFonts w:ascii="Times New Roman" w:hAnsi="Times New Roman"/>
          <w:caps w:val="false"/>
          <w:smallCaps w:val="false"/>
          <w:sz w:val="20"/>
          <w:u w:val="single"/>
        </w:rPr>
        <w:t>Lynn Hutkin</w:t>
      </w:r>
      <w:r>
        <w:rPr>
          <w:rFonts w:ascii="Times New Roman" w:hAnsi="Times New Roman"/>
          <w:caps w:val="false"/>
          <w:smallCaps w:val="false"/>
          <w:sz w:val="20"/>
        </w:rPr>
        <w:t>, his true and lawful attorney-in-fact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1"/>
        <w:gridCol w:w="9994"/>
      </w:tblGrid>
      <w:tr>
        <w:trPr/>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99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execute for and on behalf of the undersigned Schedules 13D and 13G, and Forms 3, 4 and 5 in accordance with Sections 13 and 16(a) of the Securities Exchange Act of 1934 and the rules thereunder;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0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do and perform any and all acts for and on behalf of the undersigned which may be necessary or desirable to complete the execution of any such Schedules 13D or 13G, and Forms 3, 4 or 5, and the timely filing of such Forms with the United States Securities and Exchange Commission and any other authority;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3"/>
        <w:gridCol w:w="10012"/>
      </w:tblGrid>
      <w:tr>
        <w:trPr/>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1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take any other action of any type whatsoever in connection with the foregoing which, in the opinion of such attorney-in-fact, may be of benefit to, in the best interest of, or legally required by, the undersigned, including without limitation the execution and filing of a Form 4 with respect to a transaction which may be reported on a Form 5, it being understood that the documents executed by such attorney-in-fact on behalf of the undersigned pursuant to this Power of Attorney shall be in such form and shall contain such terms and conditions as such attorney-in-fact may approve in his discretion.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undersigned hereby grants to each such attorney-in-fact full power and authority to do and perform all and every act and thing whatsoever requisite, necessary and proper to be done in the exercise of any of the rights and powers herein granted, as fully and to all intents and purposes as he might or could do in person, with full power of substitution and resubstitution, hereby ratifying and confirming all that such attorney-in-fact, or his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Sections 13 and 16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Power of Attorney shall remain in full force and effect until the undersigned is no longer required to file any Schedules 13D and 13G and Forms 3, 4 and 5 in accordance with Sections 13 and 16(a) of the Securities Exchange Act of 1934 and the rules thereunder with respect to the undersigned's holdings of and transactions in securities issued by Bel Fuse Inc. unless earlier revoked by the undersigned in a signed writing delivered to the foregoing attorneys-in-fact.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the undersigned has caused this Power of Attorney to be executed as of this 28th day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255" w:type="dxa"/>
        <w:jc w:val="left"/>
        <w:tblInd w:w="0" w:type="dxa"/>
        <w:tblLayout w:type="fixed"/>
        <w:tblCellMar>
          <w:top w:w="0" w:type="dxa"/>
          <w:left w:w="0" w:type="dxa"/>
          <w:bottom w:w="0" w:type="dxa"/>
          <w:right w:w="0" w:type="dxa"/>
        </w:tblCellMar>
      </w:tblPr>
      <w:tblGrid>
        <w:gridCol w:w="60"/>
        <w:gridCol w:w="2195"/>
      </w:tblGrid>
      <w:tr>
        <w:trPr/>
        <w:tc>
          <w:tcPr>
            <w:tcW w:w="6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u w:val="single"/>
              </w:rPr>
            </w:pPr>
            <w:r>
              <w:rPr>
                <w:u w:val="single"/>
              </w:rPr>
              <w:t>/s/Richard E. Hamilton</w:t>
            </w:r>
          </w:p>
        </w:tc>
      </w:tr>
      <w:tr>
        <w:trPr/>
        <w:tc>
          <w:tcPr>
            <w:tcW w:w="6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pPr>
            <w:r>
              <w:rPr/>
              <w:t>Richard E. Hamilton</w:t>
            </w:r>
          </w:p>
        </w:tc>
      </w:tr>
    </w:tbl>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8788" TargetMode="External"/><Relationship Id="rId3" Type="http://schemas.openxmlformats.org/officeDocument/2006/relationships/hyperlink" Target="http://www.sec.gov/cgi-bin/browse-edgar?action=getcompany&amp;CIK=000072958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932</Words>
  <Characters>4786</Characters>
  <CharactersWithSpaces>5668</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