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3780" w:type="dxa"/>
            <w:vAlign w:val="bottom"/>
            <w:gridSpan w:val="4"/>
          </w:tcPr>
          <w:p>
            <w:pPr>
              <w:jc w:val="center"/>
              <w:ind w:left="312"/>
              <w:spacing w:after="0"/>
              <w:rPr>
                <w:sz w:val="20"/>
                <w:szCs w:val="20"/>
                <w:color w:val="auto"/>
              </w:rPr>
            </w:pPr>
            <w:r>
              <w:rPr>
                <w:rFonts w:ascii="Times New Roman" w:cs="Times New Roman" w:eastAsia="Times New Roman" w:hAnsi="Times New Roman"/>
                <w:sz w:val="14"/>
                <w:szCs w:val="14"/>
                <w:color w:val="auto"/>
                <w:w w:val="98"/>
              </w:rPr>
              <w:t>Date of report (Date of earliest event reported): May 22, 2026</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314"/>
        </w:trPr>
        <w:tc>
          <w:tcPr>
            <w:tcW w:w="3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BEL FUSE INC.</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75"/>
        </w:trPr>
        <w:tc>
          <w:tcPr>
            <w:tcW w:w="3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(Exact Name of Registrant as Specified in its Charter)</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326"/>
        </w:trPr>
        <w:tc>
          <w:tcPr>
            <w:tcW w:w="3560" w:type="dxa"/>
            <w:vAlign w:val="bottom"/>
          </w:tcPr>
          <w:p>
            <w:pPr>
              <w:jc w:val="center"/>
              <w:ind w:left="332"/>
              <w:spacing w:after="0"/>
              <w:rPr>
                <w:sz w:val="20"/>
                <w:szCs w:val="20"/>
                <w:color w:val="auto"/>
              </w:rPr>
            </w:pPr>
            <w:r>
              <w:rPr>
                <w:rFonts w:ascii="Times New Roman" w:cs="Times New Roman" w:eastAsia="Times New Roman" w:hAnsi="Times New Roman"/>
                <w:sz w:val="14"/>
                <w:szCs w:val="14"/>
                <w:color w:val="auto"/>
                <w:w w:val="98"/>
              </w:rPr>
              <w:t>New Jersey</w:t>
            </w:r>
          </w:p>
        </w:tc>
        <w:tc>
          <w:tcPr>
            <w:tcW w:w="3680" w:type="dxa"/>
            <w:vAlign w:val="bottom"/>
            <w:gridSpan w:val="3"/>
          </w:tcPr>
          <w:p>
            <w:pPr>
              <w:jc w:val="center"/>
              <w:ind w:left="432"/>
              <w:spacing w:after="0"/>
              <w:rPr>
                <w:sz w:val="20"/>
                <w:szCs w:val="20"/>
                <w:color w:val="auto"/>
              </w:rPr>
            </w:pPr>
            <w:r>
              <w:rPr>
                <w:rFonts w:ascii="Times New Roman" w:cs="Times New Roman" w:eastAsia="Times New Roman" w:hAnsi="Times New Roman"/>
                <w:sz w:val="14"/>
                <w:szCs w:val="14"/>
                <w:color w:val="auto"/>
                <w:w w:val="95"/>
              </w:rPr>
              <w:t>000-11676</w:t>
            </w:r>
          </w:p>
        </w:tc>
        <w:tc>
          <w:tcPr>
            <w:tcW w:w="100" w:type="dxa"/>
            <w:vAlign w:val="bottom"/>
          </w:tcPr>
          <w:p>
            <w:pPr>
              <w:spacing w:after="0"/>
              <w:rPr>
                <w:sz w:val="24"/>
                <w:szCs w:val="24"/>
                <w:color w:val="auto"/>
              </w:rPr>
            </w:pPr>
          </w:p>
        </w:tc>
        <w:tc>
          <w:tcPr>
            <w:tcW w:w="3940" w:type="dxa"/>
            <w:vAlign w:val="bottom"/>
            <w:gridSpan w:val="3"/>
          </w:tcPr>
          <w:p>
            <w:pPr>
              <w:jc w:val="right"/>
              <w:ind w:right="1572"/>
              <w:spacing w:after="0"/>
              <w:rPr>
                <w:sz w:val="20"/>
                <w:szCs w:val="20"/>
                <w:color w:val="auto"/>
              </w:rPr>
            </w:pPr>
            <w:r>
              <w:rPr>
                <w:rFonts w:ascii="Times New Roman" w:cs="Times New Roman" w:eastAsia="Times New Roman" w:hAnsi="Times New Roman"/>
                <w:sz w:val="14"/>
                <w:szCs w:val="14"/>
                <w:color w:val="auto"/>
              </w:rPr>
              <w:t>22-1463699</w:t>
            </w:r>
          </w:p>
        </w:tc>
      </w:tr>
      <w:tr>
        <w:trPr>
          <w:trHeight w:val="166"/>
        </w:trPr>
        <w:tc>
          <w:tcPr>
            <w:tcW w:w="3560" w:type="dxa"/>
            <w:vAlign w:val="bottom"/>
            <w:tcBorders>
              <w:top w:val="single" w:sz="8" w:color="auto"/>
            </w:tcBorders>
          </w:tcPr>
          <w:p>
            <w:pPr>
              <w:jc w:val="center"/>
              <w:ind w:left="332"/>
              <w:spacing w:after="0"/>
              <w:rPr>
                <w:sz w:val="20"/>
                <w:szCs w:val="20"/>
                <w:color w:val="auto"/>
              </w:rPr>
            </w:pPr>
            <w:r>
              <w:rPr>
                <w:rFonts w:ascii="Times New Roman" w:cs="Times New Roman" w:eastAsia="Times New Roman" w:hAnsi="Times New Roman"/>
                <w:sz w:val="14"/>
                <w:szCs w:val="14"/>
                <w:color w:val="auto"/>
                <w:w w:val="97"/>
              </w:rPr>
              <w:t>(State or other jurisdiction of incorporation)</w:t>
            </w:r>
          </w:p>
        </w:tc>
        <w:tc>
          <w:tcPr>
            <w:tcW w:w="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(Commission File Number)</w:t>
            </w: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3520" w:type="dxa"/>
            <w:vAlign w:val="bottom"/>
            <w:tcBorders>
              <w:top w:val="single" w:sz="8" w:color="auto"/>
            </w:tcBorders>
          </w:tcPr>
          <w:p>
            <w:pPr>
              <w:jc w:val="center"/>
              <w:ind w:right="352"/>
              <w:spacing w:after="0"/>
              <w:rPr>
                <w:sz w:val="20"/>
                <w:szCs w:val="20"/>
                <w:color w:val="auto"/>
              </w:rPr>
            </w:pPr>
            <w:r>
              <w:rPr>
                <w:rFonts w:ascii="Times New Roman" w:cs="Times New Roman" w:eastAsia="Times New Roman" w:hAnsi="Times New Roman"/>
                <w:sz w:val="14"/>
                <w:szCs w:val="14"/>
                <w:color w:val="auto"/>
                <w:w w:val="97"/>
              </w:rPr>
              <w:t>(I.R.S. Employer Identification No.)</w:t>
            </w:r>
          </w:p>
        </w:tc>
      </w:tr>
      <w:tr>
        <w:trPr>
          <w:trHeight w:val="476"/>
        </w:trPr>
        <w:tc>
          <w:tcPr>
            <w:tcW w:w="7340" w:type="dxa"/>
            <w:vAlign w:val="bottom"/>
            <w:gridSpan w:val="5"/>
          </w:tcPr>
          <w:p>
            <w:pPr>
              <w:jc w:val="center"/>
              <w:ind w:left="12"/>
              <w:spacing w:after="0"/>
              <w:rPr>
                <w:sz w:val="20"/>
                <w:szCs w:val="20"/>
                <w:color w:val="auto"/>
              </w:rPr>
            </w:pPr>
            <w:r>
              <w:rPr>
                <w:rFonts w:ascii="Times New Roman" w:cs="Times New Roman" w:eastAsia="Times New Roman" w:hAnsi="Times New Roman"/>
                <w:sz w:val="14"/>
                <w:szCs w:val="14"/>
                <w:color w:val="auto"/>
                <w:w w:val="96"/>
              </w:rPr>
              <w:t>300 Executive Drive, Suite 300, West Orange, New Jersey</w:t>
            </w:r>
          </w:p>
        </w:tc>
        <w:tc>
          <w:tcPr>
            <w:tcW w:w="3940" w:type="dxa"/>
            <w:vAlign w:val="bottom"/>
            <w:gridSpan w:val="3"/>
          </w:tcPr>
          <w:p>
            <w:pPr>
              <w:jc w:val="right"/>
              <w:ind w:right="1532"/>
              <w:spacing w:after="0"/>
              <w:rPr>
                <w:sz w:val="20"/>
                <w:szCs w:val="20"/>
                <w:color w:val="auto"/>
              </w:rPr>
            </w:pPr>
            <w:r>
              <w:rPr>
                <w:rFonts w:ascii="Times New Roman" w:cs="Times New Roman" w:eastAsia="Times New Roman" w:hAnsi="Times New Roman"/>
                <w:sz w:val="14"/>
                <w:szCs w:val="14"/>
                <w:color w:val="auto"/>
              </w:rPr>
              <w:t>07052</w:t>
            </w:r>
          </w:p>
        </w:tc>
      </w:tr>
      <w:tr>
        <w:trPr>
          <w:trHeight w:val="166"/>
        </w:trPr>
        <w:tc>
          <w:tcPr>
            <w:tcW w:w="734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w w:val="97"/>
              </w:rPr>
              <w:t>(Address of principal executive offices)</w:t>
            </w:r>
          </w:p>
        </w:tc>
        <w:tc>
          <w:tcPr>
            <w:tcW w:w="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(Zip Code)</w:t>
            </w:r>
          </w:p>
        </w:tc>
      </w:tr>
    </w:tbl>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 (201) 432-0463</w:t>
      </w:r>
    </w:p>
    <w:p>
      <w:pPr>
        <w:spacing w:after="0" w:line="3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Not Applicable</w:t>
      </w:r>
    </w:p>
    <w:p>
      <w:pPr>
        <w:spacing w:after="0" w:line="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88" w:lineRule="exact"/>
        <w:rPr>
          <w:sz w:val="24"/>
          <w:szCs w:val="24"/>
          <w:color w:val="auto"/>
        </w:rPr>
      </w:pPr>
    </w:p>
    <w:p>
      <w:pPr>
        <w:ind w:left="460" w:hanging="459"/>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4" w:lineRule="exact"/>
        <w:rPr>
          <w:rFonts w:ascii="MS PGothic" w:cs="MS PGothic" w:eastAsia="MS PGothic" w:hAnsi="MS PGothic"/>
          <w:sz w:val="14"/>
          <w:szCs w:val="14"/>
          <w:color w:val="auto"/>
        </w:rPr>
      </w:pPr>
    </w:p>
    <w:p>
      <w:pPr>
        <w:ind w:left="460" w:hanging="459"/>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4" w:lineRule="exact"/>
        <w:rPr>
          <w:rFonts w:ascii="MS PGothic" w:cs="MS PGothic" w:eastAsia="MS PGothic" w:hAnsi="MS PGothic"/>
          <w:sz w:val="14"/>
          <w:szCs w:val="14"/>
          <w:color w:val="auto"/>
        </w:rPr>
      </w:pPr>
    </w:p>
    <w:p>
      <w:pPr>
        <w:ind w:left="460" w:hanging="459"/>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4" w:lineRule="exact"/>
        <w:rPr>
          <w:rFonts w:ascii="MS PGothic" w:cs="MS PGothic" w:eastAsia="MS PGothic" w:hAnsi="MS PGothic"/>
          <w:sz w:val="14"/>
          <w:szCs w:val="14"/>
          <w:color w:val="auto"/>
        </w:rPr>
      </w:pPr>
    </w:p>
    <w:p>
      <w:pPr>
        <w:ind w:left="460" w:hanging="459"/>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63" w:lineRule="exact"/>
        <w:rPr>
          <w:sz w:val="24"/>
          <w:szCs w:val="24"/>
          <w:color w:val="auto"/>
        </w:rPr>
      </w:pPr>
    </w:p>
    <w:tbl>
      <w:tblPr>
        <w:tblLayout w:type="fixed"/>
        <w:tblInd w:w="2260" w:type="dxa"/>
        <w:tblCellMar>
          <w:top w:w="0" w:type="dxa"/>
          <w:left w:w="0" w:type="dxa"/>
          <w:bottom w:w="0" w:type="dxa"/>
          <w:right w:w="0" w:type="dxa"/>
        </w:tblCellMar>
      </w:tblPr>
      <w:tr>
        <w:trPr>
          <w:trHeight w:val="177"/>
        </w:trPr>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w w:val="95"/>
              </w:rPr>
              <w:t>Title of Each Class</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w w:val="95"/>
              </w:rPr>
              <w:t>Trading Symbol</w:t>
            </w:r>
          </w:p>
        </w:tc>
        <w:tc>
          <w:tcPr>
            <w:tcW w:w="120" w:type="dxa"/>
            <w:vAlign w:val="bottom"/>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w w:val="96"/>
              </w:rPr>
              <w:t>Name of Exchange on Which Registered</w:t>
            </w:r>
          </w:p>
        </w:tc>
      </w:tr>
      <w:tr>
        <w:trPr>
          <w:trHeight w:val="141"/>
        </w:trPr>
        <w:tc>
          <w:tcPr>
            <w:tcW w:w="24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Class A Common Stock ($0.10 par value)</w:t>
            </w:r>
          </w:p>
        </w:tc>
        <w:tc>
          <w:tcPr>
            <w:tcW w:w="120" w:type="dxa"/>
            <w:vAlign w:val="bottom"/>
          </w:tcPr>
          <w:p>
            <w:pPr>
              <w:spacing w:after="0"/>
              <w:rPr>
                <w:sz w:val="12"/>
                <w:szCs w:val="12"/>
                <w:color w:val="auto"/>
              </w:rPr>
            </w:pPr>
          </w:p>
        </w:tc>
        <w:tc>
          <w:tcPr>
            <w:tcW w:w="13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4"/>
              </w:rPr>
              <w:t>BELFA</w:t>
            </w:r>
          </w:p>
        </w:tc>
        <w:tc>
          <w:tcPr>
            <w:tcW w:w="120" w:type="dxa"/>
            <w:vAlign w:val="bottom"/>
          </w:tcPr>
          <w:p>
            <w:pPr>
              <w:spacing w:after="0"/>
              <w:rPr>
                <w:sz w:val="12"/>
                <w:szCs w:val="12"/>
                <w:color w:val="auto"/>
              </w:rPr>
            </w:pPr>
          </w:p>
        </w:tc>
        <w:tc>
          <w:tcPr>
            <w:tcW w:w="2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Nasdaq Global Select Market</w:t>
            </w:r>
          </w:p>
        </w:tc>
      </w:tr>
      <w:tr>
        <w:trPr>
          <w:trHeight w:val="175"/>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Class B Common Stock ($0.10 par value)</w:t>
            </w:r>
          </w:p>
        </w:tc>
        <w:tc>
          <w:tcPr>
            <w:tcW w:w="1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BELFB</w:t>
            </w:r>
          </w:p>
        </w:tc>
        <w:tc>
          <w:tcPr>
            <w:tcW w:w="12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Nasdaq Global Select Market</w:t>
            </w:r>
          </w:p>
        </w:tc>
      </w:tr>
    </w:tbl>
    <w:p>
      <w:pPr>
        <w:spacing w:after="0" w:line="314" w:lineRule="exact"/>
        <w:rPr>
          <w:sz w:val="24"/>
          <w:szCs w:val="24"/>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6" w:lineRule="exact"/>
        <w:rPr>
          <w:sz w:val="24"/>
          <w:szCs w:val="24"/>
          <w:color w:val="auto"/>
        </w:rPr>
      </w:pPr>
    </w:p>
    <w:p>
      <w:pPr>
        <w:ind w:firstLine="245"/>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258445</wp:posOffset>
            </wp:positionV>
            <wp:extent cx="716597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36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jc w:val="both"/>
        <w:ind w:right="80"/>
        <w:spacing w:after="0" w:line="248" w:lineRule="auto"/>
        <w:rPr>
          <w:sz w:val="20"/>
          <w:szCs w:val="20"/>
          <w:color w:val="auto"/>
        </w:rPr>
      </w:pPr>
      <w:r>
        <w:rPr>
          <w:rFonts w:ascii="Times New Roman" w:cs="Times New Roman" w:eastAsia="Times New Roman" w:hAnsi="Times New Roman"/>
          <w:sz w:val="14"/>
          <w:szCs w:val="14"/>
          <w:color w:val="auto"/>
        </w:rPr>
        <w:t>As previously announced, effective the first quarter of 2026, Bel Fuse Inc. (“Bel” or the “Company”) began reporting results under the Aerospace, Defense &amp; Rugged Solutions and Industrial Technology &amp; Data Solutions (“ITDS”) reportable segments as part of a strategic realignment of its business units. In furtherance of this realignment, on May 22, 2026, the Company determined to name Kenneth Lai as Senior Vice President ITDS, effective late second quarter or early third quarter of 2026. In this role, Mr. Lai’s responsibilities expand to include the Company’s India and private label operations, in addition to China and other Asia locations. As a result of this change in responsibilities, Mr. Lai is no longer determined to be an “executive officer” or “officer” of the Company as defined in Rules 3b-7 and 16a-1(f) under the Securities Exchange Act of 1934, as amended,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regarding the 2026 Plan (as defined below) in Item 5.07 is incorporated herein by reference.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5.07. Submission of Matters to a Vote of Security Holders.</w:t>
      </w:r>
    </w:p>
    <w:p>
      <w:pPr>
        <w:spacing w:after="0" w:line="169"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4"/>
          <w:szCs w:val="14"/>
          <w:color w:val="auto"/>
        </w:rPr>
        <w:t>On May 26, 2026, Bel held its 2026 annual meeting of shareholders (the "2026 Annual Meeting"). At the 2026 Annual Meeting, the shareholders voted on the following proposals set forth below, as described in the Company's definitive proxy statement on Schedule 14A filed with the Securities and Exchange Commission on April 10, 2026 (the "Proxy Statement").</w:t>
      </w:r>
    </w:p>
    <w:p>
      <w:pPr>
        <w:spacing w:after="0" w:line="136"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4"/>
          <w:szCs w:val="14"/>
          <w:color w:val="auto"/>
        </w:rPr>
        <w:t>As indicated in the Proxy Statement, holders of record of the Company's Class A Common Stock at the close of business on March 31, 2026 (the record date fixed by the board of directors (the "Board")) were entitled to receive notice of, and to vote at, the 2026 Annual Meeting. At the close of business on the record date, there were a total of 2,115,263 shares of Class A Common Stock outstanding and entitled to vote at the 2026 Annual Meeting, each of which was entitled to one vote on all matters.</w:t>
      </w:r>
    </w:p>
    <w:p>
      <w:pPr>
        <w:spacing w:after="0" w:line="143"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4"/>
          <w:szCs w:val="14"/>
          <w:color w:val="auto"/>
        </w:rPr>
        <w:t>A total of 1,914,319 shares of Class A Common Stock were represented in person or by proxy at the 2026 Annual Meeting and entitled to vote. The final voting results from the 2026 Annual Meeting are as follows: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Proposal 1</w:t>
      </w:r>
      <w:r>
        <w:rPr>
          <w:rFonts w:ascii="Times New Roman" w:cs="Times New Roman" w:eastAsia="Times New Roman" w:hAnsi="Times New Roman"/>
          <w:sz w:val="14"/>
          <w:szCs w:val="14"/>
          <w:color w:val="auto"/>
        </w:rPr>
        <w:t>: The election of two nominees to serve as directors for three-year terms. The directors were elected by the following votes: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For</w:t>
            </w:r>
          </w:p>
        </w:tc>
        <w:tc>
          <w:tcPr>
            <w:tcW w:w="10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Withheld</w:t>
            </w:r>
          </w:p>
        </w:tc>
        <w:tc>
          <w:tcPr>
            <w:tcW w:w="10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Broker Non-Votes</w:t>
            </w:r>
          </w:p>
        </w:tc>
      </w:tr>
      <w:tr>
        <w:trPr>
          <w:trHeight w:val="141"/>
        </w:trPr>
        <w:tc>
          <w:tcPr>
            <w:tcW w:w="42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Rita V. Smith</w:t>
            </w:r>
          </w:p>
        </w:tc>
        <w:tc>
          <w:tcPr>
            <w:tcW w:w="100" w:type="dxa"/>
            <w:vAlign w:val="bottom"/>
          </w:tcPr>
          <w:p>
            <w:pPr>
              <w:spacing w:after="0"/>
              <w:rPr>
                <w:sz w:val="12"/>
                <w:szCs w:val="12"/>
                <w:color w:val="auto"/>
              </w:rPr>
            </w:pPr>
          </w:p>
        </w:tc>
        <w:tc>
          <w:tcPr>
            <w:tcW w:w="23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1,339,144</w:t>
            </w:r>
          </w:p>
        </w:tc>
        <w:tc>
          <w:tcPr>
            <w:tcW w:w="100" w:type="dxa"/>
            <w:vAlign w:val="bottom"/>
          </w:tcPr>
          <w:p>
            <w:pPr>
              <w:spacing w:after="0"/>
              <w:rPr>
                <w:sz w:val="12"/>
                <w:szCs w:val="12"/>
                <w:color w:val="auto"/>
              </w:rPr>
            </w:pPr>
          </w:p>
        </w:tc>
        <w:tc>
          <w:tcPr>
            <w:tcW w:w="23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416,757</w:t>
            </w:r>
          </w:p>
        </w:tc>
        <w:tc>
          <w:tcPr>
            <w:tcW w:w="100" w:type="dxa"/>
            <w:vAlign w:val="bottom"/>
          </w:tcPr>
          <w:p>
            <w:pPr>
              <w:spacing w:after="0"/>
              <w:rPr>
                <w:sz w:val="12"/>
                <w:szCs w:val="12"/>
                <w:color w:val="auto"/>
              </w:rPr>
            </w:pPr>
          </w:p>
        </w:tc>
        <w:tc>
          <w:tcPr>
            <w:tcW w:w="20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158,418</w:t>
            </w:r>
          </w:p>
        </w:tc>
      </w:tr>
      <w:tr>
        <w:trPr>
          <w:trHeight w:val="175"/>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Jacqueline Brito</w:t>
            </w:r>
          </w:p>
        </w:tc>
        <w:tc>
          <w:tcPr>
            <w:tcW w:w="246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color w:val="auto"/>
                <w:w w:val="96"/>
              </w:rPr>
              <w:t>1,303,369</w:t>
            </w:r>
          </w:p>
        </w:tc>
        <w:tc>
          <w:tcPr>
            <w:tcW w:w="244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color w:val="auto"/>
                <w:w w:val="96"/>
              </w:rPr>
              <w:t>452,532</w:t>
            </w:r>
          </w:p>
        </w:tc>
        <w:tc>
          <w:tcPr>
            <w:tcW w:w="2100" w:type="dxa"/>
            <w:vAlign w:val="bottom"/>
            <w:gridSpan w:val="2"/>
          </w:tcPr>
          <w:p>
            <w:pPr>
              <w:jc w:val="center"/>
              <w:ind w:left="32"/>
              <w:spacing w:after="0"/>
              <w:rPr>
                <w:sz w:val="20"/>
                <w:szCs w:val="20"/>
                <w:color w:val="auto"/>
              </w:rPr>
            </w:pPr>
            <w:r>
              <w:rPr>
                <w:rFonts w:ascii="Times New Roman" w:cs="Times New Roman" w:eastAsia="Times New Roman" w:hAnsi="Times New Roman"/>
                <w:sz w:val="14"/>
                <w:szCs w:val="14"/>
                <w:color w:val="auto"/>
                <w:w w:val="96"/>
              </w:rPr>
              <w:t>158,418</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Proposal 2: </w:t>
      </w:r>
      <w:r>
        <w:rPr>
          <w:rFonts w:ascii="Times New Roman" w:cs="Times New Roman" w:eastAsia="Times New Roman" w:hAnsi="Times New Roman"/>
          <w:sz w:val="14"/>
          <w:szCs w:val="14"/>
          <w:color w:val="auto"/>
        </w:rPr>
        <w:t>The ratification of the designation of Deloitte &amp; Touche LLP as the Company's independent registered public accounting firm for 2026. This proposal was approved by the following votes: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340" w:type="dxa"/>
            <w:vAlign w:val="bottom"/>
          </w:tcPr>
          <w:p>
            <w:pPr>
              <w:spacing w:after="0"/>
              <w:rPr>
                <w:sz w:val="15"/>
                <w:szCs w:val="15"/>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Against</w:t>
            </w:r>
          </w:p>
        </w:tc>
        <w:tc>
          <w:tcPr>
            <w:tcW w:w="340" w:type="dxa"/>
            <w:vAlign w:val="bottom"/>
          </w:tcPr>
          <w:p>
            <w:pPr>
              <w:spacing w:after="0"/>
              <w:rPr>
                <w:sz w:val="15"/>
                <w:szCs w:val="15"/>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Abstentions</w:t>
            </w:r>
          </w:p>
        </w:tc>
      </w:tr>
      <w:tr>
        <w:trPr>
          <w:trHeight w:val="166"/>
        </w:trPr>
        <w:tc>
          <w:tcPr>
            <w:tcW w:w="3460" w:type="dxa"/>
            <w:vAlign w:val="bottom"/>
          </w:tcPr>
          <w:p>
            <w:pPr>
              <w:jc w:val="right"/>
              <w:ind w:right="1392"/>
              <w:spacing w:after="0"/>
              <w:rPr>
                <w:sz w:val="20"/>
                <w:szCs w:val="20"/>
                <w:color w:val="auto"/>
              </w:rPr>
            </w:pPr>
            <w:r>
              <w:rPr>
                <w:rFonts w:ascii="Times New Roman" w:cs="Times New Roman" w:eastAsia="Times New Roman" w:hAnsi="Times New Roman"/>
                <w:sz w:val="14"/>
                <w:szCs w:val="14"/>
                <w:color w:val="auto"/>
              </w:rPr>
              <w:t>1,785,986</w:t>
            </w:r>
          </w:p>
        </w:tc>
        <w:tc>
          <w:tcPr>
            <w:tcW w:w="340" w:type="dxa"/>
            <w:vAlign w:val="bottom"/>
          </w:tcPr>
          <w:p>
            <w:pPr>
              <w:spacing w:after="0"/>
              <w:rPr>
                <w:sz w:val="14"/>
                <w:szCs w:val="14"/>
                <w:color w:val="auto"/>
              </w:rPr>
            </w:pPr>
          </w:p>
        </w:tc>
        <w:tc>
          <w:tcPr>
            <w:tcW w:w="3400" w:type="dxa"/>
            <w:vAlign w:val="bottom"/>
          </w:tcPr>
          <w:p>
            <w:pPr>
              <w:jc w:val="right"/>
              <w:ind w:right="1532"/>
              <w:spacing w:after="0"/>
              <w:rPr>
                <w:sz w:val="20"/>
                <w:szCs w:val="20"/>
                <w:color w:val="auto"/>
              </w:rPr>
            </w:pPr>
            <w:r>
              <w:rPr>
                <w:rFonts w:ascii="Times New Roman" w:cs="Times New Roman" w:eastAsia="Times New Roman" w:hAnsi="Times New Roman"/>
                <w:sz w:val="14"/>
                <w:szCs w:val="14"/>
                <w:color w:val="auto"/>
              </w:rPr>
              <w:t>428</w:t>
            </w:r>
          </w:p>
        </w:tc>
        <w:tc>
          <w:tcPr>
            <w:tcW w:w="340" w:type="dxa"/>
            <w:vAlign w:val="bottom"/>
          </w:tcPr>
          <w:p>
            <w:pPr>
              <w:spacing w:after="0"/>
              <w:rPr>
                <w:sz w:val="14"/>
                <w:szCs w:val="14"/>
                <w:color w:val="auto"/>
              </w:rPr>
            </w:pPr>
          </w:p>
        </w:tc>
        <w:tc>
          <w:tcPr>
            <w:tcW w:w="3400" w:type="dxa"/>
            <w:vAlign w:val="bottom"/>
          </w:tcPr>
          <w:p>
            <w:pPr>
              <w:jc w:val="right"/>
              <w:ind w:right="1412"/>
              <w:spacing w:after="0"/>
              <w:rPr>
                <w:sz w:val="20"/>
                <w:szCs w:val="20"/>
                <w:color w:val="auto"/>
              </w:rPr>
            </w:pPr>
            <w:r>
              <w:rPr>
                <w:rFonts w:ascii="Times New Roman" w:cs="Times New Roman" w:eastAsia="Times New Roman" w:hAnsi="Times New Roman"/>
                <w:sz w:val="14"/>
                <w:szCs w:val="14"/>
                <w:color w:val="auto"/>
              </w:rPr>
              <w:t>127,905</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Proposal 3: </w:t>
      </w:r>
      <w:r>
        <w:rPr>
          <w:rFonts w:ascii="Times New Roman" w:cs="Times New Roman" w:eastAsia="Times New Roman" w:hAnsi="Times New Roman"/>
          <w:sz w:val="14"/>
          <w:szCs w:val="14"/>
          <w:color w:val="auto"/>
        </w:rPr>
        <w:t>The approval, on an advisory basis, of the executive compensation of the Company's named executive officers. This proposal was approved by the following votes: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300" w:type="dxa"/>
            <w:vAlign w:val="bottom"/>
          </w:tcPr>
          <w:p>
            <w:pPr>
              <w:spacing w:after="0"/>
              <w:rPr>
                <w:sz w:val="15"/>
                <w:szCs w:val="15"/>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Against</w:t>
            </w:r>
          </w:p>
        </w:tc>
        <w:tc>
          <w:tcPr>
            <w:tcW w:w="280" w:type="dxa"/>
            <w:vAlign w:val="bottom"/>
          </w:tcPr>
          <w:p>
            <w:pPr>
              <w:spacing w:after="0"/>
              <w:rPr>
                <w:sz w:val="15"/>
                <w:szCs w:val="15"/>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Abstentions</w:t>
            </w:r>
          </w:p>
        </w:tc>
        <w:tc>
          <w:tcPr>
            <w:tcW w:w="30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Broker Non-Votes</w:t>
            </w:r>
          </w:p>
        </w:tc>
      </w:tr>
      <w:tr>
        <w:trPr>
          <w:trHeight w:val="166"/>
        </w:trPr>
        <w:tc>
          <w:tcPr>
            <w:tcW w:w="1960" w:type="dxa"/>
            <w:vAlign w:val="bottom"/>
          </w:tcPr>
          <w:p>
            <w:pPr>
              <w:jc w:val="right"/>
              <w:ind w:right="632"/>
              <w:spacing w:after="0"/>
              <w:rPr>
                <w:sz w:val="20"/>
                <w:szCs w:val="20"/>
                <w:color w:val="auto"/>
              </w:rPr>
            </w:pPr>
            <w:r>
              <w:rPr>
                <w:rFonts w:ascii="Times New Roman" w:cs="Times New Roman" w:eastAsia="Times New Roman" w:hAnsi="Times New Roman"/>
                <w:sz w:val="14"/>
                <w:szCs w:val="14"/>
                <w:color w:val="auto"/>
              </w:rPr>
              <w:t>1,564,823</w:t>
            </w:r>
          </w:p>
        </w:tc>
        <w:tc>
          <w:tcPr>
            <w:tcW w:w="300" w:type="dxa"/>
            <w:vAlign w:val="bottom"/>
          </w:tcPr>
          <w:p>
            <w:pPr>
              <w:spacing w:after="0"/>
              <w:rPr>
                <w:sz w:val="14"/>
                <w:szCs w:val="14"/>
                <w:color w:val="auto"/>
              </w:rPr>
            </w:pPr>
          </w:p>
        </w:tc>
        <w:tc>
          <w:tcPr>
            <w:tcW w:w="3000" w:type="dxa"/>
            <w:vAlign w:val="bottom"/>
          </w:tcPr>
          <w:p>
            <w:pPr>
              <w:jc w:val="right"/>
              <w:ind w:right="1252"/>
              <w:spacing w:after="0"/>
              <w:rPr>
                <w:sz w:val="20"/>
                <w:szCs w:val="20"/>
                <w:color w:val="auto"/>
              </w:rPr>
            </w:pPr>
            <w:r>
              <w:rPr>
                <w:rFonts w:ascii="Times New Roman" w:cs="Times New Roman" w:eastAsia="Times New Roman" w:hAnsi="Times New Roman"/>
                <w:sz w:val="14"/>
                <w:szCs w:val="14"/>
                <w:color w:val="auto"/>
              </w:rPr>
              <w:t>20,528</w:t>
            </w:r>
          </w:p>
        </w:tc>
        <w:tc>
          <w:tcPr>
            <w:tcW w:w="280" w:type="dxa"/>
            <w:vAlign w:val="bottom"/>
          </w:tcPr>
          <w:p>
            <w:pPr>
              <w:spacing w:after="0"/>
              <w:rPr>
                <w:sz w:val="14"/>
                <w:szCs w:val="14"/>
                <w:color w:val="auto"/>
              </w:rPr>
            </w:pPr>
          </w:p>
        </w:tc>
        <w:tc>
          <w:tcPr>
            <w:tcW w:w="30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170,550</w:t>
            </w:r>
          </w:p>
        </w:tc>
        <w:tc>
          <w:tcPr>
            <w:tcW w:w="300" w:type="dxa"/>
            <w:vAlign w:val="bottom"/>
          </w:tcPr>
          <w:p>
            <w:pPr>
              <w:spacing w:after="0"/>
              <w:rPr>
                <w:sz w:val="14"/>
                <w:szCs w:val="14"/>
                <w:color w:val="auto"/>
              </w:rPr>
            </w:pPr>
          </w:p>
        </w:tc>
        <w:tc>
          <w:tcPr>
            <w:tcW w:w="2440" w:type="dxa"/>
            <w:vAlign w:val="bottom"/>
          </w:tcPr>
          <w:p>
            <w:pPr>
              <w:jc w:val="right"/>
              <w:ind w:right="932"/>
              <w:spacing w:after="0"/>
              <w:rPr>
                <w:sz w:val="20"/>
                <w:szCs w:val="20"/>
                <w:color w:val="auto"/>
              </w:rPr>
            </w:pPr>
            <w:r>
              <w:rPr>
                <w:rFonts w:ascii="Times New Roman" w:cs="Times New Roman" w:eastAsia="Times New Roman" w:hAnsi="Times New Roman"/>
                <w:sz w:val="14"/>
                <w:szCs w:val="14"/>
                <w:color w:val="auto"/>
              </w:rPr>
              <w:t>158,418</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Proposal 4: </w:t>
      </w:r>
      <w:r>
        <w:rPr>
          <w:rFonts w:ascii="Times New Roman" w:cs="Times New Roman" w:eastAsia="Times New Roman" w:hAnsi="Times New Roman"/>
          <w:sz w:val="14"/>
          <w:szCs w:val="14"/>
          <w:color w:val="auto"/>
        </w:rPr>
        <w:t>The approval of the 2026 Equity Compensation Plan (previously approved by the board of directors of the Company) (the "2026 Plan"). This proposal was approved by the following votes: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300" w:type="dxa"/>
            <w:vAlign w:val="bottom"/>
          </w:tcPr>
          <w:p>
            <w:pPr>
              <w:spacing w:after="0"/>
              <w:rPr>
                <w:sz w:val="15"/>
                <w:szCs w:val="15"/>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Against</w:t>
            </w:r>
          </w:p>
        </w:tc>
        <w:tc>
          <w:tcPr>
            <w:tcW w:w="280" w:type="dxa"/>
            <w:vAlign w:val="bottom"/>
          </w:tcPr>
          <w:p>
            <w:pPr>
              <w:spacing w:after="0"/>
              <w:rPr>
                <w:sz w:val="15"/>
                <w:szCs w:val="15"/>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Abstentions</w:t>
            </w:r>
          </w:p>
        </w:tc>
        <w:tc>
          <w:tcPr>
            <w:tcW w:w="30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Broker Non-Votes</w:t>
            </w:r>
          </w:p>
        </w:tc>
      </w:tr>
      <w:tr>
        <w:trPr>
          <w:trHeight w:val="166"/>
        </w:trPr>
        <w:tc>
          <w:tcPr>
            <w:tcW w:w="1960" w:type="dxa"/>
            <w:vAlign w:val="bottom"/>
          </w:tcPr>
          <w:p>
            <w:pPr>
              <w:jc w:val="right"/>
              <w:ind w:right="632"/>
              <w:spacing w:after="0"/>
              <w:rPr>
                <w:sz w:val="20"/>
                <w:szCs w:val="20"/>
                <w:color w:val="auto"/>
              </w:rPr>
            </w:pPr>
            <w:r>
              <w:rPr>
                <w:rFonts w:ascii="Times New Roman" w:cs="Times New Roman" w:eastAsia="Times New Roman" w:hAnsi="Times New Roman"/>
                <w:sz w:val="14"/>
                <w:szCs w:val="14"/>
                <w:color w:val="auto"/>
              </w:rPr>
              <w:t>1,571,450</w:t>
            </w:r>
          </w:p>
        </w:tc>
        <w:tc>
          <w:tcPr>
            <w:tcW w:w="300" w:type="dxa"/>
            <w:vAlign w:val="bottom"/>
          </w:tcPr>
          <w:p>
            <w:pPr>
              <w:spacing w:after="0"/>
              <w:rPr>
                <w:sz w:val="14"/>
                <w:szCs w:val="14"/>
                <w:color w:val="auto"/>
              </w:rPr>
            </w:pPr>
          </w:p>
        </w:tc>
        <w:tc>
          <w:tcPr>
            <w:tcW w:w="3000" w:type="dxa"/>
            <w:vAlign w:val="bottom"/>
          </w:tcPr>
          <w:p>
            <w:pPr>
              <w:jc w:val="right"/>
              <w:ind w:right="1252"/>
              <w:spacing w:after="0"/>
              <w:rPr>
                <w:sz w:val="20"/>
                <w:szCs w:val="20"/>
                <w:color w:val="auto"/>
              </w:rPr>
            </w:pPr>
            <w:r>
              <w:rPr>
                <w:rFonts w:ascii="Times New Roman" w:cs="Times New Roman" w:eastAsia="Times New Roman" w:hAnsi="Times New Roman"/>
                <w:sz w:val="14"/>
                <w:szCs w:val="14"/>
                <w:color w:val="auto"/>
              </w:rPr>
              <w:t>13,739</w:t>
            </w:r>
          </w:p>
        </w:tc>
        <w:tc>
          <w:tcPr>
            <w:tcW w:w="280" w:type="dxa"/>
            <w:vAlign w:val="bottom"/>
          </w:tcPr>
          <w:p>
            <w:pPr>
              <w:spacing w:after="0"/>
              <w:rPr>
                <w:sz w:val="14"/>
                <w:szCs w:val="14"/>
                <w:color w:val="auto"/>
              </w:rPr>
            </w:pPr>
          </w:p>
        </w:tc>
        <w:tc>
          <w:tcPr>
            <w:tcW w:w="300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170,712</w:t>
            </w:r>
          </w:p>
        </w:tc>
        <w:tc>
          <w:tcPr>
            <w:tcW w:w="300" w:type="dxa"/>
            <w:vAlign w:val="bottom"/>
          </w:tcPr>
          <w:p>
            <w:pPr>
              <w:spacing w:after="0"/>
              <w:rPr>
                <w:sz w:val="14"/>
                <w:szCs w:val="14"/>
                <w:color w:val="auto"/>
              </w:rPr>
            </w:pPr>
          </w:p>
        </w:tc>
        <w:tc>
          <w:tcPr>
            <w:tcW w:w="2440" w:type="dxa"/>
            <w:vAlign w:val="bottom"/>
          </w:tcPr>
          <w:p>
            <w:pPr>
              <w:jc w:val="right"/>
              <w:ind w:right="932"/>
              <w:spacing w:after="0"/>
              <w:rPr>
                <w:sz w:val="20"/>
                <w:szCs w:val="20"/>
                <w:color w:val="auto"/>
              </w:rPr>
            </w:pPr>
            <w:r>
              <w:rPr>
                <w:rFonts w:ascii="Times New Roman" w:cs="Times New Roman" w:eastAsia="Times New Roman" w:hAnsi="Times New Roman"/>
                <w:sz w:val="14"/>
                <w:szCs w:val="14"/>
                <w:color w:val="auto"/>
              </w:rPr>
              <w:t>158,418</w:t>
            </w:r>
          </w:p>
        </w:tc>
      </w:tr>
    </w:tbl>
    <w:p>
      <w:pPr>
        <w:spacing w:after="0" w:line="138"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4"/>
          <w:szCs w:val="14"/>
          <w:color w:val="auto"/>
        </w:rPr>
        <w:t>The material features of the 2026 Plan are described in Proposal 4 of the Proxy Statement, as qualified entirely by reference to the 2026 Plan filed as Exhibit 10.1 hereto. This description of the 2026 Plan and Exhibit 10.1 are also incorporated herein by reference.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Proposal 5: </w:t>
      </w:r>
      <w:r>
        <w:rPr>
          <w:rFonts w:ascii="Times New Roman" w:cs="Times New Roman" w:eastAsia="Times New Roman" w:hAnsi="Times New Roman"/>
          <w:sz w:val="14"/>
          <w:szCs w:val="14"/>
          <w:color w:val="auto"/>
        </w:rPr>
        <w:t>A shareholder proposal to provide Class A Common Shareholders with the right to convert their shares into Class B Common Stock. This proposal was rejected by the following votes: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680" w:type="dxa"/>
            <w:vAlign w:val="bottom"/>
            <w:tcBorders>
              <w:bottom w:val="single" w:sz="8" w:color="auto"/>
            </w:tcBorders>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rPr>
              <w:t>For</w:t>
            </w: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Against</w:t>
            </w:r>
          </w:p>
        </w:tc>
        <w:tc>
          <w:tcPr>
            <w:tcW w:w="280" w:type="dxa"/>
            <w:vAlign w:val="bottom"/>
          </w:tcPr>
          <w:p>
            <w:pPr>
              <w:spacing w:after="0"/>
              <w:rPr>
                <w:sz w:val="15"/>
                <w:szCs w:val="15"/>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Abstentions</w:t>
            </w:r>
          </w:p>
        </w:tc>
        <w:tc>
          <w:tcPr>
            <w:tcW w:w="300" w:type="dxa"/>
            <w:vAlign w:val="bottom"/>
          </w:tcPr>
          <w:p>
            <w:pPr>
              <w:spacing w:after="0"/>
              <w:rPr>
                <w:sz w:val="15"/>
                <w:szCs w:val="15"/>
                <w:color w:val="auto"/>
              </w:rPr>
            </w:pPr>
          </w:p>
        </w:tc>
        <w:tc>
          <w:tcPr>
            <w:tcW w:w="2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Broker Non-Votes</w:t>
            </w:r>
          </w:p>
        </w:tc>
        <w:tc>
          <w:tcPr>
            <w:tcW w:w="80" w:type="dxa"/>
            <w:vAlign w:val="bottom"/>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16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736,905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0" w:type="dxa"/>
            <w:vAlign w:val="bottom"/>
          </w:tcPr>
          <w:p>
            <w:pPr>
              <w:jc w:val="right"/>
              <w:ind w:right="1172"/>
              <w:spacing w:after="0"/>
              <w:rPr>
                <w:sz w:val="20"/>
                <w:szCs w:val="20"/>
                <w:color w:val="auto"/>
              </w:rPr>
            </w:pPr>
            <w:r>
              <w:rPr>
                <w:rFonts w:ascii="Times New Roman" w:cs="Times New Roman" w:eastAsia="Times New Roman" w:hAnsi="Times New Roman"/>
                <w:sz w:val="14"/>
                <w:szCs w:val="14"/>
                <w:color w:val="auto"/>
              </w:rPr>
              <w:t>1,016,457</w:t>
            </w:r>
          </w:p>
        </w:tc>
        <w:tc>
          <w:tcPr>
            <w:tcW w:w="280" w:type="dxa"/>
            <w:vAlign w:val="bottom"/>
          </w:tcPr>
          <w:p>
            <w:pPr>
              <w:spacing w:after="0"/>
              <w:rPr>
                <w:sz w:val="14"/>
                <w:szCs w:val="14"/>
                <w:color w:val="auto"/>
              </w:rPr>
            </w:pPr>
          </w:p>
        </w:tc>
        <w:tc>
          <w:tcPr>
            <w:tcW w:w="3000" w:type="dxa"/>
            <w:vAlign w:val="bottom"/>
          </w:tcPr>
          <w:p>
            <w:pPr>
              <w:jc w:val="right"/>
              <w:ind w:right="1272"/>
              <w:spacing w:after="0"/>
              <w:rPr>
                <w:sz w:val="20"/>
                <w:szCs w:val="20"/>
                <w:color w:val="auto"/>
              </w:rPr>
            </w:pPr>
            <w:r>
              <w:rPr>
                <w:rFonts w:ascii="Times New Roman" w:cs="Times New Roman" w:eastAsia="Times New Roman" w:hAnsi="Times New Roman"/>
                <w:sz w:val="14"/>
                <w:szCs w:val="14"/>
                <w:color w:val="auto"/>
              </w:rPr>
              <w:t>2,539</w:t>
            </w:r>
          </w:p>
        </w:tc>
        <w:tc>
          <w:tcPr>
            <w:tcW w:w="300" w:type="dxa"/>
            <w:vAlign w:val="bottom"/>
          </w:tcPr>
          <w:p>
            <w:pPr>
              <w:spacing w:after="0"/>
              <w:rPr>
                <w:sz w:val="14"/>
                <w:szCs w:val="14"/>
                <w:color w:val="auto"/>
              </w:rPr>
            </w:pPr>
          </w:p>
        </w:tc>
        <w:tc>
          <w:tcPr>
            <w:tcW w:w="244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color w:val="auto"/>
              </w:rPr>
              <w:t>158,418</w:t>
            </w:r>
          </w:p>
        </w:tc>
        <w:tc>
          <w:tcPr>
            <w:tcW w:w="80" w:type="dxa"/>
            <w:vAlign w:val="bottom"/>
          </w:tcPr>
          <w:p>
            <w:pPr>
              <w:spacing w:after="0"/>
              <w:rPr>
                <w:sz w:val="14"/>
                <w:szCs w:val="14"/>
                <w:color w:val="auto"/>
              </w:rPr>
            </w:pPr>
          </w:p>
        </w:tc>
      </w:tr>
      <w:tr>
        <w:trPr>
          <w:trHeight w:val="476"/>
        </w:trPr>
        <w:tc>
          <w:tcPr>
            <w:tcW w:w="52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tc>
        <w:tc>
          <w:tcPr>
            <w:tcW w:w="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0"/>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 Exhibits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9"/>
        </w:trPr>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Exhibit No.</w:t>
            </w:r>
          </w:p>
        </w:tc>
        <w:tc>
          <w:tcPr>
            <w:tcW w:w="220" w:type="dxa"/>
            <w:vAlign w:val="bottom"/>
          </w:tcPr>
          <w:p>
            <w:pPr>
              <w:spacing w:after="0"/>
              <w:rPr>
                <w:sz w:val="15"/>
                <w:szCs w:val="15"/>
                <w:color w:val="auto"/>
              </w:rPr>
            </w:pPr>
          </w:p>
        </w:tc>
        <w:tc>
          <w:tcPr>
            <w:tcW w:w="3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23"/>
        </w:trPr>
        <w:tc>
          <w:tcPr>
            <w:tcW w:w="20" w:type="dxa"/>
            <w:vAlign w:val="bottom"/>
          </w:tcPr>
          <w:p>
            <w:pPr>
              <w:spacing w:after="0"/>
              <w:rPr>
                <w:sz w:val="10"/>
                <w:szCs w:val="10"/>
                <w:color w:val="auto"/>
              </w:rPr>
            </w:pPr>
          </w:p>
        </w:tc>
        <w:tc>
          <w:tcPr>
            <w:tcW w:w="1680" w:type="dxa"/>
            <w:vAlign w:val="bottom"/>
            <w:tcBorders>
              <w:top w:val="single" w:sz="8" w:color="auto"/>
            </w:tcBorders>
          </w:tcPr>
          <w:p>
            <w:pPr>
              <w:jc w:val="right"/>
              <w:ind w:right="652"/>
              <w:spacing w:after="0" w:line="123" w:lineRule="exact"/>
              <w:rPr>
                <w:sz w:val="20"/>
                <w:szCs w:val="20"/>
                <w:color w:val="auto"/>
              </w:rPr>
            </w:pPr>
            <w:r>
              <w:rPr>
                <w:rFonts w:ascii="Times New Roman" w:cs="Times New Roman" w:eastAsia="Times New Roman" w:hAnsi="Times New Roman"/>
                <w:sz w:val="14"/>
                <w:szCs w:val="14"/>
                <w:color w:val="auto"/>
              </w:rPr>
              <w:t>10.1</w:t>
            </w:r>
          </w:p>
        </w:tc>
        <w:tc>
          <w:tcPr>
            <w:tcW w:w="22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7800" w:type="dxa"/>
            <w:vAlign w:val="bottom"/>
            <w:tcBorders>
              <w:top w:val="single" w:sz="8" w:color="auto"/>
              <w:bottom w:val="single" w:sz="8" w:color="0000EE"/>
            </w:tcBorders>
            <w:gridSpan w:val="7"/>
          </w:tcPr>
          <w:p>
            <w:pPr>
              <w:spacing w:after="0" w:line="123" w:lineRule="exact"/>
              <w:rPr>
                <w:rFonts w:ascii="Times New Roman" w:cs="Times New Roman" w:eastAsia="Times New Roman" w:hAnsi="Times New Roman"/>
                <w:sz w:val="14"/>
                <w:szCs w:val="14"/>
                <w:color w:val="0000EE"/>
                <w:w w:val="96"/>
              </w:rPr>
            </w:pPr>
            <w:hyperlink r:id="rId9">
              <w:r>
                <w:rPr>
                  <w:rFonts w:ascii="Times New Roman" w:cs="Times New Roman" w:eastAsia="Times New Roman" w:hAnsi="Times New Roman"/>
                  <w:sz w:val="14"/>
                  <w:szCs w:val="14"/>
                  <w:color w:val="0000EE"/>
                  <w:w w:val="96"/>
                </w:rPr>
                <w:t>2026 Plan (incorporated by reference to Appendix A to the Company’s Definitive Proxy Statement on Schedule 14A, filed on April 10, 2026).*</w:t>
              </w:r>
            </w:hyperlink>
          </w:p>
        </w:tc>
        <w:tc>
          <w:tcPr>
            <w:tcW w:w="1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r>
    </w:tbl>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164465</wp:posOffset>
            </wp:positionV>
            <wp:extent cx="7165975" cy="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380"/>
          </w:cols>
          <w:pgMar w:left="280" w:top="632"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color w:val="auto"/>
        </w:rPr>
        <w:t>SIGNATURE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65" w:lineRule="exact"/>
        <w:rPr>
          <w:sz w:val="20"/>
          <w:szCs w:val="20"/>
          <w:color w:val="auto"/>
        </w:rPr>
      </w:pPr>
    </w:p>
    <w:tbl>
      <w:tblPr>
        <w:tblLayout w:type="fixed"/>
        <w:tblInd w:w="2160" w:type="dxa"/>
        <w:tblCellMar>
          <w:top w:w="0" w:type="dxa"/>
          <w:left w:w="0" w:type="dxa"/>
          <w:bottom w:w="0" w:type="dxa"/>
          <w:right w:w="0" w:type="dxa"/>
        </w:tblCellMar>
      </w:tblPr>
      <w:tr>
        <w:trPr>
          <w:trHeight w:val="175"/>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Date: May 28, 2026</w:t>
            </w:r>
          </w:p>
        </w:tc>
        <w:tc>
          <w:tcPr>
            <w:tcW w:w="5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BEL FUSE INC.</w:t>
            </w:r>
          </w:p>
        </w:tc>
      </w:tr>
      <w:tr>
        <w:trPr>
          <w:trHeight w:val="166"/>
        </w:trPr>
        <w:tc>
          <w:tcPr>
            <w:tcW w:w="3260" w:type="dxa"/>
            <w:vAlign w:val="bottom"/>
          </w:tcPr>
          <w:p>
            <w:pPr>
              <w:spacing w:after="0"/>
              <w:rPr>
                <w:sz w:val="14"/>
                <w:szCs w:val="14"/>
                <w:color w:val="auto"/>
              </w:rPr>
            </w:pPr>
          </w:p>
        </w:tc>
        <w:tc>
          <w:tcPr>
            <w:tcW w:w="5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(Registrant)</w:t>
            </w:r>
          </w:p>
        </w:tc>
      </w:tr>
    </w:tbl>
    <w:p>
      <w:pPr>
        <w:spacing w:after="0" w:line="3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By:  /s/ Farouq Tuweiq</w:t>
      </w:r>
    </w:p>
    <w:p>
      <w:pPr>
        <w:spacing w:after="0" w:line="1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color w:val="auto"/>
        </w:rPr>
        <w:t>Farouq Tuweiq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-100965</wp:posOffset>
            </wp:positionV>
            <wp:extent cx="372554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725545" cy="6350"/>
                    </a:xfrm>
                    <a:prstGeom prst="rect">
                      <a:avLst/>
                    </a:prstGeom>
                    <a:noFill/>
                  </pic:spPr>
                </pic:pic>
              </a:graphicData>
            </a:graphic>
          </wp:anchor>
        </w:drawing>
      </w:r>
    </w:p>
    <w:p>
      <w:pPr>
        <w:ind w:left="5420"/>
        <w:spacing w:after="0"/>
        <w:rPr>
          <w:sz w:val="20"/>
          <w:szCs w:val="20"/>
          <w:color w:val="auto"/>
        </w:rPr>
      </w:pPr>
      <w:r>
        <w:rPr>
          <w:rFonts w:ascii="Times New Roman" w:cs="Times New Roman" w:eastAsia="Times New Roman" w:hAnsi="Times New Roman"/>
          <w:sz w:val="14"/>
          <w:szCs w:val="14"/>
          <w:color w:val="auto"/>
        </w:rPr>
        <w:t>President and Chief Executive Officer</w:t>
      </w:r>
    </w:p>
    <w:sectPr>
      <w:pgSz w:w="11900" w:h="16838" w:orient="portrait"/>
      <w:cols w:equalWidth="0" w:num="1">
        <w:col w:w="11280"/>
      </w:cols>
      <w:pgMar w:left="300" w:top="47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9" Type="http://schemas.openxmlformats.org/officeDocument/2006/relationships/hyperlink" Target="http://www.sec.gov/ix?doc=/Archives/edgar/data/0000729580/000143774926011998/belfa20260303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2026-05-28T15:34:08Z</dcterms:created>
  <dcterms:modified xsi:type="dcterms:W3CDTF">2026-05-28T15:34:08Z</dcterms:modified>
</cp:coreProperties>
</file>