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belfa20260826_s8.htm"/>
      <w:bookmarkStart w:id="1" w:name="ksbelfa20260826_s8"/>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filed with the Securities and Exchange Commission on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 xml:space="preserve">Registration No. 333-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REGISTRATION STATEMENT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0" w:type="dxa"/>
          <w:right w:w="0" w:type="dxa"/>
        </w:tblCellMar>
      </w:tblPr>
      <w:tblGrid>
        <w:gridCol w:w="4145"/>
      </w:tblGrid>
      <w:tr>
        <w:trPr/>
        <w:tc>
          <w:tcPr>
            <w:tcW w:w="4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Bel Fuse Inc.</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28" w:type="dxa"/>
          <w:right w:w="0" w:type="dxa"/>
        </w:tblCellMar>
      </w:tblPr>
      <w:tblGrid>
        <w:gridCol w:w="3725"/>
        <w:gridCol w:w="60"/>
        <w:gridCol w:w="1520"/>
      </w:tblGrid>
      <w:tr>
        <w:trPr/>
        <w:tc>
          <w:tcPr>
            <w:tcW w:w="37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Jersey</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22-1463699</w:t>
            </w:r>
          </w:p>
        </w:tc>
      </w:tr>
      <w:tr>
        <w:trPr/>
        <w:tc>
          <w:tcPr>
            <w:tcW w:w="372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organization)</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r>
        <w:trPr/>
        <w:tc>
          <w:tcPr>
            <w:tcW w:w="3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37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 Executive Drive, Suite 300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West Orange, New Jersey</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07052</w:t>
            </w:r>
          </w:p>
        </w:tc>
      </w:tr>
      <w:tr>
        <w:trPr/>
        <w:tc>
          <w:tcPr>
            <w:tcW w:w="372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6485" w:type="dxa"/>
        <w:jc w:val="left"/>
        <w:tblInd w:w="0" w:type="dxa"/>
        <w:tblLayout w:type="fixed"/>
        <w:tblCellMar>
          <w:top w:w="0" w:type="dxa"/>
          <w:left w:w="0" w:type="dxa"/>
          <w:bottom w:w="0" w:type="dxa"/>
          <w:right w:w="0" w:type="dxa"/>
        </w:tblCellMar>
      </w:tblPr>
      <w:tblGrid>
        <w:gridCol w:w="6485"/>
      </w:tblGrid>
      <w:tr>
        <w:trPr/>
        <w:tc>
          <w:tcPr>
            <w:tcW w:w="64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Bel Fuse Inc. 2026 Equity Compensation Plan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(Full title of the plan)</w:t>
            </w:r>
          </w:p>
        </w:tc>
      </w:tr>
      <w:tr>
        <w:trPr/>
        <w:tc>
          <w:tcPr>
            <w:tcW w:w="6485"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Farouq Tuweiq</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Bel Fuse Inc.</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 Executive Drive, Suite 300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West Orange, New Jersey 07052</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(201) 432-0463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Copies to:</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Scott Levi</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White &amp; Case LLP</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1221 Avenue of the Americas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York, New York 10022</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(212) 819-8200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address and telephone number, including area code, of agent for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1820"/>
        <w:gridCol w:w="230"/>
        <w:gridCol w:w="60"/>
        <w:gridCol w:w="2225"/>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Following the receipt of shareholder approval at Bel Fuse Inc.’s (the “Company” or the “Registrant”) 2026 annual meeting of shareholders held on May 26, 2026, the 2026 Equity Compensation Plan (the “2026 Plan”) became effective. The 2026 Plan replaces the Company’s 2020 Equity Compensation Plan (the “Prior Plan”). As of the effectiveness of the 2026 Plan, no further awards will be made under the Prior Plan, and the Prior Plan will continue to govern the terms and conditions of outstanding awards granted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registration statement on Form S-8 (this “Registration Statement”) is being filed for the purpose of registering 725,000 shares of Class B common stock, par value $0.10 per share (“Class B Common Stock”), newly authorized for issuance under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Rule 416(a) under the Securities Act of 1933, as amended (the “Securities Act”), this Registration Statement also includes an indeterminate number of additional shares of Class B Common Stock that may become issuable under the 2026 Plan by reason of anti-dilution and other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Plan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 Registrant Information and Employee Plan Annual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The information specified in Items 1 and 2 of Part I of Form S-8 is omitted from this Registration Statement in accordance with the provisions of Rule 428 under the Securities Act and the introductory note to Part I of Form S-8. The documents containing the information specified in Part I of this Registration Statement will be sent or given to each plan participant, as applicable, as required by Rule 428(b) under the Securities Act. Such documents are not required to be and are not being filed with the U.S. Securities and Exchange Commission (the “SEC”), either as part of this Registration Statement or as prospectuses or prospectus supplements pursuant to Rule 424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hereby incorporates by reference in this Registration Statement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Company’s Annual Report on </w:t>
            </w:r>
            <w:hyperlink r:id="rId2">
              <w:r>
                <w:rPr>
                  <w:rStyle w:val="InternetLink"/>
                  <w:rFonts w:ascii="Times New Roman" w:hAnsi="Times New Roman"/>
                  <w:caps w:val="false"/>
                  <w:smallCaps w:val="false"/>
                  <w:sz w:val="20"/>
                  <w:u w:val="single"/>
                </w:rPr>
                <w:t>Form 10-K</w:t>
              </w:r>
            </w:hyperlink>
            <w:r>
              <w:rPr>
                <w:rFonts w:ascii="Times New Roman" w:hAnsi="Times New Roman"/>
                <w:caps w:val="false"/>
                <w:smallCaps w:val="false"/>
                <w:sz w:val="20"/>
              </w:rPr>
              <w:t xml:space="preserve"> for the year ended December 31, 2025, filed with the SEC on February 24, 2026 (the “Annual Report”), including the portions of the Company’s </w:t>
            </w:r>
            <w:hyperlink r:id="rId3">
              <w:r>
                <w:rPr>
                  <w:rStyle w:val="InternetLink"/>
                  <w:rFonts w:ascii="Times New Roman" w:hAnsi="Times New Roman"/>
                  <w:caps w:val="false"/>
                  <w:smallCaps w:val="false"/>
                  <w:sz w:val="20"/>
                  <w:u w:val="single"/>
                </w:rPr>
                <w:t>Definitive Proxy Statement</w:t>
              </w:r>
            </w:hyperlink>
            <w:r>
              <w:rPr>
                <w:rFonts w:ascii="Times New Roman" w:hAnsi="Times New Roman"/>
                <w:caps w:val="false"/>
                <w:smallCaps w:val="false"/>
                <w:sz w:val="20"/>
              </w:rPr>
              <w:t> on Schedule 14A filed with the SEC on April 10, 2026 that are incorporated by reference in the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Company’s Quarterly Reports on Form 10-Q for the period ended March 31, 2026, filed with the SEC on </w:t>
            </w:r>
            <w:hyperlink r:id="rId4">
              <w:r>
                <w:rPr>
                  <w:rStyle w:val="InternetLink"/>
                  <w:rFonts w:ascii="Times New Roman" w:hAnsi="Times New Roman"/>
                  <w:caps w:val="false"/>
                  <w:smallCaps w:val="false"/>
                  <w:sz w:val="20"/>
                  <w:u w:val="single"/>
                </w:rPr>
                <w:t>May 5, 2026</w:t>
              </w:r>
            </w:hyperlink>
            <w:r>
              <w:rPr>
                <w:rFonts w:ascii="Times New Roman" w:hAnsi="Times New Roman"/>
                <w:caps w:val="false"/>
                <w:smallCaps w:val="false"/>
                <w:sz w:val="20"/>
              </w:rPr>
              <w:t xml:space="preserve">, and for the period ended June 30, 2026, filed with the SEC on </w:t>
            </w:r>
            <w:hyperlink r:id="rId5">
              <w:r>
                <w:rPr>
                  <w:rStyle w:val="InternetLink"/>
                  <w:rFonts w:ascii="Times New Roman" w:hAnsi="Times New Roman"/>
                  <w:caps w:val="false"/>
                  <w:smallCaps w:val="false"/>
                  <w:sz w:val="20"/>
                  <w:u w:val="single"/>
                </w:rPr>
                <w:t>August 4, 2026</w:t>
              </w:r>
            </w:hyperlink>
            <w:r>
              <w:rPr>
                <w:rFonts w:ascii="Times New Roman" w:hAnsi="Times New Roman"/>
                <w:caps w:val="false"/>
                <w:smallCaps w:val="false"/>
                <w:sz w:val="20"/>
              </w:rPr>
              <w: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the Company’s Current Reports on Form 8-K, filed with the SEC on </w:t>
            </w:r>
            <w:hyperlink r:id="rId6">
              <w:r>
                <w:rPr>
                  <w:rStyle w:val="InternetLink"/>
                  <w:rFonts w:ascii="Times New Roman" w:hAnsi="Times New Roman"/>
                  <w:caps w:val="false"/>
                  <w:smallCaps w:val="false"/>
                  <w:sz w:val="20"/>
                  <w:u w:val="single"/>
                </w:rPr>
                <w:t>January 15, 2026</w:t>
              </w:r>
            </w:hyperlink>
            <w:r>
              <w:rPr>
                <w:rFonts w:ascii="Times New Roman" w:hAnsi="Times New Roman"/>
                <w:caps w:val="false"/>
                <w:smallCaps w:val="false"/>
                <w:sz w:val="20"/>
              </w:rPr>
              <w:t>, </w:t>
            </w:r>
            <w:hyperlink r:id="rId7">
              <w:r>
                <w:rPr>
                  <w:rStyle w:val="InternetLink"/>
                  <w:rFonts w:ascii="Times New Roman" w:hAnsi="Times New Roman"/>
                  <w:caps w:val="false"/>
                  <w:smallCaps w:val="false"/>
                  <w:sz w:val="20"/>
                  <w:u w:val="single"/>
                </w:rPr>
                <w:t>April 6, 2026</w:t>
              </w:r>
            </w:hyperlink>
            <w:r>
              <w:rPr>
                <w:rFonts w:ascii="Times New Roman" w:hAnsi="Times New Roman"/>
                <w:caps w:val="false"/>
                <w:smallCaps w:val="false"/>
                <w:sz w:val="20"/>
              </w:rPr>
              <w:t xml:space="preserve">, </w:t>
            </w:r>
            <w:hyperlink r:id="rId8">
              <w:r>
                <w:rPr>
                  <w:rStyle w:val="InternetLink"/>
                  <w:rFonts w:ascii="Times New Roman" w:hAnsi="Times New Roman"/>
                  <w:caps w:val="false"/>
                  <w:smallCaps w:val="false"/>
                  <w:sz w:val="20"/>
                  <w:u w:val="single"/>
                </w:rPr>
                <w:t>May 12, 2026</w:t>
              </w:r>
            </w:hyperlink>
            <w:r>
              <w:rPr>
                <w:rFonts w:ascii="Times New Roman" w:hAnsi="Times New Roman"/>
                <w:caps w:val="false"/>
                <w:smallCaps w:val="false"/>
                <w:sz w:val="20"/>
              </w:rPr>
              <w:t xml:space="preserve">, </w:t>
            </w:r>
            <w:hyperlink r:id="rId9">
              <w:r>
                <w:rPr>
                  <w:rStyle w:val="InternetLink"/>
                  <w:rFonts w:ascii="Times New Roman" w:hAnsi="Times New Roman"/>
                  <w:caps w:val="false"/>
                  <w:smallCaps w:val="false"/>
                  <w:sz w:val="20"/>
                  <w:u w:val="single"/>
                </w:rPr>
                <w:t>May 14, 2026</w:t>
              </w:r>
            </w:hyperlink>
            <w:r>
              <w:rPr>
                <w:rFonts w:ascii="Times New Roman" w:hAnsi="Times New Roman"/>
                <w:caps w:val="false"/>
                <w:smallCaps w:val="false"/>
                <w:sz w:val="20"/>
              </w:rPr>
              <w:t xml:space="preserve">, </w:t>
            </w:r>
            <w:hyperlink r:id="rId10">
              <w:r>
                <w:rPr>
                  <w:rStyle w:val="InternetLink"/>
                  <w:rFonts w:ascii="Times New Roman" w:hAnsi="Times New Roman"/>
                  <w:caps w:val="false"/>
                  <w:smallCaps w:val="false"/>
                  <w:sz w:val="20"/>
                  <w:u w:val="single"/>
                </w:rPr>
                <w:t>May 28, 2026</w:t>
              </w:r>
            </w:hyperlink>
            <w:r>
              <w:rPr>
                <w:rFonts w:ascii="Times New Roman" w:hAnsi="Times New Roman"/>
                <w:caps w:val="false"/>
                <w:smallCaps w:val="false"/>
                <w:sz w:val="20"/>
              </w:rPr>
              <w:t xml:space="preserve">, and </w:t>
            </w:r>
            <w:hyperlink r:id="rId11">
              <w:r>
                <w:rPr>
                  <w:rStyle w:val="InternetLink"/>
                  <w:rFonts w:ascii="Times New Roman" w:hAnsi="Times New Roman"/>
                  <w:caps w:val="false"/>
                  <w:smallCaps w:val="false"/>
                  <w:sz w:val="20"/>
                  <w:u w:val="single"/>
                </w:rPr>
                <w:t>July 2, 2026</w:t>
              </w:r>
            </w:hyperlink>
            <w:r>
              <w:rPr>
                <w:rFonts w:ascii="Times New Roman" w:hAnsi="Times New Roman"/>
                <w:caps w:val="false"/>
                <w:smallCaps w:val="false"/>
                <w:sz w:val="20"/>
              </w:rPr>
              <w:t>, and the Company’s Current Report on Form 8-K/A filed on </w:t>
            </w:r>
            <w:hyperlink r:id="rId12">
              <w:r>
                <w:rPr>
                  <w:rStyle w:val="InternetLink"/>
                  <w:rFonts w:ascii="Times New Roman" w:hAnsi="Times New Roman"/>
                  <w:caps w:val="false"/>
                  <w:smallCaps w:val="false"/>
                  <w:sz w:val="20"/>
                  <w:u w:val="single"/>
                </w:rPr>
                <w:t>February 24, 2026</w:t>
              </w:r>
            </w:hyperlink>
            <w:r>
              <w:rPr>
                <w:rFonts w:ascii="Times New Roman" w:hAnsi="Times New Roman"/>
                <w:caps w:val="false"/>
                <w:smallCaps w:val="false"/>
                <w:sz w:val="20"/>
              </w:rPr>
              <w:t>, amending the Company’s Current Report on Form 8-K filed on </w:t>
            </w:r>
            <w:hyperlink r:id="rId13">
              <w:r>
                <w:rPr>
                  <w:rStyle w:val="InternetLink"/>
                  <w:rFonts w:ascii="Times New Roman" w:hAnsi="Times New Roman"/>
                  <w:caps w:val="false"/>
                  <w:smallCaps w:val="false"/>
                  <w:sz w:val="20"/>
                  <w:u w:val="single"/>
                </w:rPr>
                <w:t>December 10, 2025</w:t>
              </w:r>
            </w:hyperlink>
            <w:r>
              <w:rPr>
                <w:rFonts w:ascii="Times New Roman" w:hAnsi="Times New Roman"/>
                <w:caps w:val="false"/>
                <w:smallCaps w:val="false"/>
                <w:sz w:val="20"/>
              </w:rPr>
              <w:t> (in each case, excluding information furnished);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description of the Company’s Class B Common Stock contained in </w:t>
            </w:r>
            <w:hyperlink r:id="rId14">
              <w:r>
                <w:rPr>
                  <w:rStyle w:val="InternetLink"/>
                  <w:rFonts w:ascii="Times New Roman" w:hAnsi="Times New Roman"/>
                  <w:caps w:val="false"/>
                  <w:smallCaps w:val="false"/>
                  <w:sz w:val="20"/>
                  <w:u w:val="single"/>
                </w:rPr>
                <w:t>Exhibit 4.1</w:t>
              </w:r>
            </w:hyperlink>
            <w:r>
              <w:rPr>
                <w:rFonts w:ascii="Times New Roman" w:hAnsi="Times New Roman"/>
                <w:caps w:val="false"/>
                <w:smallCaps w:val="false"/>
                <w:sz w:val="20"/>
              </w:rPr>
              <w:t> to the Annual Report, including any amendment or report filed for the purpose of updating this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All documents subsequently filed by the Company pursuant to Sections 13(a), 13(c), 14 and 15(d) of the Securities Exchange Act of 1934, as amended (the “Exchange Act”) prior to the filing of a post-effective amendment to which this Registration Statement relates, which indicates that all securities offered hereby have been sold or which deregisters all securities then remaining unsold, shall be deemed to be incorporated by reference in this Registration Statement and to be a part hereof from the date of filing or furnishing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Notwithstanding the foregoing, no information is incorporated by reference in this Registration Statement where such information under applicable forms and regulations of the SEC is not deemed to be “filed” under Section 18 of the Exchange Act or otherwise subject to the liabilities of that section, unless the report or filing containing such information indicates that the information therein is to be considered “filed” under the Exchange Act or is to be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4. Description of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 applicable.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5. Interests of Named Experts and Counsel.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 applicable.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6. Indemnification of Directors and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Registrant is incorporated under the laws of the State of New Jersey. Subsection (2) of Section 3-5,Title 14A of the New Jersey Business Corporation Act empowers a corporation to indemnify a corporate agent who was or is a party or is threatened to be made a party to any threatened, pending or completed action, suit or proceeding, whether civil, criminal, administrative, arbitrative or investigative (other than an action by or in the right of the corporation) against reasonable costs (including attorneys’ fees), judgments, fines, penalties and amounts paid in settlement incurred by him in connection with such action, suit or proceeding if he acted in good faith and in a manner he reasonably believed to be in or not opposed to the best interests of the corporation, and, with respect to any criminal proceeding, had no reasonable cause to believe his conduct was unlawful. For purposes of the New Jersey Business Corporation Act, a “corporate agent” means any person who is or was a director, officer, employee or agent of the corporation or a person serving at the request of the corporation as a director, officer, trustee, employee or agent of another corporation or enterprise.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Subsection (3) of Section 3-5 empowers a corporation to indemnify a corporate agent against reasonable costs (including attorneys’ fees) incurred by him in connection with any proceeding by or in the right of the corporation to procure a judgment in its favor which involves such corporate agent by reason of the fact that he is or was a corporate agent if he acted in good faith and in a manner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Superior Court of New Jersey or the court in which such action or suit was brought shall determine that despite the adjudication of liability, such person is fairly and reasonably entitled to indemnity for such expenses which the court shall deem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Subsection (4) of Section 3-5 provides that to the extent that a corporate agent has been successful in the defense of any action, suit or proceeding referred to in subsections (2) and (3) or in the defense of any claim, issue or matter therein, he shall be indemnified against expenses (including attorneys’ fees) incurred by him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Subsection (5) of Section 3-5 provides that a corporation may indemnify a corporate agent in a specific case if it is determined that indemnification is proper because the corporate agent met the applicable standard of conduct, and such determination is made by any of the following: (a) the board of directors or a committee thereof, acting by a majority vote of a quorum consisting of disinterested directors; (b) independent legal counsel, if there is no quorum of disinterested directors or if the disinterested directors empowers counsel to make the determination; or (c)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Subsection (8) of Section 3-5 provides that the indemnification provisions in the law shall not exclude any other rights to indemnification that a director or officer may be entitled to under a provision of the certificate of incorporation, a by-law, an agreement, a vote of shareholders, or otherwise. That subsection explicitly permits indemnification for liabilities and expenses incurred in proceedings brought by or in the right of the corporation (derivative proceedings). The only limit on indemnification of directors and officers imposed by that subsection is that a corporation may not indemnify a director or officer if a judgment has established that the director’s or officer’s acts or omissions were a breach of his or her duty of loyalty, not in good faith, involved a knowing violation of the law, or resulted in receipt by the corporate agent of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Subsection (9) of Section 3-5 provides that a corporation is empowered to purchase and maintain insurance on behalf of a director or officer against any expenses or liabilities incurred in any proceeding by reason of that person being or having been a director or officer, whether or not the corporation would have the power to indemnify that person against expenses and liabilities under other provisions of the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Registrant’s Restated Certificate of Incorporation, as amended, contains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ARTICLE XIII Every person who is or was a director or officer of the Corporation, or any such person who serves or served in any similar capacity with any other enterprise at the request of the Corporation, shall be indemnified by the Corporation to the fullest extent permitted by law against all expenses and liabilities reasonably incurred by or imposed upon him in connection with any proceeding to which he may be made, or threatened to be made, a party, or in which he may become involved by reason of his being or having been a director or officer of the Corporation, or of serving or having served such other enterprise in such capacity, whether or not he is a director or officer of the Corporation, or continues to serve such other enterprise in such capacity, at the time the expenses or liabilities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ARTICLE XIV So long as permitted by law, no director of the Corporation shall be personally liable to the Corporation or its shareholders for damages for breach of any duty owed by such person to the Corporation or its shareholders; provided, however, that this Article XIV shall not relieve any person from liability to the extent provided by applicable law for any breach of duty based upon an act or omission (a) in breach of such person’s duty or loyalty to the Corporation or its shareholders, (b) not in good faith or involving a knowing violation of law or (c) resulting in receipt by such person of an improper personal benefit. No amendment to or repeal of this Article XIV and no amendment, repeal or termination of effectiveness of any law authorizing this Article XIV shall apply to or have any effect on the liability or alleged liability of any director for or with respect to any acts or omissions of such director occurring prior to such amendment, repeal or termination of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ARTICLE XV So long as permitted by law, no senior officer of the Corporation shall be personally liable to the Corporation or its shareholders for damages for breach of any duty owed by such person to the Corporation or its shareholders; provided, however, that this Article XV shall not relieve any person from liability to the extent provided by applicable law for any breach of duty based upon an act or omission (a) in breach of such person’s duty of loyalty to the Corporation or its shareholders, (b) not in good faith or involving a knowing violation of law or (c) resulting in receipt by such person of an improper personal benefit. No amendment to or repeal of this Article XV and no amendment, repeal or termination of effectiveness of any law authorizing this Article XV shall apply to or have any effect on the liability or alleged liability of any senior officer for or with respect to any acts or omissions of such senior officer occurring prior to such amendment, repeal or termination of effectiveness. For purposes of this Article XV, the term ‘senior officer’ shall mean the President and any Vice President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Registrant’s Amended and Restated By-Laws contain the following provision at ARTICLE III, SECTION 3.06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Indemnification of Directors and Officers</w:t>
      </w:r>
      <w:r>
        <w:rPr>
          <w:rFonts w:ascii="Times New Roman" w:hAnsi="Times New Roman"/>
          <w:caps w:val="false"/>
          <w:smallCaps w:val="false"/>
          <w:sz w:val="20"/>
        </w:rPr>
        <w:t>. Every person who is or was a director or officer of the corporation, or any such person who serves or served in any similar capacity with any other enterprise at the request of the corporation, shall be indemnified by the corporation to the fullest extent permitted by law against all expenses and liabilities reasonably incurred by or imposed upon him in connection with any proceeding to which he may be made, or threatened to be made, a party, or in which he may become involved by reason of his or her being or having been a director or officer of the corporation, or of serving or having served such other enterprise in such capacity, whether or not he or she is a director or officer of the corporation, or continues to serve such other enterprise in such capacity, at the time the expenses or liabilities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Registrant maintains liability insurance which covers certain liabilities of its directors and officers arising out of claims based on acts or omissions in their capacities as directors or officers, including liabilities under the Securities 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7. Exemption From Registration Claimed.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 applicable.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5"/>
        <w:gridCol w:w="60"/>
        <w:gridCol w:w="9740"/>
      </w:tblGrid>
      <w:tr>
        <w:trPr/>
        <w:tc>
          <w:tcPr>
            <w:tcW w:w="4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Certificate of Incorporation, as amended, is incorporated by reference to (i) </w:t>
            </w:r>
            <w:hyperlink r:id="rId15">
              <w:r>
                <w:rPr>
                  <w:rStyle w:val="InternetLink"/>
                  <w:rFonts w:ascii="Times New Roman" w:hAnsi="Times New Roman"/>
                  <w:caps w:val="false"/>
                  <w:smallCaps w:val="false"/>
                  <w:sz w:val="20"/>
                </w:rPr>
                <w:t>Restated Certificate of Incorporation filed as Exhibit 3.1 of the Company’s Quarterly Report on Form 10-Q for the quarterly period ended June 30, 1998</w:t>
              </w:r>
            </w:hyperlink>
            <w:r>
              <w:rPr>
                <w:rFonts w:ascii="Times New Roman" w:hAnsi="Times New Roman"/>
                <w:caps w:val="false"/>
                <w:smallCaps w:val="false"/>
                <w:sz w:val="20"/>
              </w:rPr>
              <w:t> and (ii) </w:t>
            </w:r>
            <w:hyperlink r:id="rId16">
              <w:r>
                <w:rPr>
                  <w:rStyle w:val="InternetLink"/>
                  <w:rFonts w:ascii="Times New Roman" w:hAnsi="Times New Roman"/>
                  <w:caps w:val="false"/>
                  <w:smallCaps w:val="false"/>
                  <w:sz w:val="20"/>
                </w:rPr>
                <w:t>Certificate of Amendment to the Company’s Restated Certificate of Incorporation filed as Exhibit 3.1 to the Company's Annual Report on Form 10-K for the fiscal year ended December 31, 1999</w:t>
              </w:r>
            </w:hyperlink>
            <w:r>
              <w:rPr>
                <w:rFonts w:ascii="Times New Roman" w:hAnsi="Times New Roman"/>
                <w:caps w:val="false"/>
                <w:smallCaps w:val="false"/>
                <w:sz w:val="20"/>
              </w:rPr>
              <w:t>.</w:t>
            </w:r>
          </w:p>
        </w:tc>
      </w:tr>
      <w:tr>
        <w:trPr/>
        <w:tc>
          <w:tcPr>
            <w:tcW w:w="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283"/>
              <w:jc w:val="left"/>
              <w:rPr/>
            </w:pPr>
            <w:r>
              <w:rPr/>
              <w:t> </w:t>
            </w:r>
          </w:p>
        </w:tc>
      </w:tr>
      <w:tr>
        <w:trPr/>
        <w:tc>
          <w:tcPr>
            <w:tcW w:w="4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ind w:left="0" w:right="0" w:hanging="0"/>
              <w:jc w:val="both"/>
              <w:rPr/>
            </w:pPr>
            <w:hyperlink r:id="rId17">
              <w:r>
                <w:rPr>
                  <w:rStyle w:val="InternetLink"/>
                  <w:rFonts w:ascii="Times New Roman" w:hAnsi="Times New Roman"/>
                  <w:caps w:val="false"/>
                  <w:smallCaps w:val="false"/>
                  <w:sz w:val="20"/>
                  <w:u w:val="single"/>
                </w:rPr>
                <w:t>Amended and Restated By-Laws, are incorporated by reference to Exhibit 3.1 to the Registrant’s Current Report on Form 8-K filed with the SEC on October 25, 2023.</w:t>
              </w:r>
            </w:hyperlink>
          </w:p>
        </w:tc>
      </w:tr>
      <w:tr>
        <w:trPr/>
        <w:tc>
          <w:tcPr>
            <w:tcW w:w="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283"/>
              <w:jc w:val="left"/>
              <w:rPr/>
            </w:pPr>
            <w:r>
              <w:rPr/>
              <w:t> </w:t>
            </w:r>
          </w:p>
        </w:tc>
      </w:tr>
      <w:tr>
        <w:trPr/>
        <w:tc>
          <w:tcPr>
            <w:tcW w:w="4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283"/>
              <w:jc w:val="left"/>
              <w:rPr/>
            </w:pPr>
            <w:hyperlink r:id="rId18">
              <w:r>
                <w:rPr>
                  <w:rStyle w:val="InternetLink"/>
                </w:rPr>
                <w:t>Bel Fuse Inc. 2026 Equity Compensation Plan is incorporated by reference to Appendix A to the Registrant’s Definitive Proxy Statement on Schedule 14A filed with the SEC on April 10, 2026.</w:t>
              </w:r>
            </w:hyperlink>
          </w:p>
        </w:tc>
      </w:tr>
      <w:tr>
        <w:trPr/>
        <w:tc>
          <w:tcPr>
            <w:tcW w:w="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283"/>
              <w:jc w:val="left"/>
              <w:rPr/>
            </w:pPr>
            <w:r>
              <w:rPr/>
              <w:t> </w:t>
            </w:r>
          </w:p>
        </w:tc>
      </w:tr>
      <w:tr>
        <w:trPr/>
        <w:tc>
          <w:tcPr>
            <w:tcW w:w="4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ind w:left="0" w:right="0" w:hanging="0"/>
              <w:jc w:val="both"/>
              <w:rPr/>
            </w:pPr>
            <w:hyperlink w:anchor="ex_1009720.htm">
              <w:r>
                <w:rPr>
                  <w:rStyle w:val="InternetLink"/>
                  <w:rFonts w:ascii="Times New Roman" w:hAnsi="Times New Roman"/>
                  <w:caps w:val="false"/>
                  <w:smallCaps w:val="false"/>
                  <w:sz w:val="20"/>
                  <w:u w:val="single"/>
                </w:rPr>
                <w:t xml:space="preserve">Opinion of Lowenstein Sandler LLP. </w:t>
              </w:r>
            </w:hyperlink>
          </w:p>
        </w:tc>
      </w:tr>
      <w:tr>
        <w:trPr/>
        <w:tc>
          <w:tcPr>
            <w:tcW w:w="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283"/>
              <w:jc w:val="left"/>
              <w:rPr/>
            </w:pPr>
            <w:r>
              <w:rPr/>
              <w:t> </w:t>
            </w:r>
          </w:p>
        </w:tc>
      </w:tr>
      <w:tr>
        <w:trPr/>
        <w:tc>
          <w:tcPr>
            <w:tcW w:w="4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ind w:left="0" w:right="0" w:hanging="0"/>
              <w:jc w:val="both"/>
              <w:rPr/>
            </w:pPr>
            <w:hyperlink w:anchor="ex_1009719.htm">
              <w:r>
                <w:rPr>
                  <w:rStyle w:val="InternetLink"/>
                  <w:rFonts w:ascii="Times New Roman" w:hAnsi="Times New Roman"/>
                  <w:caps w:val="false"/>
                  <w:smallCaps w:val="false"/>
                  <w:sz w:val="20"/>
                  <w:u w:val="single"/>
                </w:rPr>
                <w:t>Consent of Grant Thornton LLP.</w:t>
              </w:r>
            </w:hyperlink>
          </w:p>
        </w:tc>
      </w:tr>
      <w:tr>
        <w:trPr/>
        <w:tc>
          <w:tcPr>
            <w:tcW w:w="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283"/>
              <w:jc w:val="left"/>
              <w:rPr/>
            </w:pPr>
            <w:r>
              <w:rPr/>
              <w:t> </w:t>
            </w:r>
          </w:p>
        </w:tc>
      </w:tr>
      <w:tr>
        <w:trPr/>
        <w:tc>
          <w:tcPr>
            <w:tcW w:w="4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23.2*</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ind w:left="0" w:right="0" w:hanging="0"/>
              <w:jc w:val="both"/>
              <w:rPr/>
            </w:pPr>
            <w:hyperlink w:anchor="ex_1009720.htm">
              <w:r>
                <w:rPr>
                  <w:rStyle w:val="InternetLink"/>
                  <w:rFonts w:ascii="Times New Roman" w:hAnsi="Times New Roman"/>
                  <w:caps w:val="false"/>
                  <w:smallCaps w:val="false"/>
                  <w:sz w:val="20"/>
                  <w:u w:val="single"/>
                </w:rPr>
                <w:t>Consent of Lowenstein Sandler LLP is included in Exhibit 5.1.</w:t>
              </w:r>
            </w:hyperlink>
          </w:p>
        </w:tc>
      </w:tr>
      <w:tr>
        <w:trPr/>
        <w:tc>
          <w:tcPr>
            <w:tcW w:w="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283"/>
              <w:jc w:val="left"/>
              <w:rPr/>
            </w:pPr>
            <w:r>
              <w:rPr/>
              <w:t> </w:t>
            </w:r>
          </w:p>
        </w:tc>
      </w:tr>
      <w:tr>
        <w:trPr/>
        <w:tc>
          <w:tcPr>
            <w:tcW w:w="4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24.1*</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ind w:left="0" w:right="0" w:hanging="0"/>
              <w:jc w:val="both"/>
              <w:rPr/>
            </w:pPr>
            <w:hyperlink w:anchor="poa">
              <w:r>
                <w:rPr>
                  <w:rStyle w:val="InternetLink"/>
                  <w:rFonts w:ascii="Times New Roman" w:hAnsi="Times New Roman"/>
                  <w:caps w:val="false"/>
                  <w:smallCaps w:val="false"/>
                  <w:sz w:val="20"/>
                  <w:u w:val="single"/>
                </w:rPr>
                <w:t>Power of Attorney is contained on the signature page of this Registration Statement.</w:t>
              </w:r>
            </w:hyperlink>
          </w:p>
        </w:tc>
      </w:tr>
      <w:tr>
        <w:trPr/>
        <w:tc>
          <w:tcPr>
            <w:tcW w:w="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283"/>
              <w:jc w:val="left"/>
              <w:rPr/>
            </w:pPr>
            <w:r>
              <w:rPr/>
              <w:t> </w:t>
            </w:r>
          </w:p>
        </w:tc>
      </w:tr>
      <w:tr>
        <w:trPr/>
        <w:tc>
          <w:tcPr>
            <w:tcW w:w="4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ind w:left="0" w:right="0" w:hanging="0"/>
              <w:jc w:val="both"/>
              <w:rPr/>
            </w:pPr>
            <w:hyperlink w:anchor="ex_1009718.htm">
              <w:r>
                <w:rPr>
                  <w:rStyle w:val="InternetLink"/>
                  <w:rFonts w:ascii="Times New Roman" w:hAnsi="Times New Roman"/>
                  <w:caps w:val="false"/>
                  <w:smallCaps w:val="false"/>
                  <w:sz w:val="20"/>
                  <w:u w:val="single"/>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9. Undertakings.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 To include any prospectus required by Section 10(a)(3)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(ii) To reflect in the prospectus any 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Provided, however,</w:t>
      </w:r>
      <w:r>
        <w:rPr>
          <w:rFonts w:ascii="Times New Roman" w:hAnsi="Times New Roman"/>
          <w:caps w:val="false"/>
          <w:smallCaps w:val="false"/>
          <w:sz w:val="20"/>
        </w:rPr>
        <w:t>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West Orange, State of New Jersey, on the 1st day of September, 2026.</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0"/>
        <w:gridCol w:w="320"/>
        <w:gridCol w:w="3080"/>
        <w:gridCol w:w="60"/>
      </w:tblGrid>
      <w:tr>
        <w:trPr/>
        <w:tc>
          <w:tcPr>
            <w:tcW w:w="60" w:type="dxa"/>
            <w:tcBorders/>
            <w:vAlign w:val="center"/>
          </w:tcPr>
          <w:p>
            <w:pPr>
              <w:pStyle w:val="TableContents"/>
              <w:bidi w:val="0"/>
              <w:spacing w:before="0" w:after="283"/>
              <w:jc w:val="left"/>
              <w:rPr/>
            </w:pPr>
            <w:r>
              <w:rPr/>
              <w:t> </w:t>
            </w:r>
          </w:p>
        </w:tc>
        <w:tc>
          <w:tcPr>
            <w:tcW w:w="3460"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 FUSE INC.</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Farouq Tuweiq</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Farouq Tuweiq</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 w:name="poa"/>
      <w:bookmarkEnd w:id="2"/>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Each person whose signature appears below hereby constitutes and appoints Farouq Tuweiq and Lynn Hutkin, and each of them (so long as each such individual is an employee or affiliate of Bel Fuse Inc.), any of whom may act without the joinder of the others, as his or her lawful attorneys-in-fact and agents, with full power of substitution and resubstitution for him or her and in any and all capacities, to sign any or all amendments or post-effective amendments to this registration statement and to file the same, with all exhibits thereto and other documents in connection therewith, with the Securities and Exchange Commission, granting unto such attorneys-in-fact and agents full power and authority to do and perform each and every act and thing requisite and necessary to be done in connection therewith, as fully for all intents and purposes as he or she might or could do in person, hereby ratifying and confirming all that such attorneys-in-fact and agents, or his or her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310" w:type="dxa"/>
        <w:jc w:val="left"/>
        <w:tblInd w:w="0" w:type="dxa"/>
        <w:tblLayout w:type="fixed"/>
        <w:tblCellMar>
          <w:top w:w="0" w:type="dxa"/>
          <w:left w:w="0" w:type="dxa"/>
          <w:bottom w:w="28" w:type="dxa"/>
          <w:right w:w="0" w:type="dxa"/>
        </w:tblCellMar>
      </w:tblPr>
      <w:tblGrid>
        <w:gridCol w:w="1640"/>
        <w:gridCol w:w="60"/>
        <w:gridCol w:w="5015"/>
        <w:gridCol w:w="60"/>
        <w:gridCol w:w="1535"/>
      </w:tblGrid>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0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Farouq Tuweiq</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 President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6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Farouq Tuweiq</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Lynn Hutkin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6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Lynn Hutkin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Daniel Bernstein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6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Daniel Bernstein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Jacqueline Brito</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6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Jacqueline Brito</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Peter Gilbert</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6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Peter Gilbert</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Eric Nowling</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6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Eric Nowling</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 Segall</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6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Segall</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Rita Smith</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6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Rita Smith</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David Valletta</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6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David Valletta</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Vincent Vellucci</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6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Vincent Vellucci</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3" w:name="ex_1009720.htm"/>
      <w:bookmarkStart w:id="4" w:name="ksex_1009720"/>
      <w:bookmarkEnd w:id="3"/>
      <w:bookmarkEnd w:id="4"/>
      <w:r>
        <w:rPr>
          <w:rFonts w:ascii="Times New Roman" w:hAnsi="Times New Roman"/>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574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9"/>
                    <a:stretch>
                      <a:fillRect/>
                    </a:stretch>
                  </pic:blipFill>
                  <pic:spPr bwMode="auto">
                    <a:xfrm>
                      <a:off x="0" y="0"/>
                      <a:ext cx="2057400" cy="628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 Fuse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300 Executive Drive, Suite 300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West Orange, New Jersey 07052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Re: Form S-8 Registration Statement of Bel Fuse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acted as special counsel to Bel Fuse Inc., a New Jersey corporation (the “Company”), in connection with its filing of a Registration Statement on Form S-8 (the “Registration Statement”), to which this opinion is attached, with the Securities and Exchange Commission under the Securities Act of 1933, as amended (the “Act”). We have been requested by the Company to render this opinion in connection with the filing of the Registration Statement. The Registration Statement relates to the registration of an aggregate of 725,000 shares (the “Shares”) of the Company’s Class B Common Stock, par value $0.10 per share (the “Common Stock”), issuable pursuant to awards under the Bel Fuse Inc. 2026 Equity Compensation Plan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rendering this opinion, we have examined: (i) the Plan; (ii) the Restated Certificate of Incorporation of the Company, as amended; (iii) the Amended and Restated By-Laws of the Company; and (iv)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 hereinafter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foregoing, and subject to the qualifications stated herein, we are of the opinion that the Shares being registered pursuant to the Registration Statement have been duly authorized and, when issued and delivered upon the grant, satisfaction and/or achievement of the applicable vesting requirements (where applicable), or exercise of awards, in each case pursuant to and in accordance with the terms of the Plan,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opinion expressed herein is limited to, and is expressed solely with respect to, the corporate laws of the State of New Jersey, and we express no opinion as to the effect on the matters covered by this letter of the laws of any other jurisdiction. We express no opinion as to matters involving the laws of any jurisdiction other than the State of New Jersey. The opinion contained in this letter is limited to the present corporate laws of the State of New Jersey and to the present judicial interpretations thereof and to the facts as they presently exist. We undertake no obligation to advise you as a result of developments occurring after the date hereof or as a result of facts or circumstances brought to our attention after the date hereof. We are members of the New Jersey Bar and do not hold ourselves out as experts on the laws of any other jurisdiction. We have represented the Company in connection with certain transactions on matters relating to New Jersey corporate law, but do not generally represent the Company nor act as the Company’s regular outside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hereby consent to the filing of a copy of this opinion letter as an exhibit to the Registration Statement.  In giving such consent, we do not thereby admit that we are in the category of persons whose consent is required under Section 7 of the Act, or the rules and regulations promulgated thereunder. This opinion letter speaks as of its date, and we undertake no (and hereby disclaim any) obligation to update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Lowenstein Sandler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LOWENSTEIN SANDLER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5" w:name="ex_1009719.htm"/>
      <w:bookmarkStart w:id="6" w:name="ksex_1009719"/>
      <w:bookmarkEnd w:id="5"/>
      <w:bookmarkEnd w:id="6"/>
      <w:r>
        <w:rPr>
          <w:rFonts w:ascii="Times New Roman" w:hAnsi="Times New Roman"/>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issued our reports dated February 24, 2026 (except for Note 14 and the effects thereof, as to which the date is May 12, 2026) with respect to the consolidated financial statements and internal control over financial reporting, of Bel Fuse, Inc. for the year ended December 31, 2025 included in the Current Report on Form 8-K filed on May 12, 2026, which are incorporated by reference in this Registration Statement. We consent to the incorporation by reference of the aforementioned reports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Edison, New Jersey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 w:name="ex_1009718.htm"/>
      <w:bookmarkStart w:id="8" w:name="ksex_1009718"/>
      <w:bookmarkStart w:id="9" w:name="ex_1009718.htm"/>
      <w:bookmarkStart w:id="10" w:name="ksex_1009718"/>
      <w:bookmarkEnd w:id="9"/>
      <w:bookmarkEnd w:id="10"/>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BEL FUSE INC /NJ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019"/>
        <w:gridCol w:w="1283"/>
        <w:gridCol w:w="1193"/>
        <w:gridCol w:w="1181"/>
        <w:gridCol w:w="1800"/>
        <w:gridCol w:w="1126"/>
        <w:gridCol w:w="1412"/>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9"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0"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019" w:type="dxa"/>
            <w:tcBorders/>
            <w:shd w:fill="E7E7E2" w:val="clear"/>
            <w:vAlign w:val="center"/>
          </w:tcPr>
          <w:p>
            <w:pPr>
              <w:pStyle w:val="TableContents"/>
              <w:bidi w:val="0"/>
              <w:spacing w:before="0" w:after="283"/>
              <w:jc w:val="left"/>
              <w:rPr/>
            </w:pPr>
            <w:r>
              <w:rPr/>
              <w:t xml:space="preserve">Class B Common stock, par value $0.10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725,000 </w:t>
            </w:r>
          </w:p>
        </w:tc>
        <w:tc>
          <w:tcPr>
            <w:tcW w:w="1181" w:type="dxa"/>
            <w:tcBorders/>
            <w:shd w:fill="E7E7E2" w:val="clear"/>
            <w:vAlign w:val="center"/>
          </w:tcPr>
          <w:p>
            <w:pPr>
              <w:pStyle w:val="TableContents"/>
              <w:bidi w:val="0"/>
              <w:spacing w:before="0" w:after="283"/>
              <w:jc w:val="right"/>
              <w:rPr/>
            </w:pPr>
            <w:r>
              <w:rPr/>
              <w:t xml:space="preserve">$ 252.77 </w:t>
            </w:r>
          </w:p>
        </w:tc>
        <w:tc>
          <w:tcPr>
            <w:tcW w:w="1800" w:type="dxa"/>
            <w:tcBorders/>
            <w:shd w:fill="E7E7E2" w:val="clear"/>
            <w:vAlign w:val="center"/>
          </w:tcPr>
          <w:p>
            <w:pPr>
              <w:pStyle w:val="TableContents"/>
              <w:bidi w:val="0"/>
              <w:spacing w:before="0" w:after="283"/>
              <w:jc w:val="right"/>
              <w:rPr/>
            </w:pPr>
            <w:r>
              <w:rPr/>
              <w:t xml:space="preserve">$ 183,258,250.00 </w:t>
            </w:r>
          </w:p>
        </w:tc>
        <w:tc>
          <w:tcPr>
            <w:tcW w:w="1126" w:type="dxa"/>
            <w:tcBorders/>
            <w:shd w:fill="E7E7E2" w:val="clear"/>
            <w:vAlign w:val="center"/>
          </w:tcPr>
          <w:p>
            <w:pPr>
              <w:pStyle w:val="TableContents"/>
              <w:bidi w:val="0"/>
              <w:spacing w:before="0" w:after="283"/>
              <w:jc w:val="right"/>
              <w:rPr/>
            </w:pPr>
            <w:r>
              <w:rPr/>
              <w:t xml:space="preserve">0.0001381 </w:t>
            </w:r>
          </w:p>
        </w:tc>
        <w:tc>
          <w:tcPr>
            <w:tcW w:w="1412" w:type="dxa"/>
            <w:tcBorders/>
            <w:shd w:fill="E7E7E2" w:val="clear"/>
            <w:vAlign w:val="center"/>
          </w:tcPr>
          <w:p>
            <w:pPr>
              <w:pStyle w:val="TableContents"/>
              <w:bidi w:val="0"/>
              <w:spacing w:before="0" w:after="283"/>
              <w:jc w:val="right"/>
              <w:rPr/>
            </w:pPr>
            <w:r>
              <w:rPr/>
              <w:t xml:space="preserve">$ 25,307.96 </w:t>
            </w:r>
          </w:p>
        </w:tc>
      </w:tr>
      <w:tr>
        <w:trPr/>
        <w:tc>
          <w:tcPr>
            <w:tcW w:w="4686" w:type="dxa"/>
            <w:gridSpan w:val="5"/>
            <w:tcBorders/>
            <w:vAlign w:val="center"/>
          </w:tcPr>
          <w:p>
            <w:pPr>
              <w:pStyle w:val="TableContents"/>
              <w:bidi w:val="0"/>
              <w:spacing w:before="0" w:after="0"/>
              <w:ind w:left="0" w:right="0" w:hanging="0"/>
              <w:jc w:val="right"/>
              <w:rPr/>
            </w:pPr>
            <w:r>
              <w:rPr/>
              <w:t>Total Offering Amounts:</w:t>
            </w:r>
          </w:p>
        </w:tc>
        <w:tc>
          <w:tcPr>
            <w:tcW w:w="1181"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0"/>
              <w:ind w:left="0" w:right="0" w:hanging="0"/>
              <w:jc w:val="right"/>
              <w:rPr/>
            </w:pPr>
            <w:bookmarkStart w:id="11" w:name="MaxAggtOfferingPrice"/>
            <w:bookmarkEnd w:id="11"/>
            <w:r>
              <w:rPr/>
              <w:t xml:space="preserve">$ 183,258,250.00 </w:t>
            </w:r>
          </w:p>
        </w:tc>
        <w:tc>
          <w:tcPr>
            <w:tcW w:w="1126" w:type="dxa"/>
            <w:tcBorders/>
            <w:vAlign w:val="center"/>
          </w:tcPr>
          <w:p>
            <w:pPr>
              <w:pStyle w:val="TableContents"/>
              <w:bidi w:val="0"/>
              <w:spacing w:before="0" w:after="283"/>
              <w:jc w:val="left"/>
              <w:rPr>
                <w:sz w:val="4"/>
                <w:szCs w:val="4"/>
              </w:rPr>
            </w:pPr>
            <w:r>
              <w:rPr>
                <w:sz w:val="4"/>
                <w:szCs w:val="4"/>
              </w:rPr>
            </w:r>
          </w:p>
        </w:tc>
        <w:tc>
          <w:tcPr>
            <w:tcW w:w="141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$ 25,307.96 </w:t>
            </w:r>
          </w:p>
        </w:tc>
      </w:tr>
      <w:tr>
        <w:trPr/>
        <w:tc>
          <w:tcPr>
            <w:tcW w:w="4686" w:type="dxa"/>
            <w:gridSpan w:val="5"/>
            <w:tcBorders/>
            <w:vAlign w:val="center"/>
          </w:tcPr>
          <w:p>
            <w:pPr>
              <w:pStyle w:val="TableContents"/>
              <w:bidi w:val="0"/>
              <w:spacing w:before="0" w:after="0"/>
              <w:ind w:left="0" w:right="0" w:hanging="0"/>
              <w:jc w:val="right"/>
              <w:rPr/>
            </w:pPr>
            <w:r>
              <w:rPr/>
              <w:t xml:space="preserve">Total Fee Offsets: </w:t>
            </w:r>
          </w:p>
        </w:tc>
        <w:tc>
          <w:tcPr>
            <w:tcW w:w="1181"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686" w:type="dxa"/>
            <w:gridSpan w:val="5"/>
            <w:tcBorders/>
            <w:vAlign w:val="center"/>
          </w:tcPr>
          <w:p>
            <w:pPr>
              <w:pStyle w:val="TableContents"/>
              <w:bidi w:val="0"/>
              <w:spacing w:before="0" w:after="0"/>
              <w:ind w:left="0" w:right="0" w:hanging="0"/>
              <w:jc w:val="right"/>
              <w:rPr/>
            </w:pPr>
            <w:r>
              <w:rPr/>
              <w:t xml:space="preserve">Net Fee Due: </w:t>
            </w:r>
          </w:p>
        </w:tc>
        <w:tc>
          <w:tcPr>
            <w:tcW w:w="1181"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0"/>
              <w:ind w:left="0" w:right="0" w:hanging="0"/>
              <w:jc w:val="right"/>
              <w:rPr/>
            </w:pPr>
            <w:bookmarkStart w:id="14" w:name="NetFeeAmt"/>
            <w:bookmarkEnd w:id="14"/>
            <w:r>
              <w:rPr/>
              <w:t xml:space="preserve">$ 25,307.96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3"/>
        <w:gridCol w:w="8713"/>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shall also cover any additional shares of the Registrant's Class B common stock, par value $0.10 per share ("Class B Common Stock"), that may become issuable under the terms of the Bel Fuse Inc. 2026 Equity Compensation Plan (the "2026 Plan") by reason of any share split, share dividend, recapitalization or other similar transaction effected without the Registrant's receipt of consideration which results in an increase in the number of the outstanding shares of Class B Common Stock. 2. Estimated solely for the purpose of calculating the registration fee pursuant to Rule 457(c) and (h) under the Securities Act, based on the average of the high and low sales prices of the Class B Common Stock on the Nasdaq Global Select Market on August 28, 2026. 3. Represents shares available for issuance under the 2026 Plan. For more information, see the "Explanatory Note" to this registration statement on Form S-8. 4. The Registrant does not have any fee offsets to claim. 2. Estimated solely for the purpose of calculating the registration fee pursuant to Rule 457(c) and (h) under the Securities Act, based on the average of the high and low sales prices of the Class B Common Stock on the Nasdaq Global Select Market on August 24, 2026. 3. Represents shares available for issuance under the 2026 Plan. For more information, see the "Explanatory Note" to this registration statement on Form S-8. 4. The Registrant does not have any fee offsets to claim.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0000729580/000143774926005354/belfb20251231d_10k.htm" TargetMode="External"/><Relationship Id="rId3" Type="http://schemas.openxmlformats.org/officeDocument/2006/relationships/hyperlink" Target="http://www.sec.gov/ix?doc=/Archives/edgar/data/0000729580/000143774926011998/belfa20260303_def14a.htm" TargetMode="External"/><Relationship Id="rId4" Type="http://schemas.openxmlformats.org/officeDocument/2006/relationships/hyperlink" Target="http://www.sec.gov/ix?doc=/Archives/edgar/data/0000729580/000143774926014903/belfa20260331_10q.htm" TargetMode="External"/><Relationship Id="rId5" Type="http://schemas.openxmlformats.org/officeDocument/2006/relationships/hyperlink" Target="http://www.sec.gov/ix?doc=/Archives/edgar/data/729580/000143774926025619/belfa20260630_10q.htm" TargetMode="External"/><Relationship Id="rId6" Type="http://schemas.openxmlformats.org/officeDocument/2006/relationships/hyperlink" Target="http://www.sec.gov/ix?doc=/Archives/edgar/data/729580/000143774926001362/belfa20260112_8k.htm" TargetMode="External"/><Relationship Id="rId7" Type="http://schemas.openxmlformats.org/officeDocument/2006/relationships/hyperlink" Target="http://www.sec.gov/ix?doc=/Archives/edgar/data/729580/000143774926011412/belfa20260330_8k.htm" TargetMode="External"/><Relationship Id="rId8" Type="http://schemas.openxmlformats.org/officeDocument/2006/relationships/hyperlink" Target="http://www.sec.gov/ix?doc=/Archives/edgar/data/0000729580/000143774926016373/belfa20260507_8k.htm" TargetMode="External"/><Relationship Id="rId9" Type="http://schemas.openxmlformats.org/officeDocument/2006/relationships/hyperlink" Target="http://www.sec.gov/ix?doc=/Archives/edgar/data/729580/000121390026056732/ea0290047-8k_belfu.htm" TargetMode="External"/><Relationship Id="rId10" Type="http://schemas.openxmlformats.org/officeDocument/2006/relationships/hyperlink" Target="http://www.sec.gov/ix?doc=/Archives/edgar/data/0000729580/000143774926018719/belfa20260526_8k.htm" TargetMode="External"/><Relationship Id="rId11" Type="http://schemas.openxmlformats.org/officeDocument/2006/relationships/hyperlink" Target="http://www.sec.gov/ix?doc=/Archives/edgar/data/0000729580/000143774926022539/belfa20260701_8k.htm" TargetMode="External"/><Relationship Id="rId12" Type="http://schemas.openxmlformats.org/officeDocument/2006/relationships/hyperlink" Target="http://www.sec.gov/ix?doc=/Archives/edgar/data/729580/000143774926005358/belfa20260213_8ka.htm" TargetMode="External"/><Relationship Id="rId13" Type="http://schemas.openxmlformats.org/officeDocument/2006/relationships/hyperlink" Target="http://www.sec.gov/ix?doc=/Archives/edgar/data/729580/000143774925037380/belfa20251204_8k.htm" TargetMode="External"/><Relationship Id="rId14" Type="http://schemas.openxmlformats.org/officeDocument/2006/relationships/hyperlink" Target="http://www.sec.gov/Archives/edgar/data/0000729580/000143774925005652/ex_780850.htm" TargetMode="External"/><Relationship Id="rId15" Type="http://schemas.openxmlformats.org/officeDocument/2006/relationships/hyperlink" Target="http://www.sec.gov/Archives/edgar/data/729580/0000950110-98-000892.txt" TargetMode="External"/><Relationship Id="rId16" Type="http://schemas.openxmlformats.org/officeDocument/2006/relationships/hyperlink" Target="http://www.sec.gov/Archives/edgar/data/729580/000095011000000254/0000950110-00-000254.txt" TargetMode="External"/><Relationship Id="rId17" Type="http://schemas.openxmlformats.org/officeDocument/2006/relationships/hyperlink" Target="http://www.sec.gov/Archives/edgar/data/729580/000143774923028966/ex_582931.htm" TargetMode="External"/><Relationship Id="rId18" Type="http://schemas.openxmlformats.org/officeDocument/2006/relationships/hyperlink" Target="http://www.sec.gov/ix?doc=/Archives/edgar/data/0000729580/000143774926011998/belfa20260303_def14a.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4985</Words>
  <Characters>25834</Characters>
  <CharactersWithSpaces>31026</CharactersWithSpaces>
  <Paragraphs>545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