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October 28,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 FUSE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New Jersey</w:t>
            </w:r>
          </w:p>
        </w:tc>
        <w:tc>
          <w:tcPr>
            <w:tcW w:w="208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000-11676</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740" w:type="dxa"/>
            <w:vAlign w:val="bottom"/>
            <w:gridSpan w:val="3"/>
          </w:tcPr>
          <w:p>
            <w:pPr>
              <w:jc w:val="right"/>
              <w:ind w:right="2210"/>
              <w:spacing w:after="0"/>
              <w:rPr>
                <w:sz w:val="20"/>
                <w:szCs w:val="20"/>
                <w:color w:val="auto"/>
              </w:rPr>
            </w:pPr>
            <w:r>
              <w:rPr>
                <w:rFonts w:ascii="Times New Roman" w:cs="Times New Roman" w:eastAsia="Times New Roman" w:hAnsi="Times New Roman"/>
                <w:sz w:val="18"/>
                <w:szCs w:val="18"/>
                <w:color w:val="auto"/>
              </w:rPr>
              <w:t>22-1463699</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80" w:type="dxa"/>
            <w:vAlign w:val="bottom"/>
          </w:tcPr>
          <w:p>
            <w:pPr>
              <w:spacing w:after="0"/>
              <w:rPr>
                <w:sz w:val="19"/>
                <w:szCs w:val="19"/>
                <w:color w:val="auto"/>
              </w:rPr>
            </w:pPr>
          </w:p>
        </w:tc>
        <w:tc>
          <w:tcPr>
            <w:tcW w:w="2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740" w:type="dxa"/>
            <w:vAlign w:val="bottom"/>
            <w:tcBorders>
              <w:top w:val="single" w:sz="8" w:color="auto"/>
            </w:tcBorders>
            <w:gridSpan w:val="3"/>
          </w:tcPr>
          <w:p>
            <w:pPr>
              <w:jc w:val="center"/>
              <w:ind w:right="6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630"/>
        </w:trPr>
        <w:tc>
          <w:tcPr>
            <w:tcW w:w="6500" w:type="dxa"/>
            <w:vAlign w:val="bottom"/>
            <w:gridSpan w:val="5"/>
          </w:tcPr>
          <w:p>
            <w:pPr>
              <w:jc w:val="center"/>
              <w:ind w:left="790"/>
              <w:spacing w:after="0"/>
              <w:rPr>
                <w:sz w:val="20"/>
                <w:szCs w:val="20"/>
                <w:color w:val="auto"/>
              </w:rPr>
            </w:pPr>
            <w:r>
              <w:rPr>
                <w:rFonts w:ascii="Times New Roman" w:cs="Times New Roman" w:eastAsia="Times New Roman" w:hAnsi="Times New Roman"/>
                <w:sz w:val="18"/>
                <w:szCs w:val="18"/>
                <w:color w:val="auto"/>
                <w:w w:val="99"/>
              </w:rPr>
              <w:t>300 Executive Drive, Suite 300, West Orange, New Jersey</w:t>
            </w:r>
          </w:p>
        </w:tc>
        <w:tc>
          <w:tcPr>
            <w:tcW w:w="4740" w:type="dxa"/>
            <w:vAlign w:val="bottom"/>
            <w:gridSpan w:val="3"/>
          </w:tcPr>
          <w:p>
            <w:pPr>
              <w:jc w:val="right"/>
              <w:ind w:right="1450"/>
              <w:spacing w:after="0"/>
              <w:rPr>
                <w:sz w:val="20"/>
                <w:szCs w:val="20"/>
                <w:color w:val="auto"/>
              </w:rPr>
            </w:pPr>
            <w:r>
              <w:rPr>
                <w:rFonts w:ascii="Times New Roman" w:cs="Times New Roman" w:eastAsia="Times New Roman" w:hAnsi="Times New Roman"/>
                <w:sz w:val="18"/>
                <w:szCs w:val="18"/>
                <w:color w:val="auto"/>
              </w:rPr>
              <w:t>07052</w:t>
            </w:r>
          </w:p>
        </w:tc>
      </w:tr>
      <w:tr>
        <w:trPr>
          <w:trHeight w:val="228"/>
        </w:trPr>
        <w:tc>
          <w:tcPr>
            <w:tcW w:w="6500" w:type="dxa"/>
            <w:vAlign w:val="bottom"/>
            <w:tcBorders>
              <w:top w:val="single" w:sz="8" w:color="auto"/>
            </w:tcBorders>
            <w:gridSpan w:val="5"/>
          </w:tcPr>
          <w:p>
            <w:pPr>
              <w:jc w:val="center"/>
              <w:ind w:left="7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8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(201) 432-0463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3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580" w:hanging="3552"/>
        <w:spacing w:after="0" w:line="499" w:lineRule="auto"/>
        <w:tabs>
          <w:tab w:leader="none" w:pos="63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2240" w:type="dxa"/>
        <w:tblCellMar>
          <w:top w:w="0" w:type="dxa"/>
          <w:left w:w="0" w:type="dxa"/>
          <w:bottom w:w="0" w:type="dxa"/>
          <w:right w:w="0" w:type="dxa"/>
        </w:tblCellMar>
      </w:tblPr>
      <w:tr>
        <w:trPr>
          <w:trHeight w:val="216"/>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Title of Each Class</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Trading Symbol</w:t>
            </w:r>
          </w:p>
        </w:tc>
        <w:tc>
          <w:tcPr>
            <w:tcW w:w="12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w:t>
            </w:r>
          </w:p>
        </w:tc>
      </w:tr>
      <w:tr>
        <w:trPr>
          <w:trHeight w:val="236"/>
        </w:trPr>
        <w:tc>
          <w:tcPr>
            <w:tcW w:w="24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Registered</w:t>
            </w:r>
          </w:p>
        </w:tc>
      </w:tr>
      <w:tr>
        <w:trPr>
          <w:trHeight w:val="191"/>
        </w:trPr>
        <w:tc>
          <w:tcPr>
            <w:tcW w:w="24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($0.10</w:t>
            </w:r>
          </w:p>
        </w:tc>
        <w:tc>
          <w:tcPr>
            <w:tcW w:w="120" w:type="dxa"/>
            <w:vAlign w:val="bottom"/>
          </w:tcPr>
          <w:p>
            <w:pPr>
              <w:spacing w:after="0"/>
              <w:rPr>
                <w:sz w:val="16"/>
                <w:szCs w:val="16"/>
                <w:color w:val="auto"/>
              </w:rPr>
            </w:pPr>
          </w:p>
        </w:tc>
        <w:tc>
          <w:tcPr>
            <w:tcW w:w="1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BELFA</w:t>
            </w:r>
          </w:p>
        </w:tc>
        <w:tc>
          <w:tcPr>
            <w:tcW w:w="120" w:type="dxa"/>
            <w:vAlign w:val="bottom"/>
          </w:tcPr>
          <w:p>
            <w:pPr>
              <w:spacing w:after="0"/>
              <w:rPr>
                <w:sz w:val="16"/>
                <w:szCs w:val="16"/>
                <w:color w:val="auto"/>
              </w:rPr>
            </w:pPr>
          </w:p>
        </w:tc>
        <w:tc>
          <w:tcPr>
            <w:tcW w:w="27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16"/>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par value)</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B Common Stock ($0.10</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BELFB</w:t>
            </w:r>
          </w:p>
        </w:tc>
        <w:tc>
          <w:tcPr>
            <w:tcW w:w="12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34"/>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par value)</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28, 2026 Bel Fuse Inc. (“Bel” or the “Company”) issued a press release regarding results for the three and nine months ended September 30, 2026. A copy of this press release is being furnished as Exhibit 99.1 to this Current Report on Form 8-K.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Item 2.02 of this Current Report on Form 8-K, including Exhibit 99.1, shall not be deemed “filed” for the purposes of Section 18 of the Securities Exchange Act of 1934, as amended, or otherwise subject to the liability of that section, nor shall it be deemed incorporated by reference in any filing under the Securities Act of 1933, as amended, except as shall be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500" w:right="780" w:hanging="485"/>
        <w:spacing w:after="0" w:line="261" w:lineRule="auto"/>
        <w:tabs>
          <w:tab w:leader="none" w:pos="4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of Bel Fuse Inc. dated October 28, 2026, related to the financial results of the Company for the three and nine months ended September 30, 2026, furnished hereto.</w:t>
      </w: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186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2026</w:t>
            </w:r>
          </w:p>
        </w:tc>
        <w:tc>
          <w:tcPr>
            <w:tcW w:w="5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BEL FUSE INC.</w:t>
            </w:r>
          </w:p>
        </w:tc>
      </w:tr>
      <w:tr>
        <w:trPr>
          <w:trHeight w:val="228"/>
        </w:trPr>
        <w:tc>
          <w:tcPr>
            <w:tcW w:w="3540" w:type="dxa"/>
            <w:vAlign w:val="bottom"/>
          </w:tcPr>
          <w:p>
            <w:pPr>
              <w:spacing w:after="0"/>
              <w:rPr>
                <w:sz w:val="19"/>
                <w:szCs w:val="19"/>
                <w:color w:val="auto"/>
              </w:rPr>
            </w:pPr>
          </w:p>
        </w:tc>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(Registrant)</w:t>
            </w:r>
          </w:p>
        </w:tc>
      </w:tr>
    </w:tbl>
    <w:p>
      <w:pPr>
        <w:spacing w:after="0" w:line="39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By:  /s/ Farouq Tuweiq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17145</wp:posOffset>
            </wp:positionV>
            <wp:extent cx="3703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Farouq Tuweiq</w:t>
      </w:r>
    </w:p>
    <w:p>
      <w:pPr>
        <w:spacing w:after="0" w:line="2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Bel Fuse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285875" cy="514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51435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300 Executive Drive</w:t>
      </w:r>
    </w:p>
    <w:p>
      <w:pPr>
        <w:ind w:left="4380"/>
        <w:spacing w:after="0"/>
        <w:tabs>
          <w:tab w:leader="none" w:pos="10540" w:val="left"/>
        </w:tabs>
        <w:rPr>
          <w:sz w:val="20"/>
          <w:szCs w:val="20"/>
          <w:color w:val="auto"/>
        </w:rPr>
      </w:pPr>
      <w:r>
        <w:rPr>
          <w:rFonts w:ascii="Times New Roman" w:cs="Times New Roman" w:eastAsia="Times New Roman" w:hAnsi="Times New Roman"/>
          <w:sz w:val="22"/>
          <w:szCs w:val="22"/>
          <w:color w:val="auto"/>
        </w:rPr>
        <w:t>FOR IMMEDIATE RELEASE</w:t>
      </w:r>
      <w:r>
        <w:rPr>
          <w:sz w:val="20"/>
          <w:szCs w:val="20"/>
          <w:color w:val="auto"/>
        </w:rPr>
        <w:tab/>
      </w:r>
      <w:r>
        <w:rPr>
          <w:rFonts w:ascii="Times New Roman" w:cs="Times New Roman" w:eastAsia="Times New Roman" w:hAnsi="Times New Roman"/>
          <w:sz w:val="17"/>
          <w:szCs w:val="17"/>
          <w:color w:val="auto"/>
        </w:rPr>
        <w:t>Suite 300</w:t>
      </w:r>
    </w:p>
    <w:p>
      <w:pPr>
        <w:jc w:val="right"/>
        <w:spacing w:after="0"/>
        <w:rPr>
          <w:sz w:val="20"/>
          <w:szCs w:val="20"/>
          <w:color w:val="auto"/>
        </w:rPr>
      </w:pPr>
      <w:r>
        <w:rPr>
          <w:rFonts w:ascii="Times New Roman" w:cs="Times New Roman" w:eastAsia="Times New Roman" w:hAnsi="Times New Roman"/>
          <w:sz w:val="18"/>
          <w:szCs w:val="18"/>
          <w:color w:val="auto"/>
        </w:rPr>
        <w:t>West Orange, NJ 07052</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www.belfuse.com</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tel 201.432.0463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Bel Reports Third Quarter 2026 Results</w:t>
      </w:r>
    </w:p>
    <w:p>
      <w:pPr>
        <w:spacing w:after="0" w:line="4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Provides Q4-26 Sales and Gross Margin Guidance</w:t>
      </w:r>
    </w:p>
    <w:p>
      <w:pPr>
        <w:spacing w:after="0" w:line="20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WEST ORANGE, NJ</w:t>
      </w:r>
      <w:r>
        <w:rPr>
          <w:rFonts w:ascii="Times New Roman" w:cs="Times New Roman" w:eastAsia="Times New Roman" w:hAnsi="Times New Roman"/>
          <w:sz w:val="18"/>
          <w:szCs w:val="18"/>
          <w:color w:val="auto"/>
        </w:rPr>
        <w:t>, Wednesday, October 28, 2026--</w:t>
      </w:r>
      <w:r>
        <w:rPr>
          <w:rFonts w:ascii="Times New Roman" w:cs="Times New Roman" w:eastAsia="Times New Roman" w:hAnsi="Times New Roman"/>
          <w:sz w:val="18"/>
          <w:szCs w:val="18"/>
          <w:b w:val="1"/>
          <w:bCs w:val="1"/>
          <w:color w:val="auto"/>
        </w:rPr>
        <w:t xml:space="preserve"> Bel Fuse Inc</w:t>
      </w:r>
      <w:r>
        <w:rPr>
          <w:rFonts w:ascii="Times New Roman" w:cs="Times New Roman" w:eastAsia="Times New Roman" w:hAnsi="Times New Roman"/>
          <w:sz w:val="18"/>
          <w:szCs w:val="18"/>
          <w:color w:val="auto"/>
        </w:rPr>
        <w:t>. (Nasdaq: BELFA and BELFB) (“Bel” or the “Company” ) today announced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preliminary financial results for the third quarter of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2026 Highlights</w:t>
      </w:r>
    </w:p>
    <w:p>
      <w:pPr>
        <w:spacing w:after="0" w:line="31" w:lineRule="exact"/>
        <w:rPr>
          <w:sz w:val="20"/>
          <w:szCs w:val="20"/>
          <w:color w:val="auto"/>
        </w:rPr>
      </w:pPr>
    </w:p>
    <w:p>
      <w:pPr>
        <w:ind w:left="240" w:hanging="126"/>
        <w:spacing w:after="0"/>
        <w:tabs>
          <w:tab w:leader="none" w:pos="2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$220.5 million compared to $179.0 million in Q3-25. Up 23.2% from Q3-25</w:t>
      </w:r>
    </w:p>
    <w:p>
      <w:pPr>
        <w:spacing w:after="0" w:line="9" w:lineRule="exact"/>
        <w:rPr>
          <w:rFonts w:ascii="Times New Roman" w:cs="Times New Roman" w:eastAsia="Times New Roman" w:hAnsi="Times New Roman"/>
          <w:sz w:val="18"/>
          <w:szCs w:val="18"/>
          <w:color w:val="auto"/>
        </w:rPr>
      </w:pPr>
    </w:p>
    <w:p>
      <w:pPr>
        <w:ind w:left="240" w:hanging="126"/>
        <w:spacing w:after="0"/>
        <w:tabs>
          <w:tab w:leader="none" w:pos="2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margin of 40.9%, up from 39.7% in Q3-25</w:t>
      </w:r>
    </w:p>
    <w:p>
      <w:pPr>
        <w:spacing w:after="0" w:line="9" w:lineRule="exact"/>
        <w:rPr>
          <w:rFonts w:ascii="Times New Roman" w:cs="Times New Roman" w:eastAsia="Times New Roman" w:hAnsi="Times New Roman"/>
          <w:sz w:val="18"/>
          <w:szCs w:val="18"/>
          <w:color w:val="auto"/>
        </w:rPr>
      </w:pPr>
    </w:p>
    <w:p>
      <w:pPr>
        <w:ind w:left="240" w:hanging="149"/>
        <w:spacing w:after="0" w:line="250" w:lineRule="auto"/>
        <w:tabs>
          <w:tab w:leader="none" w:pos="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earnings attributable to Bel shareholders of $26.3 million in Q3-26, compared to net earnings of $22.3 million in Q3-25. Non-GAAP net earnings attributable to Bel shareholders of $44.0 million in Q3-26, versus $26.3 million in Q3-25</w:t>
      </w:r>
    </w:p>
    <w:p>
      <w:pPr>
        <w:ind w:left="240" w:hanging="149"/>
        <w:spacing w:after="0"/>
        <w:tabs>
          <w:tab w:leader="none" w:pos="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$52.5 million (23.8% of sales), compared to $39.2 million (21.9% of sales) in Q3-25</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Farouq Tuweiq, President and CEO of Bel, said, “We are pleased with our strong third quarter results, with performance led by our Data Solutions sector, Industrials end market, and across our distribution partners. The quarter reflects momentum across key end markets, supported by focused execution across our global organization.”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“Looking ahead, we expect a strong fourth quarter, guiding net sales of $220 million to $240 million and gross margin of 40.0% to 42.0%. We are excited about how the year is shaping up and remain focused on serving our customers, executing our growth strategy, and creating long-term value for our shareholders,” concluded Mr. Tuweiq.</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Bel has scheduled a conference call for 8:30 a.m. ET on Thursday, October 29, 2026 to discuss these results. To participate in the conference call, investors should dial 877-407-0784, or 201-689-8560 if dialing internationally. The presentation will additionally be broadcast live over the Internet and will be available at https://ir.belfuse.com/events-and-presentations. The webcast will be available via replay for a period of at least 30 days at this same Internet address. For those unable to access the live call, a telephone replay will be available at 844-512-2921, or 412-317-6671 if dialing internationally, using access code 13762729 after 12:30 pm ET, also for 30 days.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Bel</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Bel (www.belfuse.com) designs, manufactures, and markets critical electronic components, systems and solutions for customers in aerospace, defense, industrial, and data-driven markets. Understanding that our customers face increasingly complex technical challenges, Bel delivers a comprehensive portfolio of solutions including power systems, high-reliability connectors and cable assemblies, circuit protection, and networking products that enable Original Equipment Manufacturers (OEMs) to bring their innovations to market. Bel partners closely with customers to deliver both customized and standard solutions tailored to their specific applications and performance requirements. With manufacturing facilities and technical support teams worldwide, Bel serves as a strategic partner to customers who require proven reliability in demanding end markets.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Lynn Hutkin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ir@belf.com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Part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Jean Marie Young, Managing Director or Steven Hooser,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631-418-4339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jyoung@threepa.com; shooser@threepa.com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Language Concerning Forward-Looking Statements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“safe harbor” provisions of the Private Securities Litigation Reform Act of 1995. These forward-looking statements are made as of the date of this release and are based on current expectations, estimates, forecasts and projections as well as the beliefs and assumptions of management. Words such as “expect,” “anticipate,” “should,” “believe,” “hope,” “target,” “project,” “forecast,” “outlook,” “goals,” “estimate,” “potential,” “predict,” “may,” “will,” “might,” “could,” “intend,” variations of these terms or the negative of these terms and similar expressions are intended to identify these forward-looking statements. Forward-looking statements are subject to a number of risks and uncertainties, many of which involve factors or circumstances that are beyond Bel’s control. Bel’s actual results could differ materially from those stated or implied in our forward-looking statements (including without limitation any of Bel’s projections) due to a number of factors, including but not limited to, the following: risks related to the protection of our intellectual property rights; difficulties associated with integrating previously acquired companies, including any unanticipated difficulties, or unexpected or higher than anticipated expenditures; the possibility that the Bel’s intended acquisition of the remaining 20% stake in Enercon is not completed, and any resulting disruptions to Bel’s business and its currently 80% owned Enercon subsidiary; trends in demand which can affect Bel’s products and results; the market concerns facing Bel’s customers, and risks for its business in the event of the loss of certain substantial customers; the continuing viability of sectors that rely on Bel’s products; the effects of business and economic conditions, and challenges impacting the macroeconomic environment generally and/or Bel’s industry specifically; the effects of energy and other input costs, and cost changes generally, including the potential impact of inflationary pressures; capacity and supply constraints or difficulties, including supply chain constraints or other challenges; the impact of public health crises; difficulties associated with the availability of labor, and the risks of any labor unrest or labor shortages; risks associated with Bel’s international operations, including its substantial manufacturing operations in China and Israel; risks related to Bel’s indebtedness; risks associated with restructuring programs or other strategic initiatives, including any difficulties in implementation or realization of the expected benefits or cost savings; product development, commercialization or technological difficulties (including risks relating to artificial intelligence); the regulatory and trade environment of the countries in which Bel transacts business or that may otherwise impact Bel, its customers and/or its suppliers; risks associated with fluctuations in foreign currency exchange and interest rates; uncertainties associated with legal proceedings; the market’s acceptance of Bel’s products and competitive responses to those products; the impact of changes to U.S. and applicable foreign legal and regulatory requirements, including tax laws; and other risks detailed in Bel’s most recent Annual Report on Form 10-K for the fiscal year ended December 31, 2025 and in subsequent reports filed by Bel with the Securities and Exchange Commission (the “SEC”). The forward-looking statements included in this press release represent Bel’s views only as of the date of this press release, and except as required by law, Bel undertakes no intention or obligation to update or revise any forward-looking statements, whether as a result of new information, future events or otherwise.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Non-GAAP financial measures identified in this press release as well as in the supplementary information to this press release (Non-GAAP net earnings attributable to Bel shareholders, Non-GAAP EPS, Non-GAAP Operating Income, Non-GAAP Provision for Income Taxes and Adjusted EBITDA) are not measures of performance under accounting principles generally accepted in the United States of America ("GAAP"). These measures should not be considered a substitute for, and the reader should also consider, income from operations, provision for income taxes, net earnings, earnings per share and other measures of performance as defined by GAAP as indicators of our performance or profitability. Our non-GAAP measures may not be comparable to other similarly-titled captions of other companies due to differences in the method of calculation. With these measures we present results adjusted to exclude the effects of certain unusual or special items that occur outside the ordinary course of business and are not used by management for evaluating operating performance, as well their related tax impact, all of which would otherwise be included under U.S. GAAP. We believe that these non-GAAP measures of financial results provide useful information to management and investors regarding certain financial and business trends relating to our financial condition and results of operations. We use these non-GAAP measures to compare the Company’s performance to that of prior periods for trend analysis and for budgeting and planning purposes. We also believe that the use of these non-GAAP financial measures provides an additional tool for investors to use in evaluating ongoing operating results and trends and in comparing the Company’s financial measures with other similarly situated companies in our industry, many of which present similar non-GAAP financial measures to investors. Non-GAAP financial measures, such as Non-GAAP net earnings attributable to Bel shareholders, Non-GAAP EPS, Non-GAAP Operating Income, Non-GAAP Provision for Income Taxes and Adjusted EBITDA, adjust corresponding GAAP measures for provision for income taxes, other income/expense, net, interest income/expense, and depreciation and amortization, and also exclude, where applicable for the covered period presented in the financial statements, certain unusual or special items identified by management as discussed above, such as stock-based compensation, amortization of inventory step-up, amortization of intangibles (which primarily related to the amortization of finite-lived customer relationships and technology associated with the company's historical acquisitions), unrealized foreign currency exchange (gains) losses, restructuring charges (credits), gains/losses on sales of businesses and properties (including both non-operational properties in Hong Kong and operational properties elsewhere), acquisition related costs (for proposed or completed transactions), earnout liability adjustments, impairment charges, noncontrolling interest ("NCI") adjustments from fair value to redemption value, write-off of deferred financing costs, and certain litigation costs. Please refer to the financial information included with this press release for reconciliations of GAAP financial measures to Non-GAAP financial measures.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Information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routinely post important information for investors on our website, www.belfuse.com, in the "Investor Relations" section. We may use our website as a means of disclosing material, otherwise non-public information and for complying with our disclosure obligations under Regulation FD. Accordingly, investors should monitor the Investor Relations section of our website, in addition to following our press releases, SEC filings, public conference calls, presentations and webcasts. The information contained on, or that may be accessed through, our website is not incorporated by reference into, and is not a part of, this document.</w:t>
      </w:r>
    </w:p>
    <w:p>
      <w:pPr>
        <w:spacing w:after="0" w:line="200" w:lineRule="exact"/>
        <w:rPr>
          <w:sz w:val="20"/>
          <w:szCs w:val="20"/>
          <w:color w:val="auto"/>
        </w:rPr>
      </w:pPr>
    </w:p>
    <w:p>
      <w:pPr>
        <w:spacing w:after="0" w:line="20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i w:val="1"/>
          <w:iCs w:val="1"/>
          <w:color w:val="auto"/>
        </w:rPr>
        <w:t>[Financial tables follow]</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Bel Fuse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Supplementary Information</w:t>
      </w:r>
      <w:r>
        <w:rPr>
          <w:rFonts w:ascii="Times New Roman" w:cs="Times New Roman" w:eastAsia="Times New Roman" w:hAnsi="Times New Roman"/>
          <w:sz w:val="14"/>
          <w:szCs w:val="14"/>
          <w:b w:val="1"/>
          <w:bCs w:val="1"/>
          <w:color w:val="auto"/>
        </w:rPr>
        <w:t>(1)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9"/>
                <w:szCs w:val="19"/>
                <w:color w:val="auto"/>
              </w:rPr>
            </w:pPr>
          </w:p>
        </w:tc>
        <w:tc>
          <w:tcPr>
            <w:tcW w:w="242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0"/>
                <w:szCs w:val="20"/>
                <w:color w:val="auto"/>
              </w:rPr>
            </w:pPr>
          </w:p>
        </w:tc>
        <w:tc>
          <w:tcPr>
            <w:tcW w:w="242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220,510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178,980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609,686</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499,517</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130,229</w:t>
            </w:r>
          </w:p>
        </w:tc>
        <w:tc>
          <w:tcPr>
            <w:tcW w:w="2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107,840</w:t>
            </w:r>
          </w:p>
        </w:tc>
        <w:tc>
          <w:tcPr>
            <w:tcW w:w="2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365,840</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304,475</w:t>
            </w: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90,281</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71,140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243,846</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195,042</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As a % of net sales</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40.9%</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39.7%</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8,795</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7,549</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26,308</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22,875</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39,437</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32,804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112,452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93,225</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As a % of net sales</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charges (credits)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(2,434)</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properties</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(1,626)</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(5,701)</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Earnout liability adjustments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2,439</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1,857</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3,291</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1,857</w:t>
            </w:r>
          </w:p>
        </w:tc>
        <w:tc>
          <w:tcPr>
            <w:tcW w:w="0" w:type="dxa"/>
            <w:vAlign w:val="bottom"/>
          </w:tcPr>
          <w:p>
            <w:pPr>
              <w:spacing w:after="0"/>
              <w:rPr>
                <w:sz w:val="1"/>
                <w:szCs w:val="1"/>
                <w:color w:val="auto"/>
              </w:rPr>
            </w:pPr>
          </w:p>
        </w:tc>
      </w:tr>
      <w:tr>
        <w:trPr>
          <w:trHeight w:val="210"/>
        </w:trPr>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39,553</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30,337</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101,638</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85,220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 % of net sales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(11,775)</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2,740</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4,170</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4,419</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1,058</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788</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11,265</w:t>
            </w:r>
          </w:p>
        </w:tc>
        <w:tc>
          <w:tcPr>
            <w:tcW w:w="0" w:type="dxa"/>
            <w:vAlign w:val="bottom"/>
          </w:tcPr>
          <w:p>
            <w:pPr>
              <w:spacing w:after="0"/>
              <w:rPr>
                <w:sz w:val="1"/>
                <w:szCs w:val="1"/>
                <w:color w:val="auto"/>
              </w:rPr>
            </w:pP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46,641</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28,003</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102,193</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85,487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8,252</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5,448</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14,845</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17,817</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63"/>
        </w:trPr>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38,389</w:t>
            </w:r>
          </w:p>
        </w:tc>
        <w:tc>
          <w:tcPr>
            <w:tcW w:w="2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22,555</w:t>
            </w:r>
          </w:p>
        </w:tc>
        <w:tc>
          <w:tcPr>
            <w:tcW w:w="2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87,348</w:t>
            </w:r>
          </w:p>
        </w:tc>
        <w:tc>
          <w:tcPr>
            <w:tcW w:w="2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67,670</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 a % of net sales</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17.4%</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14.3%</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3,005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2,280</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Redemption value adjustment attributable to noncontrolling interest</w:t>
            </w:r>
          </w:p>
        </w:tc>
        <w:tc>
          <w:tcPr>
            <w:tcW w:w="24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11,823</w:t>
            </w: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w:t>
            </w:r>
          </w:p>
        </w:tc>
        <w:tc>
          <w:tcPr>
            <w:tcW w:w="2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21,194</w:t>
            </w: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(1,595)</w:t>
            </w:r>
          </w:p>
        </w:tc>
        <w:tc>
          <w:tcPr>
            <w:tcW w:w="0" w:type="dxa"/>
            <w:vAlign w:val="bottom"/>
          </w:tcPr>
          <w:p>
            <w:pPr>
              <w:spacing w:after="0"/>
              <w:rPr>
                <w:sz w:val="1"/>
                <w:szCs w:val="1"/>
                <w:color w:val="auto"/>
              </w:rPr>
            </w:pPr>
          </w:p>
        </w:tc>
      </w:tr>
      <w:tr>
        <w:trPr>
          <w:trHeight w:val="223"/>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earnings attributable to Bel Fuse shareholders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26,290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22,250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63,149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66,985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shares - basic</w:t>
            </w:r>
          </w:p>
        </w:tc>
        <w:tc>
          <w:tcPr>
            <w:tcW w:w="240" w:type="dxa"/>
            <w:vAlign w:val="bottom"/>
          </w:tcPr>
          <w:p>
            <w:pPr>
              <w:spacing w:after="0"/>
              <w:rPr>
                <w:sz w:val="24"/>
                <w:szCs w:val="24"/>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2,115</w:t>
            </w:r>
          </w:p>
        </w:tc>
        <w:tc>
          <w:tcPr>
            <w:tcW w:w="22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2,115</w:t>
            </w:r>
          </w:p>
        </w:tc>
        <w:tc>
          <w:tcPr>
            <w:tcW w:w="22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2,115</w:t>
            </w:r>
          </w:p>
        </w:tc>
        <w:tc>
          <w:tcPr>
            <w:tcW w:w="22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2,115</w:t>
            </w:r>
          </w:p>
        </w:tc>
        <w:tc>
          <w:tcPr>
            <w:tcW w:w="0" w:type="dxa"/>
            <w:vAlign w:val="bottom"/>
          </w:tcPr>
          <w:p>
            <w:pPr>
              <w:spacing w:after="0"/>
              <w:rPr>
                <w:sz w:val="1"/>
                <w:szCs w:val="1"/>
                <w:color w:val="auto"/>
              </w:rPr>
            </w:pPr>
          </w:p>
        </w:tc>
      </w:tr>
      <w:tr>
        <w:trPr>
          <w:trHeight w:val="196"/>
        </w:trPr>
        <w:tc>
          <w:tcPr>
            <w:tcW w:w="58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Class A common shares - diluted</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2,115</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2,115</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2,115</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2,115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Class B common shares - basic</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4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12,312</w:t>
            </w:r>
          </w:p>
        </w:tc>
        <w:tc>
          <w:tcPr>
            <w:tcW w:w="2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10,548</w:t>
            </w:r>
          </w:p>
        </w:tc>
        <w:tc>
          <w:tcPr>
            <w:tcW w:w="2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11,455</w:t>
            </w:r>
          </w:p>
        </w:tc>
        <w:tc>
          <w:tcPr>
            <w:tcW w:w="2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10,519</w:t>
            </w:r>
          </w:p>
        </w:tc>
        <w:tc>
          <w:tcPr>
            <w:tcW w:w="1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8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Class B common shares - diluted</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12,324</w:t>
            </w:r>
          </w:p>
        </w:tc>
        <w:tc>
          <w:tcPr>
            <w:tcW w:w="2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10,548</w:t>
            </w:r>
          </w:p>
        </w:tc>
        <w:tc>
          <w:tcPr>
            <w:tcW w:w="2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11,465</w:t>
            </w:r>
          </w:p>
        </w:tc>
        <w:tc>
          <w:tcPr>
            <w:tcW w:w="2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10,519</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earnings per common share: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shares - 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1.74</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1.68</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4.45</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5.07</w:t>
            </w:r>
          </w:p>
        </w:tc>
        <w:tc>
          <w:tcPr>
            <w:tcW w:w="0" w:type="dxa"/>
            <w:vAlign w:val="bottom"/>
          </w:tcPr>
          <w:p>
            <w:pPr>
              <w:spacing w:after="0"/>
              <w:rPr>
                <w:sz w:val="1"/>
                <w:szCs w:val="1"/>
                <w:color w:val="auto"/>
              </w:rPr>
            </w:pPr>
          </w:p>
        </w:tc>
      </w:tr>
      <w:tr>
        <w:trPr>
          <w:trHeight w:val="196"/>
        </w:trPr>
        <w:tc>
          <w:tcPr>
            <w:tcW w:w="58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Class A common shares - diluted</w:t>
            </w: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1.74</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1.68</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4.45</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5.07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Class B common shares - basic</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4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1.84</w:t>
            </w:r>
          </w:p>
        </w:tc>
        <w:tc>
          <w:tcPr>
            <w:tcW w:w="2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1.77</w:t>
            </w:r>
          </w:p>
        </w:tc>
        <w:tc>
          <w:tcPr>
            <w:tcW w:w="2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4.69</w:t>
            </w:r>
          </w:p>
        </w:tc>
        <w:tc>
          <w:tcPr>
            <w:tcW w:w="2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5.35</w:t>
            </w:r>
          </w:p>
        </w:tc>
        <w:tc>
          <w:tcPr>
            <w:tcW w:w="1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8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Class B common shares - diluted</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1.83</w:t>
            </w:r>
          </w:p>
        </w:tc>
        <w:tc>
          <w:tcPr>
            <w:tcW w:w="2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1.77</w:t>
            </w:r>
          </w:p>
        </w:tc>
        <w:tc>
          <w:tcPr>
            <w:tcW w:w="2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4.69</w:t>
            </w:r>
          </w:p>
        </w:tc>
        <w:tc>
          <w:tcPr>
            <w:tcW w:w="2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5.35</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8"/>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supplementary information included in this press release for 2026 is preliminary and subject to change prior to the filing of our upcoming Quarterly Report on Form 10-Q with the SEC.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Bel Fuse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Supplementary Information</w:t>
      </w:r>
      <w:r>
        <w:rPr>
          <w:rFonts w:ascii="Times New Roman" w:cs="Times New Roman" w:eastAsia="Times New Roman" w:hAnsi="Times New Roman"/>
          <w:sz w:val="14"/>
          <w:szCs w:val="14"/>
          <w:b w:val="1"/>
          <w:bCs w:val="1"/>
          <w:color w:val="auto"/>
        </w:rPr>
        <w:t>(1)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ind w:left="37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333,122</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156,178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121,490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224,712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167,270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32,777</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38,201</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746,789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384,761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48,428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22,868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and other intangible assets, net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431,187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432,787</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49,564</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1,309,439</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935,200</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 and shareholders' equity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92,490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52,990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8,029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67,381</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66,426</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168,560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127,445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197,500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15,867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69,895</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75,714</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262,030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416,526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Redeemable noncontrolling interest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114,038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93,161</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933,371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425,513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redeemable noncontrolling interest and shareholders'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1,309,439</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935,200</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8"/>
        <w:spacing w:after="0" w:line="282"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supplementary information included in this press release for 2026 is preliminary and subject to change prior to the filing of our upcoming Quarterly Report on Form 10-Q with the SEC.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Bel Fuse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Supplementary Information</w:t>
      </w:r>
      <w:r>
        <w:rPr>
          <w:rFonts w:ascii="Times New Roman" w:cs="Times New Roman" w:eastAsia="Times New Roman" w:hAnsi="Times New Roman"/>
          <w:sz w:val="14"/>
          <w:szCs w:val="14"/>
          <w:b w:val="1"/>
          <w:bCs w:val="1"/>
          <w:color w:val="auto"/>
        </w:rPr>
        <w:t>(1)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2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87,348</w:t>
            </w:r>
          </w:p>
        </w:tc>
        <w:tc>
          <w:tcPr>
            <w:tcW w:w="5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67,670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20,806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19,936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8,158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4,661</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 (benefit)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(5,331)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1,722</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losses (gains) on foreign currency revaluation</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2,557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(13,203)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sale/disposal of properties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(5,701)</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impairment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 liabilities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3,291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(3,641)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in accounts receivable</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(32,603)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(13,141)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Decrease (increase) in unbilled receivables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(4,097)</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in inventories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(56,495)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other current assets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(3,232)</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decrease in other assets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(2,698)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accounts payable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37,650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4,030</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(decrease) in accrued expenses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Decrease in accrued restructuring costs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(5,010)</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(decrease) in income taxes payable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5,654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(3,142)</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(Decrease) increase in other liabilities</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1,766</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65,956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(11,036)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(8,578)</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held to maturity securities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related party notes receivable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disposal/sale of property, plant and equipment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7,763</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(16,224)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paid to common shareholders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(2,651)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(2,494)</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paid to noncontrolling interest</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(3,324)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for contingent consideration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(3,531)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financing costs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under revolving line of credit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(217,500)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(70,500)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Borrowings under revolving line of credit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net</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441,643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234,637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(65,675)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4,971</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275,322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(10,510)</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beginning of year</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57,800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68,253</w:t>
            </w:r>
          </w:p>
        </w:tc>
        <w:tc>
          <w:tcPr>
            <w:tcW w:w="0" w:type="dxa"/>
            <w:vAlign w:val="bottom"/>
          </w:tcPr>
          <w:p>
            <w:pPr>
              <w:spacing w:after="0"/>
              <w:rPr>
                <w:sz w:val="1"/>
                <w:szCs w:val="1"/>
                <w:color w:val="auto"/>
              </w:rPr>
            </w:pPr>
          </w:p>
        </w:tc>
      </w:tr>
      <w:tr>
        <w:trPr>
          <w:trHeight w:val="263"/>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year</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333,122</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57,743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Supplementary information: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net of refunds received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15,601</w:t>
            </w:r>
          </w:p>
        </w:tc>
        <w:tc>
          <w:tcPr>
            <w:tcW w:w="58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19,426</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Interest payments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3,816</w:t>
            </w:r>
          </w:p>
        </w:tc>
        <w:tc>
          <w:tcPr>
            <w:tcW w:w="1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500" w:type="dxa"/>
            <w:vAlign w:val="bottom"/>
            <w:tcBorders>
              <w:bottom w:val="single" w:sz="8" w:color="auto"/>
            </w:tcBorders>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11,831</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000" w:type="dxa"/>
            <w:vAlign w:val="bottom"/>
            <w:tcBorders>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15,130</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1,784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8"/>
        <w:spacing w:after="0" w:line="282"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supplementary information included in this press release for 2026 is preliminary and subject to change prior to the filing of our upcoming Quarterly Report on Form 10-Q with the SEC.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407"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Aerospace, Defense &amp; Rugged Solutions Industrial Technology &amp; Data Solutions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Aerospace, Defense &amp; Rugged Solutions Industrial Technology &amp; Data Solutions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jc w:val="center"/>
        <w:ind w:right="3240"/>
        <w:spacing w:after="0"/>
        <w:rPr>
          <w:sz w:val="20"/>
          <w:szCs w:val="20"/>
          <w:color w:val="auto"/>
        </w:rPr>
      </w:pPr>
      <w:r>
        <w:rPr>
          <w:rFonts w:ascii="Times New Roman" w:cs="Times New Roman" w:eastAsia="Times New Roman" w:hAnsi="Times New Roman"/>
          <w:sz w:val="18"/>
          <w:szCs w:val="18"/>
          <w:b w:val="1"/>
          <w:bCs w:val="1"/>
          <w:color w:val="auto"/>
        </w:rPr>
        <w:t>Bel Fuse Inc.</w:t>
      </w:r>
    </w:p>
    <w:p>
      <w:pPr>
        <w:spacing w:after="0" w:line="31" w:lineRule="exact"/>
        <w:rPr>
          <w:sz w:val="20"/>
          <w:szCs w:val="20"/>
          <w:color w:val="auto"/>
        </w:rPr>
      </w:pPr>
    </w:p>
    <w:p>
      <w:pPr>
        <w:jc w:val="center"/>
        <w:ind w:right="3240"/>
        <w:spacing w:after="0"/>
        <w:rPr>
          <w:sz w:val="20"/>
          <w:szCs w:val="20"/>
          <w:color w:val="auto"/>
        </w:rPr>
      </w:pPr>
      <w:r>
        <w:rPr>
          <w:rFonts w:ascii="Times New Roman" w:cs="Times New Roman" w:eastAsia="Times New Roman" w:hAnsi="Times New Roman"/>
          <w:sz w:val="18"/>
          <w:szCs w:val="18"/>
          <w:b w:val="1"/>
          <w:bCs w:val="1"/>
          <w:color w:val="auto"/>
        </w:rPr>
        <w:t>Supplementary Information</w:t>
      </w:r>
      <w:r>
        <w:rPr>
          <w:rFonts w:ascii="Times New Roman" w:cs="Times New Roman" w:eastAsia="Times New Roman" w:hAnsi="Times New Roman"/>
          <w:sz w:val="14"/>
          <w:szCs w:val="14"/>
          <w:b w:val="1"/>
          <w:bCs w:val="1"/>
          <w:color w:val="auto"/>
        </w:rPr>
        <w:t>(1)</w:t>
      </w:r>
    </w:p>
    <w:p>
      <w:pPr>
        <w:spacing w:after="0" w:line="9" w:lineRule="exact"/>
        <w:rPr>
          <w:sz w:val="20"/>
          <w:szCs w:val="20"/>
          <w:color w:val="auto"/>
        </w:rPr>
      </w:pPr>
    </w:p>
    <w:p>
      <w:pPr>
        <w:jc w:val="center"/>
        <w:ind w:right="3240"/>
        <w:spacing w:after="0"/>
        <w:rPr>
          <w:sz w:val="20"/>
          <w:szCs w:val="20"/>
          <w:color w:val="auto"/>
        </w:rPr>
      </w:pPr>
      <w:r>
        <w:rPr>
          <w:rFonts w:ascii="Times New Roman" w:cs="Times New Roman" w:eastAsia="Times New Roman" w:hAnsi="Times New Roman"/>
          <w:sz w:val="18"/>
          <w:szCs w:val="18"/>
          <w:b w:val="1"/>
          <w:bCs w:val="1"/>
          <w:color w:val="auto"/>
        </w:rPr>
        <w:t>Segment Highlights</w:t>
      </w:r>
    </w:p>
    <w:p>
      <w:pPr>
        <w:spacing w:after="0" w:line="9" w:lineRule="exact"/>
        <w:rPr>
          <w:sz w:val="20"/>
          <w:szCs w:val="20"/>
          <w:color w:val="auto"/>
        </w:rPr>
      </w:pPr>
    </w:p>
    <w:p>
      <w:pPr>
        <w:jc w:val="center"/>
        <w:ind w:right="3240"/>
        <w:spacing w:after="0"/>
        <w:rPr>
          <w:sz w:val="20"/>
          <w:szCs w:val="20"/>
          <w:color w:val="auto"/>
        </w:rPr>
      </w:pPr>
      <w:r>
        <w:rPr>
          <w:rFonts w:ascii="Times New Roman" w:cs="Times New Roman" w:eastAsia="Times New Roman" w:hAnsi="Times New Roman"/>
          <w:sz w:val="18"/>
          <w:szCs w:val="18"/>
          <w:b w:val="1"/>
          <w:bCs w:val="1"/>
          <w:color w:val="auto"/>
        </w:rPr>
        <w:t>(dollars in thousands,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1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Basis Point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Q3-26</w:t>
            </w:r>
          </w:p>
        </w:tc>
        <w:tc>
          <w:tcPr>
            <w:tcW w:w="220" w:type="dxa"/>
            <w:vAlign w:val="bottom"/>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Q3-25</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Q3-26</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Q3-25</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106,596</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96,298</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39.6%</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41.1%</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113,914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82,682</w:t>
            </w:r>
          </w:p>
        </w:tc>
        <w:tc>
          <w:tcPr>
            <w:tcW w:w="220" w:type="dxa"/>
            <w:vAlign w:val="bottom"/>
          </w:tcPr>
          <w:p>
            <w:pPr>
              <w:spacing w:after="0"/>
              <w:rPr>
                <w:sz w:val="20"/>
                <w:szCs w:val="20"/>
                <w:color w:val="auto"/>
              </w:rPr>
            </w:pP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37.8%</w:t>
            </w: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42.7%</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38.0%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220,510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178,980</w:t>
            </w:r>
          </w:p>
        </w:tc>
        <w:tc>
          <w:tcPr>
            <w:tcW w:w="220" w:type="dxa"/>
            <w:vAlign w:val="bottom"/>
            <w:vMerge w:val="continue"/>
          </w:tcPr>
          <w:p>
            <w:pPr>
              <w:spacing w:after="0"/>
              <w:rPr>
                <w:sz w:val="18"/>
                <w:szCs w:val="18"/>
                <w:color w:val="auto"/>
              </w:rPr>
            </w:pP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23.2%</w:t>
            </w: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40.9%</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39.7%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1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1220" w:type="dxa"/>
            <w:vAlign w:val="bottom"/>
            <w:gridSpan w:val="3"/>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YTD</w:t>
            </w:r>
          </w:p>
        </w:tc>
        <w:tc>
          <w:tcPr>
            <w:tcW w:w="100" w:type="dxa"/>
            <w:vAlign w:val="bottom"/>
          </w:tcPr>
          <w:p>
            <w:pPr>
              <w:spacing w:after="0"/>
              <w:rPr>
                <w:sz w:val="16"/>
                <w:szCs w:val="16"/>
                <w:color w:val="auto"/>
              </w:rPr>
            </w:pPr>
          </w:p>
        </w:tc>
        <w:tc>
          <w:tcPr>
            <w:tcW w:w="122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YTD</w:t>
            </w: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YTD</w:t>
            </w:r>
          </w:p>
        </w:tc>
        <w:tc>
          <w:tcPr>
            <w:tcW w:w="1380" w:type="dxa"/>
            <w:vAlign w:val="bottom"/>
            <w:gridSpan w:val="2"/>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YTD</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138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11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Basis Point</w:t>
            </w:r>
          </w:p>
        </w:tc>
        <w:tc>
          <w:tcPr>
            <w:tcW w:w="0" w:type="dxa"/>
            <w:vAlign w:val="bottom"/>
          </w:tcPr>
          <w:p>
            <w:pPr>
              <w:spacing w:after="0"/>
              <w:rPr>
                <w:sz w:val="1"/>
                <w:szCs w:val="1"/>
                <w:color w:val="auto"/>
              </w:rPr>
            </w:pPr>
          </w:p>
        </w:tc>
      </w:tr>
      <w:tr>
        <w:trPr>
          <w:trHeight w:val="238"/>
        </w:trPr>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316,874</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271,252</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16.8%</w:t>
            </w: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40.7%</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40.9%</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8"/>
        </w:trPr>
        <w:tc>
          <w:tcPr>
            <w:tcW w:w="1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292,812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228,265</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28.3%</w:t>
            </w: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39.7%</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37.3%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609,686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499,517</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-1757045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-1473835</wp:posOffset>
            </wp:positionV>
            <wp:extent cx="71323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-462280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-179070</wp:posOffset>
            </wp:positionV>
            <wp:extent cx="71323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960" w:space="280"/>
            <w:col w:w="8000"/>
          </w:cols>
          <w:pgMar w:left="320" w:top="576" w:right="339" w:bottom="1440" w:gutter="0" w:footer="0" w:header="0"/>
        </w:sectPr>
      </w:pPr>
    </w:p>
    <w:p>
      <w:pPr>
        <w:ind w:firstLine="8"/>
        <w:spacing w:after="0" w:line="282"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supplementary information included in this press release for 2026 is preliminary and subject to change prior to the filing of our upcoming Quarterly Report on Form 10-Q with the SEC.</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Bel Fuse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Supplementary Information</w:t>
      </w:r>
      <w:r>
        <w:rPr>
          <w:rFonts w:ascii="Times New Roman" w:cs="Times New Roman" w:eastAsia="Times New Roman" w:hAnsi="Times New Roman"/>
          <w:sz w:val="14"/>
          <w:szCs w:val="14"/>
          <w:b w:val="1"/>
          <w:bCs w:val="1"/>
          <w:color w:val="auto"/>
        </w:rPr>
        <w:t>(1)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Net Earnings to Non-GAAP Operating Income and Adjusted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9"/>
                <w:szCs w:val="19"/>
                <w:color w:val="auto"/>
              </w:rPr>
            </w:pPr>
          </w:p>
        </w:tc>
        <w:tc>
          <w:tcPr>
            <w:tcW w:w="242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0"/>
                <w:szCs w:val="20"/>
                <w:color w:val="auto"/>
              </w:rPr>
            </w:pPr>
          </w:p>
        </w:tc>
        <w:tc>
          <w:tcPr>
            <w:tcW w:w="242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Net Earnings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38,389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22,555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87,348</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67,670</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8,252</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5,448</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14,845</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17,817</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(4,419)</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(11,265)</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(2,740)</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(4,170)</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3,630</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4,403</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11,775</w:t>
            </w:r>
          </w:p>
        </w:tc>
        <w:tc>
          <w:tcPr>
            <w:tcW w:w="0" w:type="dxa"/>
            <w:vAlign w:val="bottom"/>
          </w:tcPr>
          <w:p>
            <w:pPr>
              <w:spacing w:after="0"/>
              <w:rPr>
                <w:sz w:val="1"/>
                <w:szCs w:val="1"/>
                <w:color w:val="auto"/>
              </w:rPr>
            </w:pPr>
          </w:p>
        </w:tc>
      </w:tr>
      <w:tr>
        <w:trPr>
          <w:trHeight w:val="209"/>
        </w:trPr>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GAAP Operating Income</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39,553</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30,337</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101,638</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85,220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charges (credits)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Earnout liability adjustments</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2,439</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1,857</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3,291</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1,857</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3,047</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1,761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8,158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4,661</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1,806</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inventory step-up</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1,757</w:t>
            </w:r>
          </w:p>
        </w:tc>
        <w:tc>
          <w:tcPr>
            <w:tcW w:w="0" w:type="dxa"/>
            <w:vAlign w:val="bottom"/>
          </w:tcPr>
          <w:p>
            <w:pPr>
              <w:spacing w:after="0"/>
              <w:rPr>
                <w:sz w:val="1"/>
                <w:szCs w:val="1"/>
                <w:color w:val="auto"/>
              </w:rPr>
            </w:pPr>
          </w:p>
        </w:tc>
      </w:tr>
      <w:tr>
        <w:trPr>
          <w:trHeight w:val="229"/>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of properties</w:t>
            </w:r>
          </w:p>
        </w:tc>
        <w:tc>
          <w:tcPr>
            <w:tcW w:w="24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(1,626)</w:t>
            </w:r>
          </w:p>
        </w:tc>
        <w:tc>
          <w:tcPr>
            <w:tcW w:w="2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(5,701)</w:t>
            </w:r>
          </w:p>
        </w:tc>
        <w:tc>
          <w:tcPr>
            <w:tcW w:w="0" w:type="dxa"/>
            <w:vAlign w:val="bottom"/>
          </w:tcPr>
          <w:p>
            <w:pPr>
              <w:spacing w:after="0"/>
              <w:rPr>
                <w:sz w:val="1"/>
                <w:szCs w:val="1"/>
                <w:color w:val="auto"/>
              </w:rPr>
            </w:pPr>
          </w:p>
        </w:tc>
      </w:tr>
      <w:tr>
        <w:trPr>
          <w:trHeight w:val="223"/>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45,239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32,548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115,050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85,360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7,271</w:t>
            </w:r>
          </w:p>
        </w:tc>
        <w:tc>
          <w:tcPr>
            <w:tcW w:w="28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6,652</w:t>
            </w:r>
          </w:p>
        </w:tc>
        <w:tc>
          <w:tcPr>
            <w:tcW w:w="28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20,806</w:t>
            </w:r>
          </w:p>
        </w:tc>
        <w:tc>
          <w:tcPr>
            <w:tcW w:w="28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19,936</w:t>
            </w:r>
          </w:p>
        </w:tc>
        <w:tc>
          <w:tcPr>
            <w:tcW w:w="16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52,510</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39,200</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135,856</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105,296</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 of net sales</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23.8%</w:t>
            </w:r>
          </w:p>
        </w:tc>
        <w:tc>
          <w:tcPr>
            <w:tcW w:w="220" w:type="dxa"/>
            <w:vAlign w:val="bottom"/>
          </w:tcPr>
          <w:p>
            <w:pPr>
              <w:spacing w:after="0"/>
              <w:rPr>
                <w:sz w:val="17"/>
                <w:szCs w:val="17"/>
                <w:color w:val="auto"/>
              </w:rPr>
            </w:pPr>
          </w:p>
        </w:tc>
        <w:tc>
          <w:tcPr>
            <w:tcW w:w="116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21.9%</w:t>
            </w:r>
          </w:p>
        </w:tc>
        <w:tc>
          <w:tcPr>
            <w:tcW w:w="220" w:type="dxa"/>
            <w:vAlign w:val="bottom"/>
          </w:tcPr>
          <w:p>
            <w:pPr>
              <w:spacing w:after="0"/>
              <w:rPr>
                <w:sz w:val="17"/>
                <w:szCs w:val="17"/>
                <w:color w:val="auto"/>
              </w:rPr>
            </w:pPr>
          </w:p>
        </w:tc>
        <w:tc>
          <w:tcPr>
            <w:tcW w:w="116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22.3%</w:t>
            </w:r>
          </w:p>
        </w:tc>
        <w:tc>
          <w:tcPr>
            <w:tcW w:w="220" w:type="dxa"/>
            <w:vAlign w:val="bottom"/>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8"/>
        <w:spacing w:after="0" w:line="282"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supplementary information included in this press release for 2026 is preliminary and subject to change prior to the filing of our upcoming Quarterly Report on Form 10-Q with the SEC.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Bel Fuse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Supplementary Information</w:t>
      </w:r>
      <w:r>
        <w:rPr>
          <w:rFonts w:ascii="Times New Roman" w:cs="Times New Roman" w:eastAsia="Times New Roman" w:hAnsi="Times New Roman"/>
          <w:sz w:val="14"/>
          <w:szCs w:val="14"/>
          <w:b w:val="1"/>
          <w:bCs w:val="1"/>
          <w:color w:val="auto"/>
        </w:rPr>
        <w:t>(1)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Measures to Non-GAAP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 (unaudited)</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following tables detail the impact that certain unusual or special items had on the Company’s earnings before taxes, provision for income taxes, net earnings attributable to Bel Fuse Shareholders, and net earnings per common Class A and Class B basic shares (“EPS”), as well as the line items in which these items were included on the consolidated statements of operations.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11"/>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2026</w:t>
            </w: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11"/>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3"/>
        </w:trPr>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1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for</w:t>
            </w: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Attributable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Basic</w:t>
            </w:r>
          </w:p>
        </w:tc>
        <w:tc>
          <w:tcPr>
            <w:tcW w:w="80" w:type="dxa"/>
            <w:vAlign w:val="bottom"/>
          </w:tcPr>
          <w:p>
            <w:pPr>
              <w:spacing w:after="0"/>
              <w:rPr>
                <w:sz w:val="17"/>
                <w:szCs w:val="17"/>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Basic</w:t>
            </w:r>
          </w:p>
        </w:tc>
        <w:tc>
          <w:tcPr>
            <w:tcW w:w="80" w:type="dxa"/>
            <w:vAlign w:val="bottom"/>
          </w:tcPr>
          <w:p>
            <w:pPr>
              <w:spacing w:after="0"/>
              <w:rPr>
                <w:sz w:val="17"/>
                <w:szCs w:val="17"/>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w:t>
            </w:r>
          </w:p>
        </w:tc>
        <w:tc>
          <w:tcPr>
            <w:tcW w:w="80" w:type="dxa"/>
            <w:vAlign w:val="bottom"/>
          </w:tcPr>
          <w:p>
            <w:pPr>
              <w:spacing w:after="0"/>
              <w:rPr>
                <w:sz w:val="17"/>
                <w:szCs w:val="17"/>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Attributable</w:t>
            </w:r>
          </w:p>
        </w:tc>
        <w:tc>
          <w:tcPr>
            <w:tcW w:w="80" w:type="dxa"/>
            <w:vAlign w:val="bottom"/>
          </w:tcPr>
          <w:p>
            <w:pPr>
              <w:spacing w:after="0"/>
              <w:rPr>
                <w:sz w:val="17"/>
                <w:szCs w:val="17"/>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Basic</w:t>
            </w:r>
          </w:p>
        </w:tc>
        <w:tc>
          <w:tcPr>
            <w:tcW w:w="100" w:type="dxa"/>
            <w:vAlign w:val="bottom"/>
          </w:tcPr>
          <w:p>
            <w:pPr>
              <w:spacing w:after="0"/>
              <w:rPr>
                <w:sz w:val="17"/>
                <w:szCs w:val="17"/>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Basic</w:t>
            </w:r>
          </w:p>
        </w:tc>
      </w:tr>
      <w:tr>
        <w:trPr>
          <w:trHeight w:val="202"/>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before</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to Bel Fuse</w:t>
            </w:r>
          </w:p>
        </w:tc>
        <w:tc>
          <w:tcPr>
            <w:tcW w:w="80" w:type="dxa"/>
            <w:vAlign w:val="bottom"/>
          </w:tcPr>
          <w:p>
            <w:pPr>
              <w:spacing w:after="0"/>
              <w:rPr>
                <w:sz w:val="17"/>
                <w:szCs w:val="17"/>
                <w:color w:val="auto"/>
              </w:rPr>
            </w:pPr>
          </w:p>
        </w:tc>
        <w:tc>
          <w:tcPr>
            <w:tcW w:w="8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7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before</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80" w:type="dxa"/>
            <w:vAlign w:val="bottom"/>
          </w:tcPr>
          <w:p>
            <w:pPr>
              <w:spacing w:after="0"/>
              <w:rPr>
                <w:sz w:val="17"/>
                <w:szCs w:val="17"/>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to Bel Fuse</w:t>
            </w:r>
          </w:p>
        </w:tc>
        <w:tc>
          <w:tcPr>
            <w:tcW w:w="8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7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Class B</w:t>
            </w:r>
          </w:p>
        </w:tc>
      </w:tr>
      <w:tr>
        <w:trPr>
          <w:trHeight w:val="219"/>
        </w:trPr>
        <w:tc>
          <w:tcPr>
            <w:tcW w:w="2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Reconciling Items</w:t>
            </w:r>
          </w:p>
        </w:tc>
        <w:tc>
          <w:tcPr>
            <w:tcW w:w="100" w:type="dxa"/>
            <w:vAlign w:val="bottom"/>
          </w:tcPr>
          <w:p>
            <w:pPr>
              <w:spacing w:after="0"/>
              <w:rPr>
                <w:sz w:val="19"/>
                <w:szCs w:val="19"/>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taxes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taxes</w:t>
            </w:r>
          </w:p>
        </w:tc>
        <w:tc>
          <w:tcPr>
            <w:tcW w:w="10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center"/>
              <w:ind w:right="300"/>
              <w:spacing w:after="0" w:line="220" w:lineRule="exact"/>
              <w:rPr>
                <w:sz w:val="20"/>
                <w:szCs w:val="20"/>
                <w:color w:val="auto"/>
              </w:rPr>
            </w:pPr>
            <w:r>
              <w:rPr>
                <w:rFonts w:ascii="Times New Roman" w:cs="Times New Roman" w:eastAsia="Times New Roman" w:hAnsi="Times New Roman"/>
                <w:sz w:val="16"/>
                <w:szCs w:val="16"/>
                <w:b w:val="1"/>
                <w:bCs w:val="1"/>
                <w:color w:val="auto"/>
                <w:w w:val="90"/>
              </w:rPr>
              <w:t>EPS</w:t>
            </w:r>
            <w:r>
              <w:rPr>
                <w:rFonts w:ascii="Times New Roman" w:cs="Times New Roman" w:eastAsia="Times New Roman" w:hAnsi="Times New Roman"/>
                <w:sz w:val="25"/>
                <w:szCs w:val="25"/>
                <w:b w:val="1"/>
                <w:bCs w:val="1"/>
                <w:color w:val="auto"/>
                <w:w w:val="90"/>
                <w:vertAlign w:val="superscript"/>
              </w:rPr>
              <w:t>(2)</w:t>
            </w:r>
          </w:p>
        </w:tc>
        <w:tc>
          <w:tcPr>
            <w:tcW w:w="80" w:type="dxa"/>
            <w:vAlign w:val="bottom"/>
          </w:tcPr>
          <w:p>
            <w:pPr>
              <w:spacing w:after="0"/>
              <w:rPr>
                <w:sz w:val="19"/>
                <w:szCs w:val="19"/>
                <w:color w:val="auto"/>
              </w:rPr>
            </w:pPr>
          </w:p>
        </w:tc>
        <w:tc>
          <w:tcPr>
            <w:tcW w:w="700" w:type="dxa"/>
            <w:vAlign w:val="bottom"/>
            <w:gridSpan w:val="2"/>
          </w:tcPr>
          <w:p>
            <w:pPr>
              <w:jc w:val="center"/>
              <w:ind w:right="200"/>
              <w:spacing w:after="0" w:line="220" w:lineRule="exact"/>
              <w:rPr>
                <w:sz w:val="20"/>
                <w:szCs w:val="20"/>
                <w:color w:val="auto"/>
              </w:rPr>
            </w:pPr>
            <w:r>
              <w:rPr>
                <w:rFonts w:ascii="Times New Roman" w:cs="Times New Roman" w:eastAsia="Times New Roman" w:hAnsi="Times New Roman"/>
                <w:sz w:val="16"/>
                <w:szCs w:val="16"/>
                <w:b w:val="1"/>
                <w:bCs w:val="1"/>
                <w:color w:val="auto"/>
                <w:w w:val="94"/>
              </w:rPr>
              <w:t>EPS</w:t>
            </w:r>
            <w:r>
              <w:rPr>
                <w:rFonts w:ascii="Times New Roman" w:cs="Times New Roman" w:eastAsia="Times New Roman" w:hAnsi="Times New Roman"/>
                <w:sz w:val="25"/>
                <w:szCs w:val="25"/>
                <w:b w:val="1"/>
                <w:bCs w:val="1"/>
                <w:color w:val="auto"/>
                <w:w w:val="94"/>
                <w:vertAlign w:val="superscript"/>
              </w:rPr>
              <w:t>(2)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taxes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taxes</w:t>
            </w:r>
          </w:p>
        </w:tc>
        <w:tc>
          <w:tcPr>
            <w:tcW w:w="120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80" w:type="dxa"/>
            <w:vAlign w:val="bottom"/>
          </w:tcPr>
          <w:p>
            <w:pPr>
              <w:spacing w:after="0"/>
              <w:rPr>
                <w:sz w:val="19"/>
                <w:szCs w:val="19"/>
                <w:color w:val="auto"/>
              </w:rPr>
            </w:pPr>
          </w:p>
        </w:tc>
        <w:tc>
          <w:tcPr>
            <w:tcW w:w="780" w:type="dxa"/>
            <w:vAlign w:val="bottom"/>
            <w:gridSpan w:val="2"/>
          </w:tcPr>
          <w:p>
            <w:pPr>
              <w:jc w:val="center"/>
              <w:ind w:right="280"/>
              <w:spacing w:after="0" w:line="220" w:lineRule="exact"/>
              <w:rPr>
                <w:sz w:val="20"/>
                <w:szCs w:val="20"/>
                <w:color w:val="auto"/>
              </w:rPr>
            </w:pPr>
            <w:r>
              <w:rPr>
                <w:rFonts w:ascii="Times New Roman" w:cs="Times New Roman" w:eastAsia="Times New Roman" w:hAnsi="Times New Roman"/>
                <w:sz w:val="16"/>
                <w:szCs w:val="16"/>
                <w:b w:val="1"/>
                <w:bCs w:val="1"/>
                <w:color w:val="auto"/>
                <w:w w:val="94"/>
              </w:rPr>
              <w:t>EPS</w:t>
            </w:r>
            <w:r>
              <w:rPr>
                <w:rFonts w:ascii="Times New Roman" w:cs="Times New Roman" w:eastAsia="Times New Roman" w:hAnsi="Times New Roman"/>
                <w:sz w:val="25"/>
                <w:szCs w:val="25"/>
                <w:b w:val="1"/>
                <w:bCs w:val="1"/>
                <w:color w:val="auto"/>
                <w:w w:val="94"/>
                <w:vertAlign w:val="superscript"/>
              </w:rPr>
              <w:t>(2)</w:t>
            </w:r>
          </w:p>
        </w:tc>
        <w:tc>
          <w:tcPr>
            <w:tcW w:w="100" w:type="dxa"/>
            <w:vAlign w:val="bottom"/>
          </w:tcPr>
          <w:p>
            <w:pPr>
              <w:spacing w:after="0"/>
              <w:rPr>
                <w:sz w:val="19"/>
                <w:szCs w:val="19"/>
                <w:color w:val="auto"/>
              </w:rPr>
            </w:pPr>
          </w:p>
        </w:tc>
        <w:tc>
          <w:tcPr>
            <w:tcW w:w="660" w:type="dxa"/>
            <w:vAlign w:val="bottom"/>
            <w:gridSpan w:val="2"/>
          </w:tcPr>
          <w:p>
            <w:pPr>
              <w:jc w:val="center"/>
              <w:ind w:right="200"/>
              <w:spacing w:after="0" w:line="220" w:lineRule="exact"/>
              <w:rPr>
                <w:sz w:val="20"/>
                <w:szCs w:val="20"/>
                <w:color w:val="auto"/>
              </w:rPr>
            </w:pPr>
            <w:r>
              <w:rPr>
                <w:rFonts w:ascii="Times New Roman" w:cs="Times New Roman" w:eastAsia="Times New Roman" w:hAnsi="Times New Roman"/>
                <w:sz w:val="16"/>
                <w:szCs w:val="16"/>
                <w:b w:val="1"/>
                <w:bCs w:val="1"/>
                <w:color w:val="auto"/>
                <w:w w:val="94"/>
              </w:rPr>
              <w:t>EPS</w:t>
            </w:r>
            <w:r>
              <w:rPr>
                <w:rFonts w:ascii="Times New Roman" w:cs="Times New Roman" w:eastAsia="Times New Roman" w:hAnsi="Times New Roman"/>
                <w:sz w:val="25"/>
                <w:szCs w:val="25"/>
                <w:b w:val="1"/>
                <w:bCs w:val="1"/>
                <w:color w:val="auto"/>
                <w:w w:val="94"/>
                <w:vertAlign w:val="superscript"/>
              </w:rPr>
              <w:t>(2)</w:t>
            </w:r>
          </w:p>
        </w:tc>
      </w:tr>
      <w:tr>
        <w:trPr>
          <w:trHeight w:val="196"/>
        </w:trPr>
        <w:tc>
          <w:tcPr>
            <w:tcW w:w="2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GAAP measures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46,641</w:t>
            </w: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8,252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26,290</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1.74</w:t>
            </w: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1.84</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28,003</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5,448</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22,250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1.77</w:t>
            </w:r>
          </w:p>
        </w:tc>
      </w:tr>
      <w:tr>
        <w:trPr>
          <w:trHeight w:val="203"/>
        </w:trPr>
        <w:tc>
          <w:tcPr>
            <w:tcW w:w="21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Restructuring charges</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183</w:t>
            </w:r>
          </w:p>
        </w:tc>
        <w:tc>
          <w:tcPr>
            <w:tcW w:w="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0.01</w:t>
            </w:r>
          </w:p>
        </w:tc>
      </w:tr>
      <w:tr>
        <w:trPr>
          <w:trHeight w:val="189"/>
        </w:trPr>
        <w:tc>
          <w:tcPr>
            <w:tcW w:w="2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Earnout liability</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390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1,560</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0.12</w:t>
            </w:r>
          </w:p>
        </w:tc>
      </w:tr>
      <w:tr>
        <w:trPr>
          <w:trHeight w:val="203"/>
        </w:trPr>
        <w:tc>
          <w:tcPr>
            <w:tcW w:w="21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679</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1,761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1,398</w:t>
            </w:r>
          </w:p>
        </w:tc>
        <w:tc>
          <w:tcPr>
            <w:tcW w:w="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0.11</w:t>
            </w:r>
          </w:p>
        </w:tc>
      </w:tr>
      <w:tr>
        <w:trPr>
          <w:trHeight w:val="203"/>
        </w:trPr>
        <w:tc>
          <w:tcPr>
            <w:tcW w:w="2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Acquisition related costs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21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Redemption value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21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adjustment on redeemable</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21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NCI</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11,823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(315)</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(0.02)</w:t>
            </w:r>
          </w:p>
        </w:tc>
      </w:tr>
      <w:tr>
        <w:trPr>
          <w:trHeight w:val="205"/>
        </w:trPr>
        <w:tc>
          <w:tcPr>
            <w:tcW w:w="2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694</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3,700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3,053</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0.23</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0.24</w:t>
            </w:r>
          </w:p>
        </w:tc>
      </w:tr>
      <w:tr>
        <w:trPr>
          <w:trHeight w:val="189"/>
        </w:trPr>
        <w:tc>
          <w:tcPr>
            <w:tcW w:w="21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Unrealized foreign currency</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1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exchange gains</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(896)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(0.06)</w:t>
            </w:r>
          </w:p>
        </w:tc>
        <w:tc>
          <w:tcPr>
            <w:tcW w:w="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(210)</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(0.02)</w:t>
            </w:r>
          </w:p>
        </w:tc>
      </w:tr>
      <w:tr>
        <w:trPr>
          <w:trHeight w:val="192"/>
        </w:trPr>
        <w:tc>
          <w:tcPr>
            <w:tcW w:w="2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on sale of Hong Kong</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(976)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(0.06)</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1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Gain on sale of properties</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(1,626)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(1,626)</w:t>
            </w:r>
          </w:p>
        </w:tc>
        <w:tc>
          <w:tcPr>
            <w:tcW w:w="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(0.13)</w:t>
            </w:r>
          </w:p>
        </w:tc>
      </w:tr>
      <w:tr>
        <w:trPr>
          <w:trHeight w:val="20"/>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Non-GAAP measures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53,997</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9,729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43,992</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r>
              <w:rPr>
                <w:rFonts w:ascii="Times New Roman" w:cs="Times New Roman" w:eastAsia="Times New Roman" w:hAnsi="Times New Roman"/>
                <w:sz w:val="16"/>
                <w:szCs w:val="16"/>
                <w:b w:val="1"/>
                <w:bCs w:val="1"/>
                <w:u w:val="single" w:color="auto"/>
                <w:color w:val="auto"/>
              </w:rPr>
              <w:t>92</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r>
              <w:rPr>
                <w:rFonts w:ascii="Times New Roman" w:cs="Times New Roman" w:eastAsia="Times New Roman" w:hAnsi="Times New Roman"/>
                <w:sz w:val="16"/>
                <w:szCs w:val="16"/>
                <w:b w:val="1"/>
                <w:bCs w:val="1"/>
                <w:u w:val="single" w:color="auto"/>
                <w:color w:val="auto"/>
              </w:rPr>
              <w:t>07</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33,623</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6,710</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26,293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w:t>
            </w:r>
            <w:r>
              <w:rPr>
                <w:rFonts w:ascii="Times New Roman" w:cs="Times New Roman" w:eastAsia="Times New Roman" w:hAnsi="Times New Roman"/>
                <w:sz w:val="16"/>
                <w:szCs w:val="16"/>
                <w:b w:val="1"/>
                <w:bCs w:val="1"/>
                <w:u w:val="single" w:color="auto"/>
                <w:color w:val="auto"/>
              </w:rPr>
              <w:t>99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w:t>
            </w:r>
            <w:r>
              <w:rPr>
                <w:rFonts w:ascii="Times New Roman" w:cs="Times New Roman" w:eastAsia="Times New Roman" w:hAnsi="Times New Roman"/>
                <w:sz w:val="16"/>
                <w:szCs w:val="16"/>
                <w:b w:val="1"/>
                <w:bCs w:val="1"/>
                <w:u w:val="single" w:color="auto"/>
                <w:color w:val="auto"/>
              </w:rPr>
              <w:t>09</w:t>
            </w:r>
          </w:p>
        </w:tc>
      </w:tr>
      <w:tr>
        <w:trPr>
          <w:trHeight w:val="20"/>
        </w:trPr>
        <w:tc>
          <w:tcPr>
            <w:tcW w:w="2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625"/>
        </w:trPr>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11"/>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11"/>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1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for</w:t>
            </w: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Attributable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Basic</w:t>
            </w:r>
          </w:p>
        </w:tc>
        <w:tc>
          <w:tcPr>
            <w:tcW w:w="80" w:type="dxa"/>
            <w:vAlign w:val="bottom"/>
          </w:tcPr>
          <w:p>
            <w:pPr>
              <w:spacing w:after="0"/>
              <w:rPr>
                <w:sz w:val="17"/>
                <w:szCs w:val="17"/>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Basic</w:t>
            </w:r>
          </w:p>
        </w:tc>
        <w:tc>
          <w:tcPr>
            <w:tcW w:w="80" w:type="dxa"/>
            <w:vAlign w:val="bottom"/>
          </w:tcPr>
          <w:p>
            <w:pPr>
              <w:spacing w:after="0"/>
              <w:rPr>
                <w:sz w:val="17"/>
                <w:szCs w:val="17"/>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w:t>
            </w:r>
          </w:p>
        </w:tc>
        <w:tc>
          <w:tcPr>
            <w:tcW w:w="80" w:type="dxa"/>
            <w:vAlign w:val="bottom"/>
          </w:tcPr>
          <w:p>
            <w:pPr>
              <w:spacing w:after="0"/>
              <w:rPr>
                <w:sz w:val="17"/>
                <w:szCs w:val="17"/>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Attributable</w:t>
            </w:r>
          </w:p>
        </w:tc>
        <w:tc>
          <w:tcPr>
            <w:tcW w:w="80" w:type="dxa"/>
            <w:vAlign w:val="bottom"/>
          </w:tcPr>
          <w:p>
            <w:pPr>
              <w:spacing w:after="0"/>
              <w:rPr>
                <w:sz w:val="17"/>
                <w:szCs w:val="17"/>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Basic</w:t>
            </w:r>
          </w:p>
        </w:tc>
        <w:tc>
          <w:tcPr>
            <w:tcW w:w="100" w:type="dxa"/>
            <w:vAlign w:val="bottom"/>
          </w:tcPr>
          <w:p>
            <w:pPr>
              <w:spacing w:after="0"/>
              <w:rPr>
                <w:sz w:val="17"/>
                <w:szCs w:val="17"/>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Basic</w:t>
            </w:r>
          </w:p>
        </w:tc>
      </w:tr>
      <w:tr>
        <w:trPr>
          <w:trHeight w:val="202"/>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before</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to Bel Fuse</w:t>
            </w:r>
          </w:p>
        </w:tc>
        <w:tc>
          <w:tcPr>
            <w:tcW w:w="80" w:type="dxa"/>
            <w:vAlign w:val="bottom"/>
          </w:tcPr>
          <w:p>
            <w:pPr>
              <w:spacing w:after="0"/>
              <w:rPr>
                <w:sz w:val="17"/>
                <w:szCs w:val="17"/>
                <w:color w:val="auto"/>
              </w:rPr>
            </w:pPr>
          </w:p>
        </w:tc>
        <w:tc>
          <w:tcPr>
            <w:tcW w:w="8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7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before</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80" w:type="dxa"/>
            <w:vAlign w:val="bottom"/>
          </w:tcPr>
          <w:p>
            <w:pPr>
              <w:spacing w:after="0"/>
              <w:rPr>
                <w:sz w:val="17"/>
                <w:szCs w:val="17"/>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to Bel Fuse</w:t>
            </w:r>
          </w:p>
        </w:tc>
        <w:tc>
          <w:tcPr>
            <w:tcW w:w="8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7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Class B</w:t>
            </w:r>
          </w:p>
        </w:tc>
      </w:tr>
      <w:tr>
        <w:trPr>
          <w:trHeight w:val="216"/>
        </w:trPr>
        <w:tc>
          <w:tcPr>
            <w:tcW w:w="2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Reconciling Items</w:t>
            </w:r>
          </w:p>
        </w:tc>
        <w:tc>
          <w:tcPr>
            <w:tcW w:w="100" w:type="dxa"/>
            <w:vAlign w:val="bottom"/>
          </w:tcPr>
          <w:p>
            <w:pPr>
              <w:spacing w:after="0"/>
              <w:rPr>
                <w:sz w:val="18"/>
                <w:szCs w:val="18"/>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taxes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taxes</w:t>
            </w:r>
          </w:p>
        </w:tc>
        <w:tc>
          <w:tcPr>
            <w:tcW w:w="10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EPS</w:t>
            </w:r>
            <w:r>
              <w:rPr>
                <w:rFonts w:ascii="Times New Roman" w:cs="Times New Roman" w:eastAsia="Times New Roman" w:hAnsi="Times New Roman"/>
                <w:sz w:val="13"/>
                <w:szCs w:val="13"/>
                <w:b w:val="1"/>
                <w:bCs w:val="1"/>
                <w:color w:val="auto"/>
                <w:w w:val="98"/>
              </w:rPr>
              <w:t>(2)</w:t>
            </w:r>
          </w:p>
        </w:tc>
        <w:tc>
          <w:tcPr>
            <w:tcW w:w="80" w:type="dxa"/>
            <w:vAlign w:val="bottom"/>
          </w:tcPr>
          <w:p>
            <w:pPr>
              <w:spacing w:after="0"/>
              <w:rPr>
                <w:sz w:val="18"/>
                <w:szCs w:val="18"/>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EPS</w:t>
            </w:r>
            <w:r>
              <w:rPr>
                <w:rFonts w:ascii="Times New Roman" w:cs="Times New Roman" w:eastAsia="Times New Roman" w:hAnsi="Times New Roman"/>
                <w:sz w:val="13"/>
                <w:szCs w:val="13"/>
                <w:b w:val="1"/>
                <w:bCs w:val="1"/>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taxes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taxes</w:t>
            </w:r>
          </w:p>
        </w:tc>
        <w:tc>
          <w:tcPr>
            <w:tcW w:w="120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80" w:type="dxa"/>
            <w:vAlign w:val="bottom"/>
          </w:tcPr>
          <w:p>
            <w:pPr>
              <w:spacing w:after="0"/>
              <w:rPr>
                <w:sz w:val="18"/>
                <w:szCs w:val="18"/>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EPS</w:t>
            </w:r>
            <w:r>
              <w:rPr>
                <w:rFonts w:ascii="Times New Roman" w:cs="Times New Roman" w:eastAsia="Times New Roman" w:hAnsi="Times New Roman"/>
                <w:sz w:val="13"/>
                <w:szCs w:val="13"/>
                <w:b w:val="1"/>
                <w:bCs w:val="1"/>
                <w:color w:val="auto"/>
              </w:rPr>
              <w:t>(2)</w:t>
            </w:r>
          </w:p>
        </w:tc>
        <w:tc>
          <w:tcPr>
            <w:tcW w:w="100" w:type="dxa"/>
            <w:vAlign w:val="bottom"/>
          </w:tcPr>
          <w:p>
            <w:pPr>
              <w:spacing w:after="0"/>
              <w:rPr>
                <w:sz w:val="18"/>
                <w:szCs w:val="18"/>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EPS</w:t>
            </w:r>
            <w:r>
              <w:rPr>
                <w:rFonts w:ascii="Times New Roman" w:cs="Times New Roman" w:eastAsia="Times New Roman" w:hAnsi="Times New Roman"/>
                <w:sz w:val="13"/>
                <w:szCs w:val="13"/>
                <w:b w:val="1"/>
                <w:bCs w:val="1"/>
                <w:color w:val="auto"/>
              </w:rPr>
              <w:t>(2)</w:t>
            </w:r>
          </w:p>
        </w:tc>
      </w:tr>
      <w:tr>
        <w:trPr>
          <w:trHeight w:val="199"/>
        </w:trPr>
        <w:tc>
          <w:tcPr>
            <w:tcW w:w="2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GAAP measures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xml:space="preserve">$ </w:t>
            </w:r>
            <w:r>
              <w:rPr>
                <w:rFonts w:ascii="Times New Roman" w:cs="Times New Roman" w:eastAsia="Times New Roman" w:hAnsi="Times New Roman"/>
                <w:sz w:val="16"/>
                <w:szCs w:val="16"/>
                <w:b w:val="1"/>
                <w:bCs w:val="1"/>
                <w:color w:val="auto"/>
                <w:w w:val="99"/>
              </w:rPr>
              <w:t>102,193</w:t>
            </w: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14,845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63,149</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4.45</w:t>
            </w: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4.69</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85,487</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17,817</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66,985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5.07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5.35</w:t>
            </w:r>
          </w:p>
        </w:tc>
      </w:tr>
      <w:tr>
        <w:trPr>
          <w:trHeight w:val="189"/>
        </w:trPr>
        <w:tc>
          <w:tcPr>
            <w:tcW w:w="21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Restructuring</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1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charges/(credits)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(2,147)</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(0.17)</w:t>
            </w:r>
          </w:p>
        </w:tc>
      </w:tr>
      <w:tr>
        <w:trPr>
          <w:trHeight w:val="205"/>
        </w:trPr>
        <w:tc>
          <w:tcPr>
            <w:tcW w:w="2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Earnout liability adjustments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1,857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1,560</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0.12</w:t>
            </w:r>
          </w:p>
        </w:tc>
      </w:tr>
      <w:tr>
        <w:trPr>
          <w:trHeight w:val="203"/>
        </w:trPr>
        <w:tc>
          <w:tcPr>
            <w:tcW w:w="21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1,819</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4,661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3,701</w:t>
            </w:r>
          </w:p>
        </w:tc>
        <w:tc>
          <w:tcPr>
            <w:tcW w:w="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0.28</w:t>
            </w: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0.30</w:t>
            </w:r>
          </w:p>
        </w:tc>
      </w:tr>
      <w:tr>
        <w:trPr>
          <w:trHeight w:val="202"/>
        </w:trPr>
        <w:tc>
          <w:tcPr>
            <w:tcW w:w="2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Acquisition related costs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21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Redemption value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21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adjustment on redeemable</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21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NCI</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(1,595)</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(0.13)</w:t>
            </w:r>
          </w:p>
        </w:tc>
      </w:tr>
      <w:tr>
        <w:trPr>
          <w:trHeight w:val="205"/>
        </w:trPr>
        <w:tc>
          <w:tcPr>
            <w:tcW w:w="2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11,516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2,051</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0.67</w:t>
            </w: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11,083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9,141</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0.69</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0.73</w:t>
            </w:r>
          </w:p>
        </w:tc>
      </w:tr>
      <w:tr>
        <w:trPr>
          <w:trHeight w:val="189"/>
        </w:trPr>
        <w:tc>
          <w:tcPr>
            <w:tcW w:w="21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Unrealized foreign currency</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1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exchange losses/(gains)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605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(13,204)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(10,128)</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(0.77)</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(0.81)</w:t>
            </w:r>
          </w:p>
        </w:tc>
      </w:tr>
      <w:tr>
        <w:trPr>
          <w:trHeight w:val="192"/>
        </w:trPr>
        <w:tc>
          <w:tcPr>
            <w:tcW w:w="2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financing cost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write-off</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21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Amortization of inventory</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1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step-up</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1,353</w:t>
            </w: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0.11</w:t>
            </w:r>
          </w:p>
        </w:tc>
      </w:tr>
      <w:tr>
        <w:trPr>
          <w:trHeight w:val="192"/>
        </w:trPr>
        <w:tc>
          <w:tcPr>
            <w:tcW w:w="2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on sale of Hong Kong</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(976)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(0.07)</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2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Gain on sale of properties</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(5,701</w:t>
            </w: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(937</w:t>
            </w: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(4,764</w:t>
            </w: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(0.36</w:t>
            </w: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(0.38</w:t>
            </w:r>
            <w:r>
              <w:rPr>
                <w:rFonts w:ascii="Times New Roman" w:cs="Times New Roman" w:eastAsia="Times New Roman" w:hAnsi="Times New Roman"/>
                <w:sz w:val="16"/>
                <w:szCs w:val="16"/>
                <w:color w:val="auto"/>
              </w:rPr>
              <w:t>)</w:t>
            </w:r>
          </w:p>
        </w:tc>
      </w:tr>
      <w:tr>
        <w:trPr>
          <w:trHeight w:val="211"/>
        </w:trPr>
        <w:tc>
          <w:tcPr>
            <w:tcW w:w="21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Non-GAAP measures</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xml:space="preserve">$ </w:t>
            </w:r>
            <w:r>
              <w:rPr>
                <w:rFonts w:ascii="Times New Roman" w:cs="Times New Roman" w:eastAsia="Times New Roman" w:hAnsi="Times New Roman"/>
                <w:sz w:val="16"/>
                <w:szCs w:val="16"/>
                <w:b w:val="1"/>
                <w:bCs w:val="1"/>
                <w:color w:val="auto"/>
                <w:w w:val="99"/>
              </w:rPr>
              <w:t>129,342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20,437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105,900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r>
              <w:rPr>
                <w:rFonts w:ascii="Times New Roman" w:cs="Times New Roman" w:eastAsia="Times New Roman" w:hAnsi="Times New Roman"/>
                <w:sz w:val="16"/>
                <w:szCs w:val="16"/>
                <w:b w:val="1"/>
                <w:bCs w:val="1"/>
                <w:u w:val="single" w:color="auto"/>
                <w:color w:val="auto"/>
              </w:rPr>
              <w:t>48</w:t>
            </w:r>
          </w:p>
        </w:tc>
        <w:tc>
          <w:tcPr>
            <w:tcW w:w="2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r>
              <w:rPr>
                <w:rFonts w:ascii="Times New Roman" w:cs="Times New Roman" w:eastAsia="Times New Roman" w:hAnsi="Times New Roman"/>
                <w:sz w:val="16"/>
                <w:szCs w:val="16"/>
                <w:b w:val="1"/>
                <w:bCs w:val="1"/>
                <w:u w:val="single" w:color="auto"/>
                <w:color w:val="auto"/>
              </w:rPr>
              <w:t>86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83,506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17,120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64,106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r>
              <w:rPr>
                <w:rFonts w:ascii="Times New Roman" w:cs="Times New Roman" w:eastAsia="Times New Roman" w:hAnsi="Times New Roman"/>
                <w:sz w:val="16"/>
                <w:szCs w:val="16"/>
                <w:b w:val="1"/>
                <w:bCs w:val="1"/>
                <w:u w:val="single" w:color="auto"/>
                <w:color w:val="auto"/>
              </w:rPr>
              <w:t>85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r>
              <w:rPr>
                <w:rFonts w:ascii="Times New Roman" w:cs="Times New Roman" w:eastAsia="Times New Roman" w:hAnsi="Times New Roman"/>
                <w:sz w:val="16"/>
                <w:szCs w:val="16"/>
                <w:b w:val="1"/>
                <w:bCs w:val="1"/>
                <w:u w:val="single" w:color="auto"/>
                <w:color w:val="auto"/>
              </w:rPr>
              <w:t>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8"/>
        <w:spacing w:after="0" w:line="223" w:lineRule="auto"/>
        <w:tabs>
          <w:tab w:leader="none" w:pos="212" w:val="left"/>
        </w:tabs>
        <w:numPr>
          <w:ilvl w:val="0"/>
          <w:numId w:val="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The supplementary information included in this press release for 2026 is preliminary and subject to change prior to the filing of our upcoming Quarterly Report on Form 10-Q with the SEC.</w:t>
      </w:r>
    </w:p>
    <w:p>
      <w:pPr>
        <w:spacing w:after="0" w:line="1" w:lineRule="exact"/>
        <w:rPr>
          <w:rFonts w:ascii="Times New Roman" w:cs="Times New Roman" w:eastAsia="Times New Roman" w:hAnsi="Times New Roman"/>
          <w:sz w:val="26"/>
          <w:szCs w:val="26"/>
          <w:color w:val="auto"/>
          <w:vertAlign w:val="superscript"/>
        </w:rPr>
      </w:pPr>
    </w:p>
    <w:p>
      <w:pPr>
        <w:ind w:left="220" w:hanging="212"/>
        <w:spacing w:after="0" w:line="180" w:lineRule="auto"/>
        <w:tabs>
          <w:tab w:leader="none" w:pos="22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Individual amounts of earnings per share may not agree to the total due to rounding.</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2026-10-28T15:41:22Z</dcterms:created>
  <dcterms:modified xsi:type="dcterms:W3CDTF">2026-10-28T15:41:22Z</dcterms:modified>
</cp:coreProperties>
</file>