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333-295813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2207895</wp:posOffset>
            </wp:positionH>
            <wp:positionV relativeFrom="paragraph">
              <wp:posOffset>142875</wp:posOffset>
            </wp:positionV>
            <wp:extent cx="2734310" cy="9683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34310" cy="9683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1,500,000 Shares of Class B Common Stock</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are offering 1,500,000 shares of our Class B common stock.</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two classes of common shares: our Class A common stock and our Class B common stock. See “Description of Capital Stock.” Our common stock is listed on the Nasdaq Global Select Market under the symbol “BELFA” and “BELFB.” On May 12, 2026, the closing sale price of our Class B common stock on the Nasdaq Global Select Market was $298.22 per share.</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 30-day option to purchase up to an additional 225,000 shares of Class B common stock from us, at the public offering price, less the underwriting discounts and commissions.</w:t>
      </w:r>
    </w:p>
    <w:p>
      <w:pPr>
        <w:spacing w:after="0" w:line="158"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Please read “Risk Factors” beginning on page S-3 of this prospectus supplement, page 10 and page 6 in the accompanying prospectus, and under similar headings in the documents that are incorporated by reference into this prospectus supplement concerning factors you should carefully consider before investing in our securities.</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Per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60" w:type="dxa"/>
            <w:vAlign w:val="bottom"/>
          </w:tcPr>
          <w:p>
            <w:pPr>
              <w:spacing w:after="0"/>
              <w:rPr>
                <w:sz w:val="21"/>
                <w:szCs w:val="21"/>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14,962,500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384,037,500</w:t>
            </w:r>
          </w:p>
        </w:tc>
      </w:tr>
    </w:tbl>
    <w:p>
      <w:pPr>
        <w:spacing w:after="0" w:line="198" w:lineRule="exact"/>
        <w:rPr>
          <w:sz w:val="24"/>
          <w:szCs w:val="24"/>
          <w:color w:val="auto"/>
        </w:rPr>
      </w:pPr>
    </w:p>
    <w:p>
      <w:pPr>
        <w:ind w:right="100" w:firstLine="8"/>
        <w:spacing w:after="0" w:line="544" w:lineRule="auto"/>
        <w:tabs>
          <w:tab w:leader="none" w:pos="32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the section titled “Underwriting (Conflicts of Interest)” beginning on page S-12 for a description of the compensation payable to the underwriters. Delivery of the Class B common stock will be made on or about May 15, 2026 through the book-entry facilities of The Depositary Trust Company.</w:t>
      </w:r>
    </w:p>
    <w:p>
      <w:pPr>
        <w:spacing w:after="0" w:line="1"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Citigroup</w:t>
            </w:r>
          </w:p>
        </w:tc>
        <w:tc>
          <w:tcPr>
            <w:tcW w:w="314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BofA Securities</w:t>
            </w:r>
          </w:p>
        </w:tc>
        <w:tc>
          <w:tcPr>
            <w:tcW w:w="780" w:type="dxa"/>
            <w:vAlign w:val="bottom"/>
          </w:tcPr>
          <w:p>
            <w:pPr>
              <w:spacing w:after="0"/>
              <w:rPr>
                <w:sz w:val="20"/>
                <w:szCs w:val="20"/>
                <w:color w:val="auto"/>
              </w:rPr>
            </w:pPr>
          </w:p>
        </w:tc>
        <w:tc>
          <w:tcPr>
            <w:tcW w:w="392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Wells Fargo Securities</w:t>
            </w:r>
          </w:p>
        </w:tc>
      </w:tr>
      <w:tr>
        <w:trPr>
          <w:trHeight w:val="432"/>
        </w:trPr>
        <w:tc>
          <w:tcPr>
            <w:tcW w:w="34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Needham &amp; Company</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Oppenheimer &amp; Co.</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Baird</w:t>
            </w:r>
          </w:p>
        </w:tc>
        <w:tc>
          <w:tcPr>
            <w:tcW w:w="392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BMO Capital Markets</w:t>
            </w:r>
          </w:p>
        </w:tc>
      </w:tr>
      <w:tr>
        <w:trPr>
          <w:trHeight w:val="459"/>
        </w:trPr>
        <w:tc>
          <w:tcPr>
            <w:tcW w:w="340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Craig-Hallum</w:t>
            </w:r>
          </w:p>
        </w:tc>
        <w:tc>
          <w:tcPr>
            <w:tcW w:w="3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Northland Capital Markets</w:t>
            </w:r>
          </w:p>
        </w:tc>
      </w:tr>
      <w:tr>
        <w:trPr>
          <w:trHeight w:val="432"/>
        </w:trPr>
        <w:tc>
          <w:tcPr>
            <w:tcW w:w="3400" w:type="dxa"/>
            <w:vAlign w:val="bottom"/>
          </w:tcPr>
          <w:p>
            <w:pPr>
              <w:spacing w:after="0"/>
              <w:rPr>
                <w:sz w:val="24"/>
                <w:szCs w:val="24"/>
                <w:color w:val="auto"/>
              </w:rPr>
            </w:pPr>
          </w:p>
        </w:tc>
        <w:tc>
          <w:tcPr>
            <w:tcW w:w="314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May 13, 2026</w:t>
            </w:r>
          </w:p>
        </w:tc>
        <w:tc>
          <w:tcPr>
            <w:tcW w:w="7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39"/>
        </w:trPr>
        <w:tc>
          <w:tcPr>
            <w:tcW w:w="3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0" w:type="dxa"/>
            <w:vAlign w:val="bottom"/>
            <w:gridSpan w:val="2"/>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60" w:type="dxa"/>
            <w:vAlign w:val="bottom"/>
            <w:gridSpan w:val="3"/>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120" w:type="dxa"/>
            <w:vAlign w:val="bottom"/>
          </w:tcPr>
          <w:p>
            <w:pPr>
              <w:spacing w:after="0"/>
              <w:rPr>
                <w:sz w:val="24"/>
                <w:szCs w:val="24"/>
                <w:color w:val="auto"/>
              </w:rPr>
            </w:pPr>
          </w:p>
        </w:tc>
      </w:tr>
      <w:tr>
        <w:trPr>
          <w:trHeight w:val="439"/>
        </w:trPr>
        <w:tc>
          <w:tcPr>
            <w:tcW w:w="5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42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25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620" w:type="dxa"/>
            <w:vAlign w:val="bottom"/>
            <w:tcBorders>
              <w:bottom w:val="single" w:sz="8" w:color="CCEEFF"/>
            </w:tcBorders>
            <w:gridSpan w:val="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176"/>
        </w:trPr>
        <w:tc>
          <w:tcPr>
            <w:tcW w:w="10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S-iv</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68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S-1</w:t>
            </w:r>
          </w:p>
        </w:tc>
      </w:tr>
      <w:tr>
        <w:trPr>
          <w:trHeight w:val="175"/>
        </w:trPr>
        <w:tc>
          <w:tcPr>
            <w:tcW w:w="10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S-3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12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S-5</w:t>
            </w:r>
          </w:p>
        </w:tc>
      </w:tr>
      <w:tr>
        <w:trPr>
          <w:trHeight w:val="176"/>
        </w:trPr>
        <w:tc>
          <w:tcPr>
            <w:tcW w:w="1180" w:type="dxa"/>
            <w:vAlign w:val="bottom"/>
            <w:tcBorders>
              <w:top w:val="single" w:sz="8" w:color="0000EE"/>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940" w:type="dxa"/>
            <w:vAlign w:val="bottom"/>
            <w:tcBorders>
              <w:top w:val="single" w:sz="8" w:color="CCEEFF"/>
            </w:tcBorders>
            <w:gridSpan w:val="8"/>
          </w:tcPr>
          <w:p>
            <w:pPr>
              <w:spacing w:after="0"/>
              <w:rPr>
                <w:sz w:val="15"/>
                <w:szCs w:val="15"/>
                <w:color w:val="auto"/>
              </w:rPr>
            </w:pPr>
          </w:p>
        </w:tc>
        <w:tc>
          <w:tcPr>
            <w:tcW w:w="1120" w:type="dxa"/>
            <w:vAlign w:val="bottom"/>
            <w:tcBorders>
              <w:top w:val="single" w:sz="8" w:color="CCEEFF"/>
            </w:tcBorders>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S-6</w:t>
            </w: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8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U.S. Federal Income Tax Consequences for Investors in Common Stock</w:t>
            </w:r>
          </w:p>
        </w:tc>
        <w:tc>
          <w:tcPr>
            <w:tcW w:w="4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S-7</w:t>
            </w:r>
          </w:p>
        </w:tc>
      </w:tr>
      <w:tr>
        <w:trPr>
          <w:trHeight w:val="176"/>
        </w:trPr>
        <w:tc>
          <w:tcPr>
            <w:tcW w:w="10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Underwriting (Conflicts of Interest)</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9100" w:type="dxa"/>
            <w:vAlign w:val="bottom"/>
            <w:tcBorders>
              <w:bottom w:val="single" w:sz="8" w:color="CCEEFF"/>
            </w:tcBorders>
            <w:gridSpan w:val="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175"/>
        </w:trPr>
        <w:tc>
          <w:tcPr>
            <w:tcW w:w="10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724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176"/>
        </w:trPr>
        <w:tc>
          <w:tcPr>
            <w:tcW w:w="10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S-20</w:t>
            </w:r>
          </w:p>
        </w:tc>
      </w:tr>
      <w:tr>
        <w:trPr>
          <w:trHeight w:val="453"/>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460" w:type="dxa"/>
            <w:vAlign w:val="bottom"/>
            <w:gridSpan w:val="3"/>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8"/>
              </w:rPr>
              <w:t>PROSPECTUS DATED MAY 12, 2026</w:t>
            </w:r>
          </w:p>
        </w:tc>
        <w:tc>
          <w:tcPr>
            <w:tcW w:w="1120" w:type="dxa"/>
            <w:vAlign w:val="bottom"/>
          </w:tcPr>
          <w:p>
            <w:pPr>
              <w:spacing w:after="0"/>
              <w:rPr>
                <w:sz w:val="24"/>
                <w:szCs w:val="24"/>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3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5"/>
        </w:trPr>
        <w:tc>
          <w:tcPr>
            <w:tcW w:w="102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the Company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8780" w:type="dxa"/>
            <w:vAlign w:val="bottom"/>
            <w:tcBorders>
              <w:top w:val="single" w:sz="8" w:color="CCEEFF"/>
            </w:tcBorders>
            <w:gridSpan w:val="1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May Offer</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5"/>
        </w:trPr>
        <w:tc>
          <w:tcPr>
            <w:tcW w:w="288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360" w:type="dxa"/>
            <w:vAlign w:val="bottom"/>
            <w:tcBorders>
              <w:top w:val="single" w:sz="8" w:color="CCEEFF"/>
            </w:tcBorders>
            <w:gridSpan w:val="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7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50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5"/>
        </w:trPr>
        <w:tc>
          <w:tcPr>
            <w:tcW w:w="102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4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Depository Shares</w:t>
            </w:r>
          </w:p>
        </w:tc>
        <w:tc>
          <w:tcPr>
            <w:tcW w:w="782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5"/>
        </w:trPr>
        <w:tc>
          <w:tcPr>
            <w:tcW w:w="102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80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5"/>
        </w:trPr>
        <w:tc>
          <w:tcPr>
            <w:tcW w:w="102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prospectus supplement is part of an automatic shelf registration statement on Form S-3 (File No. 333- 295813) that we filed with the Securities and Exchange Commission (the “SEC”), on May 12, 2026 as a “well-known seasoned issuer” as defined in Rule 405 of the Securities Act.</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Class B common stock.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However, if any statement in the accompanying prospectus is inconsistent with a statement in another document with a later date that is incorporated by reference herein, the statement in the document having the later date modifies and supersedes the earlier statement.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Before buying any of the shares of Class B common stock offered hereby, we urge you to read carefully this prospectus supplement and the accompanying prospectus, together with the information incorporated herein by reference as described in the section titled “Incorporation of Certain Information by Reference,” as well as the additional information described in this prospectus supplement in the section titled “Where You Can Find More Information.”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Neither us nor the underwriters have authorized anyone to provide you with information other than the information that we have provided or incorporated by reference in this prospectus supplement and the accompanying prospectus and your reliance on any unauthorized information or representation is at your own risk.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Class B common stock. Our business, financial condition and results of operations may have changed since those dates.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Class B common stock only in jurisdictions where offers and sales are permitted. The distribution of this prospectus supplement and the accompanying prospectus and the offering of the Class B common stock in certain jurisdictions may be restricted by law. No action is being taken in any jurisdiction outside the United States to permit a public offering of the securities or possession or distribution of this prospectus supplement or the accompanying prospectus in that jurisdiction. Persons outside the United States who come into possession of this prospectus supplement and the accompanying prospectus must inform themselves about, and observe any restrictions relating to, the offering of the Class B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used in this prospectus supplement, unless the context otherwise requires, references to “Bel,” “Bel Fuse,” the “Company,” “we,” “us” and “our” refer to Bel Fuse Inc. and its subsidiaries.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references in this prospectus supplement and the accompanying prospectus to our consolidated financial statements include the related notes thereto.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own or have the rights to use various trademarks, and service marks and trade names in the operation of our business. Bel Fuse Inc., the Bel Fuse Inc. logo and our other registered or common law trademarks, trade names or service marks appearing in this prospectus supplement are owned by us. All other trademarks, service marks or trade names referred to in this prospectus supplement are the property of their respective owners. We do not intend our use or display of other parties’ trademarks, service marks, or trade names to imply, and such use or display should not be construed to imply, a relationship with, or endorsement or sponsorship of us by, these other parties. Solely for convenience, the trademarks, service marks and trade names in this prospectus supplement may appear without the symbols ®, SM and ™, but such references are not intended to indicate, in any way, that we will not assert, to the fullest extent permitted under applicable law, our rights or the rights of the applicable licensor to these trademarks, service marks, and trade names.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that we incorporate by reference, contain “forward-looking statements” within the meaning of Section 27A of the Securities Act and Section 21E of the Exchange Act. All statements, other than statements of historical facts, included in this prospectus supplement and the accompanying prospectus,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w:t>
      </w:r>
    </w:p>
    <w:p>
      <w:pPr>
        <w:spacing w:after="0" w:line="18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concerns facing our customers, and risks for our business in the event of the loss of certain substantial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viability of sectors that rely on our products;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business and economic conditions, and challenges impacting the macroeconomic environment generally and/or our industry in particular;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rising input costs, and cost changes generally, including the potential impact and effects of inflationary pressures;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integrating previously acquired companies, including any unanticipated difficulties, or unexpected or higher than anticipated expenditures;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intended acquisition of the remaining 20% stake in Enercon Technologies, Ltd. (“Enercon”) is not completed in accordance with the shareholders’ agreement as contemplated for any reason, and any resulting disruptions to our business and our currently 80% owned Enercon subsidiary as a result thereof;</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demand which can affect our products and results, and market and economic factors impacting Enercon’s business, including trends in demand in Enercon’s aerospace and defense end markets which can be cyclical, as well as the impact of any reductions in defense spending, any of which factors could materially adversely affect the demand for and corresponding sales of such products;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and supply constraints or difficulties, including supply chain constraints or other challenges;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including potential future outbreaks, epidemics or pandemics;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the availability of labor, and the risks of any labor unrest or labor shortages;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operations, including our substantial manufacturing operations in the People’s Republic of China (the “PRC”), and risks associated with operations in Israel, which may be adversely affected by political or economic instability, major hostilities or acts of terrorism in the region;</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restructuring programs or other strategic initiatives, including any difficulties in implementation or realization of the expected benefits or cost savings;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commercialization or technological difficulties;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and trade environment including the potential effects of the imposition or modification of new or increased tariffs either by the U.S. government on foreign imports or by a foreign government on U.S. exports related to the countries in which we transact business, and trade restrictions that may impact us, our customers and/or our suppliers, and risks associated with the evolving trade environment, trade restrictions, and changes in trade agreements, and general uncertainty about future changes in trade and tariff policy and the associated impacts of those changes;</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fluctuations in foreign currency exchange rates and interest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legal proceedings;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acceptance of our new products and competitive responses to those new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to U.S. and applicable foreign legal and regulatory requirements, including, without limitation, tax laws.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You should therefore not rely on these forward-looking statements as representing our views as of any date subsequent to the date of this prospectus supplement.</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supplement or the accompanying prospectus, their estimates, in particular, as they relate to projections, involve numerous assumptions, are subject to risks and uncertainties and are subject to change based on various factors. You should read this prospectus supplement, the accompanying prospectus and the documents that we reference herein and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in our Annual Report on Form 10-K for the year ended December 31, 2025, filed with the SEC on February 24, 2026, our Quarterly Report on Form 10-Q for the quarter ended March 31, 2026 filed with the SEC on May 5, 2026 and our Current Report on Form 8-K filed with the SEC on May 12, 2026, which is incorporated by reference into this prospectus supplement and the accompanying prospectus, and the section of this prospectus supplement and the accompanying prospectus entitled “Risk Factors”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into which we may enter.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7025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020" cy="702500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us and this offering and does not contain all of the information that you should consider before investing in our Class B common stock. You should read this prospectus supplement, the accompanying prospectus and the documents incorporated by reference herein and therein carefully, especially those associated with the risks of investing in our Class B common stock discussed under “Risk Factors” beginning on page S-3 of this prospectus supplement and in the section entitled “Risk Factors” of our Annual Report on Form 10-K for the year ended December 31, 2025, filed with the SEC on February 24, 2026, our Quarterly Report on Form 10-Q for the quarter ended March 31, 2026, filed with the SEC on May 5, 2026, our Current Report on Form 8-K filed with the SEC on May 12, 2026 and any subsequent reports we file with the SEC after the date of this prospectus supplement,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 See “Cautionary Statement Regarding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Bel Fuse Inc. designs, manufactures and markets critical electronic components, systems and solutions for customers in the aerospace, defense, industrial, and data-driven markets. Understanding that our customers face increasingly complex technical challenges, Bel delivers a comprehensive portfolio of solutions including power systems, high-reliability connectors and cable assemblies, circuit protection, and networking products that enable Original Equipment Manufacturers (OEMs) to bring their innovations to market. Bel partners closely with customers to deliver both customized and standard solutions tailored to their specific applications and performance requirements. With manufacturing facilities and technical support teams worldwide, Bel serves as a strategic partner to customers who require proven reliability in demanding end markets.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more than 75 years in operation, Bel has reliably demonstrated the ability to participate in a variety of product areas across a global platform. The Company has a strong track record of technical innovation working with the engineering teams of market leaders. Bel has proven itself a valuable supplier to world-class companies by developing new products with cost-effective solutions.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Bel operates through two segments - Aerospace, Defense &amp; Rugged Solutions (“ADRS”) and Industrial Technology &amp; Data Solutions (“ITDS”). In 2025, 55% of Bel’s revenues were derived from our ADRS segment and 45% from ITDS segment.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was incorporated in 1949 and is organized under New Jersey law. Bel’s principal executive offices are located at 300 Executive Drive, Suite 300, West Orange, New Jersey 07052, and Bel’s telephone number is (201) 432-0463. The Company operates facilities in North America, EMEA, and Asia and trades on the Nasdaq Global Select Market (ticker symbols BELFA and BELFB).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Bel Fuse Inc. was originally incorporated under the laws of the state of New Jersey in 1949. Our principal executive offices are located at 300 Executive Drive, Suite 300, West Orange, New Jersey 07052, and our telephone number is +1 201-432-0463. We maintain an Internet website at the following address: www.belfuse.com. Information contained on, or accessible through, our website is not incorporated by reference into this prospectus supplement or the accompanying prospectus, and you should not consider any information on, or that can be accessed from, our website as part of this prospectus supplement or the accompanying prospectus.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12, 2026, we filed a Current Report on Form 8-K announcing and presenting a realignment of our reporting segments. This segment realignment updated the same items presented in our previously filed condensed consolidated financial statements and the accompanying notes thereto solely for changes in our reportable segment information and the related impacts to segment disclosures as a result of the recast described above and do not represent a restatement of previously issued financial statements. There are no changes to other disclosures presented in our previously issued financial statements, including our previously reported balance sheet, statement of operations, statement of comprehensive income, statement of shareholders’ equity and redeemable noncontrolling interest, and statements of cash flows. The Current Report on Form 8-K presenting such information is incorporated by reference herein. See the section titled “Incorporation of Certain Information by Reference.”</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89795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020" cy="8979535"/>
                    </a:xfrm>
                    <a:prstGeom prst="rect">
                      <a:avLst/>
                    </a:prstGeom>
                    <a:noFill/>
                  </pic:spPr>
                </pic:pic>
              </a:graphicData>
            </a:graphic>
          </wp:anchor>
        </w:drawing>
        <w:t>THE OFFERING</w:t>
      </w:r>
    </w:p>
    <w:p>
      <w:pPr>
        <w:sectPr>
          <w:pgSz w:w="11900" w:h="16838" w:orient="portrait"/>
          <w:cols w:equalWidth="0" w:num="1">
            <w:col w:w="11000"/>
          </w:cols>
          <w:pgMar w:left="460" w:top="927" w:right="439" w:bottom="1014"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4860"/>
        <w:spacing w:after="0"/>
        <w:rPr>
          <w:sz w:val="20"/>
          <w:szCs w:val="20"/>
          <w:color w:val="auto"/>
        </w:rPr>
      </w:pPr>
      <w:r>
        <w:rPr>
          <w:rFonts w:ascii="Times New Roman" w:cs="Times New Roman" w:eastAsia="Times New Roman" w:hAnsi="Times New Roman"/>
          <w:sz w:val="18"/>
          <w:szCs w:val="18"/>
          <w:color w:val="auto"/>
        </w:rPr>
        <w:t>Bel Fuse Inc.</w:t>
      </w:r>
    </w:p>
    <w:p>
      <w:pPr>
        <w:spacing w:after="0" w:line="200" w:lineRule="exact"/>
        <w:rPr>
          <w:sz w:val="20"/>
          <w:szCs w:val="20"/>
          <w:color w:val="auto"/>
        </w:rPr>
      </w:pPr>
    </w:p>
    <w:p>
      <w:pPr>
        <w:sectPr>
          <w:pgSz w:w="11900" w:h="16838" w:orient="portrait"/>
          <w:cols w:equalWidth="0" w:num="2">
            <w:col w:w="4460" w:space="720"/>
            <w:col w:w="5820"/>
          </w:cols>
          <w:pgMar w:left="460" w:top="927" w:right="439" w:bottom="1014"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B common stock offered by us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1,500,000 shares.</w:t>
      </w:r>
    </w:p>
    <w:p>
      <w:pPr>
        <w:spacing w:after="0" w:line="200" w:lineRule="exact"/>
        <w:rPr>
          <w:sz w:val="20"/>
          <w:szCs w:val="20"/>
          <w:color w:val="auto"/>
        </w:rPr>
      </w:pPr>
    </w:p>
    <w:p>
      <w:pPr>
        <w:sectPr>
          <w:pgSz w:w="11900" w:h="16838" w:orient="portrait"/>
          <w:cols w:equalWidth="0" w:num="2">
            <w:col w:w="4460" w:space="720"/>
            <w:col w:w="5820"/>
          </w:cols>
          <w:pgMar w:left="460" w:top="927" w:right="439" w:bottom="1014" w:gutter="0" w:footer="0" w:header="0"/>
          <w:type w:val="continuous"/>
        </w:sectPr>
      </w:pPr>
    </w:p>
    <w:p>
      <w:pPr>
        <w:spacing w:after="0" w:line="37" w:lineRule="exact"/>
        <w:rPr>
          <w:sz w:val="20"/>
          <w:szCs w:val="20"/>
          <w:color w:val="auto"/>
        </w:rPr>
      </w:pPr>
    </w:p>
    <w:p>
      <w:pPr>
        <w:ind w:left="160" w:hanging="161"/>
        <w:spacing w:after="0" w:line="282" w:lineRule="auto"/>
        <w:rPr>
          <w:sz w:val="20"/>
          <w:szCs w:val="20"/>
          <w:color w:val="auto"/>
        </w:rPr>
      </w:pPr>
      <w:r>
        <w:rPr>
          <w:rFonts w:ascii="Times New Roman" w:cs="Times New Roman" w:eastAsia="Times New Roman" w:hAnsi="Times New Roman"/>
          <w:sz w:val="18"/>
          <w:szCs w:val="18"/>
          <w:color w:val="auto"/>
        </w:rPr>
        <w:t>Underwriters’ option to purchase additional shares of Class B common stock</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 30-day option to purchase up to an additional 225,000 shares of Class B common stock from us at the public offering price, less the underwriting discounts and commissions.</w:t>
      </w:r>
    </w:p>
    <w:p>
      <w:pPr>
        <w:spacing w:after="0" w:line="176" w:lineRule="exact"/>
        <w:rPr>
          <w:sz w:val="20"/>
          <w:szCs w:val="20"/>
          <w:color w:val="auto"/>
        </w:rPr>
      </w:pPr>
    </w:p>
    <w:p>
      <w:pPr>
        <w:sectPr>
          <w:pgSz w:w="11900" w:h="16838" w:orient="portrait"/>
          <w:cols w:equalWidth="0" w:num="2">
            <w:col w:w="4940" w:space="240"/>
            <w:col w:w="5820"/>
          </w:cols>
          <w:pgMar w:left="460" w:top="927" w:right="439" w:bottom="1014" w:gutter="0" w:footer="0" w:header="0"/>
          <w:type w:val="continuous"/>
        </w:sectPr>
      </w:pPr>
    </w:p>
    <w:p>
      <w:pPr>
        <w:ind w:left="160" w:hanging="161"/>
        <w:spacing w:after="0" w:line="282" w:lineRule="auto"/>
        <w:rPr>
          <w:sz w:val="20"/>
          <w:szCs w:val="20"/>
          <w:color w:val="auto"/>
        </w:rPr>
      </w:pPr>
      <w:r>
        <w:rPr>
          <w:rFonts w:ascii="Times New Roman" w:cs="Times New Roman" w:eastAsia="Times New Roman" w:hAnsi="Times New Roman"/>
          <w:sz w:val="18"/>
          <w:szCs w:val="18"/>
          <w:color w:val="auto"/>
        </w:rPr>
        <w:t>Class B 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12,107,444 shares (12,332,444 shares if the underwriters’ option to purchase additional Class B common stock is exercised in full).</w:t>
      </w:r>
    </w:p>
    <w:p>
      <w:pPr>
        <w:spacing w:after="0" w:line="162" w:lineRule="exact"/>
        <w:rPr>
          <w:sz w:val="20"/>
          <w:szCs w:val="20"/>
          <w:color w:val="auto"/>
        </w:rPr>
      </w:pPr>
    </w:p>
    <w:p>
      <w:pPr>
        <w:sectPr>
          <w:pgSz w:w="11900" w:h="16838" w:orient="portrait"/>
          <w:cols w:equalWidth="0" w:num="2">
            <w:col w:w="4940" w:space="240"/>
            <w:col w:w="5820"/>
          </w:cols>
          <w:pgMar w:left="460" w:top="927" w:right="439" w:bottom="1014"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Voting of Class A common stock and Class B common stock</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this offering, there were 2,115,263 shares of Class A common stock outstanding and 10,607,444 shares of Class B common stock outstanding as of April 30, 2026. Each share of Class A common stock entitles the holder thereof to one vote per share on all matters on which shareholders are entitled to vote, including the election of directors. The Class B common stock, including those shares sold in this Offering, does not entitle the holder thereof to any vote except as otherwise provided in the Company’s certificate of incorporation or as required by law.</w:t>
      </w:r>
    </w:p>
    <w:p>
      <w:pPr>
        <w:spacing w:after="0" w:line="192" w:lineRule="exact"/>
        <w:rPr>
          <w:sz w:val="20"/>
          <w:szCs w:val="20"/>
          <w:color w:val="auto"/>
        </w:rPr>
      </w:pPr>
    </w:p>
    <w:p>
      <w:pPr>
        <w:sectPr>
          <w:pgSz w:w="11900" w:h="16838" w:orient="portrait"/>
          <w:cols w:equalWidth="0" w:num="2">
            <w:col w:w="4460" w:space="720"/>
            <w:col w:w="5820"/>
          </w:cols>
          <w:pgMar w:left="460" w:top="927" w:right="439" w:bottom="1014"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 pay down any outstanding indebtedness under our Credit and Security Agreement (the “Facility”), fund the remaining 20% acquisition of Enercon or other acquisitions or partnership opportunities that may arise, and the remainder, if any, for general corporate purposes. See the section titled “Use of Proceeds” on page S-6 of this prospectus supplement.</w:t>
      </w:r>
    </w:p>
    <w:p>
      <w:pPr>
        <w:spacing w:after="0" w:line="187" w:lineRule="exact"/>
        <w:rPr>
          <w:sz w:val="20"/>
          <w:szCs w:val="20"/>
          <w:color w:val="auto"/>
        </w:rPr>
      </w:pPr>
    </w:p>
    <w:p>
      <w:pPr>
        <w:sectPr>
          <w:pgSz w:w="11900" w:h="16838" w:orient="portrait"/>
          <w:cols w:equalWidth="0" w:num="2">
            <w:col w:w="4460" w:space="720"/>
            <w:col w:w="5820"/>
          </w:cols>
          <w:pgMar w:left="460" w:top="927" w:right="439" w:bottom="1014"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Your investment involves a high degree of risk. You should read the section titled “Risk Factors” beginning on page S-3 and in our Annual Report on Form 10-K for the year ended December 31, 2025, as well as the other documents incorporated by reference in this prospectus supplement and the accompanying prospectus, including our Current Report on Form 8-K filed with the SEC on May 12, 2026, for a discussion of factors to consider carefully before deciding to invest in our securities.</w:t>
      </w:r>
    </w:p>
    <w:p>
      <w:pPr>
        <w:spacing w:after="0" w:line="189" w:lineRule="exact"/>
        <w:rPr>
          <w:sz w:val="20"/>
          <w:szCs w:val="20"/>
          <w:color w:val="auto"/>
        </w:rPr>
      </w:pPr>
    </w:p>
    <w:p>
      <w:pPr>
        <w:sectPr>
          <w:pgSz w:w="11900" w:h="16838" w:orient="portrait"/>
          <w:cols w:equalWidth="0" w:num="2">
            <w:col w:w="4460" w:space="720"/>
            <w:col w:w="5820"/>
          </w:cols>
          <w:pgMar w:left="460" w:top="927" w:right="439" w:bottom="1014"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Conflicts of Interest</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underwriters or their affiliates will receive at least 5% of the net proceeds of this offering as a result of the repayment of borrowings we incurred under our Facility. See the section titled “Use of Proceeds.” Accordingly, this offering is being made in compliance with the requirements of Rule 5121 of Financial Industry Regulatory Authority (“FINRA”). In accordance with that rule, no “qualified independent underwriter” is required, because a bona fide public market exists in the shares, as that term is defined in FINRA Rule 5121. The underwriters subject to FINRA Rule 5121 will not confirm sales of our common stock to any account over which they exercise discretionary authority without the prior written approval of the customer. See “Underwriting (Conflicts of Interest).”</w:t>
      </w:r>
    </w:p>
    <w:p>
      <w:pPr>
        <w:spacing w:after="0" w:line="192" w:lineRule="exact"/>
        <w:rPr>
          <w:sz w:val="20"/>
          <w:szCs w:val="20"/>
          <w:color w:val="auto"/>
        </w:rPr>
      </w:pPr>
    </w:p>
    <w:p>
      <w:pPr>
        <w:sectPr>
          <w:pgSz w:w="11900" w:h="16838" w:orient="portrait"/>
          <w:cols w:equalWidth="0" w:num="2">
            <w:col w:w="4460" w:space="720"/>
            <w:col w:w="5820"/>
          </w:cols>
          <w:pgMar w:left="460" w:top="927" w:right="439" w:bottom="1014"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“BELFA” and “BELFB”</w:t>
      </w:r>
    </w:p>
    <w:p>
      <w:pPr>
        <w:spacing w:after="0" w:line="200" w:lineRule="exact"/>
        <w:rPr>
          <w:sz w:val="20"/>
          <w:szCs w:val="20"/>
          <w:color w:val="auto"/>
        </w:rPr>
      </w:pPr>
    </w:p>
    <w:p>
      <w:pPr>
        <w:sectPr>
          <w:pgSz w:w="11900" w:h="16838" w:orient="portrait"/>
          <w:cols w:equalWidth="0" w:num="2">
            <w:col w:w="4460" w:space="720"/>
            <w:col w:w="5820"/>
          </w:cols>
          <w:pgMar w:left="460" w:top="927" w:right="439" w:bottom="1014" w:gutter="0" w:footer="0" w:header="0"/>
          <w:type w:val="continuous"/>
        </w:sectPr>
      </w:pPr>
    </w:p>
    <w:p>
      <w:pPr>
        <w:spacing w:after="0" w:line="3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as shown above is based on 10,607,444 shares of Class B common stock outstanding as of April 30, 2026. The number of shares outstanding as of April 30, 2026 that is used throughout this prospectus supplement, unless otherwise indicated, excludes:</w:t>
      </w:r>
    </w:p>
    <w:p>
      <w:pPr>
        <w:spacing w:after="0" w:line="176" w:lineRule="exact"/>
        <w:rPr>
          <w:sz w:val="20"/>
          <w:szCs w:val="20"/>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345,069 shares of Class B common stock issuable upon the vesting of restricted stock awards outstanding as of March 31, 2026;</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31,416 shares of Class B common stock issuable upon the vesting of performance stock units outstanding as of March 31, 2026;</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291,495 shares of Class B common stock available for issuance under our 2020 Equity Compensation Plan as of March 31, 2026.</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of the underwriters’ option to purchase up to 225,000 additional shares of Class B common stock in this offering.</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014"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Your investment in our Class B common stock involves a high degree of risk. Before deciding whether to invest in our Class B common stock, you should carefully consider the risks discussed under the section captioned “Risk Factors” contained in our Annual Report on Form 10-K for the year ended December 31, 2025 and in our Quarterly Report on Form 10-Q for the quarter ended March 31, 2026, which are incorporated by reference in this prospectus supplement and the accompanying prospectus in its entirety, together with other information in this prospectus supplement, the accompanying prospectus and in our other filings with the SEC that we have incorporated by reference herein and therein including our Current Report on Form 8-K filed with the SEC on May 12, 2026. If any of these risks actually occurs, our business, financial condition, results of operations or cash flow could be seriously harmed. This could cause the trading price of our Class B common stock to decline, resulting in a loss of all or part of your investment. See the section titled “Cautionary Statement Regarding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use them in ways that you and other stockholders may not approve.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 pay down any outstanding indebtedness under the Facility, fund the remaining 20% acquisition of Enercon or other acquisitions or partnership opportunities that may arise, and the remainder, if any, for general corporate purposes.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Class B common stock. There can be no assurance that our acquisition of Enercon, or any of our current or future acquisitions or partnership opportunities will be successfully identified, negotiated, or consummated on terms acceptable to us, or at all, and the failure of any such transaction to materialize could adversely affect our growth strategy and future business prospects. The failure by our management to apply these funds effectively could result in financial losses that could have a material adverse effect on our business, cause the price of our Class B common stock to decline and/or delay the development of our product candidates. Pending their use, we may invest the net proceeds from this offering in a manner that does not produce income or that loses value. See the section titled “Use of Proceeds.”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shares of our Class B common stock or other securities convertible into or exchangeable for our Class B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Class B common stock, or securities convertible or exchangeable into Class B common stock, in future transactions may be higher or lower than the price per share paid by investors in this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B common stock in the public market after this offering could cause our stock price to fall.</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Class B common stock in the public market could occur at any time. If our stockholders sell, or the market perceives that our stockholders intend to sell, substantial amounts of our Class B common stock in the public market, the market price of our Class B common stock could decline significantly. We had 10,607,444 shares of Class B common stock outstanding as of April 30, 2026. We filed an automatic registration statement on Form S-3, which registers the offer and sale from time to time of a variety of securities, including Class B common stock, preferred stock, debt securities, warrants or units pursuant to one or more offerings at prices and terms to be determined at the time of sale. To the extent shares are sold into the market pursuant to the registration statement on Form S-3, under Rule 144 of the Securities Act or otherwise, particularly in substantial quantities, the market price of our Class B common stock could decline.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Class B common stock. However, future sales of substantial amounts of our common stock in the public market, including shares issued upon exercise of outstanding options, or the perception that such sales may occur, could adversely affect the market price of our Class B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sales of our equity or equity-linked securities could have a material adverse effect on the market price of our Class B common stock.</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we, our directors and executive officers have entered into lock-up agreements covering some or all of their equity ownership for a period of 60 days following this offering. The lock-up agreements are subject to various exceptions, and we, our directors and executive officers may be released from the lock-up agreements prior to the expiration of the lock-up period at the sole discretion of Citigroup Global Markets Inc., BofA Securities, Inc., and Wells Fargo Securities, LLC. See the section titled “Underwriting (Conflicts of Interest).” Upon expiration or earlier release of the lock-up agreements, we and our directors and executive officers may sell previously locked-up shares into the market, which could adversely affect the market price of shares of our Class B common stock.</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Significant additional capital may also be needed in the future to continue our planned operations. To raise capital, we may sell Class B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Class B common stock.</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protective provisions in the Company’s Restated Certificate of Incorporation, as amended, the voting power of holders of Class A common stock whose voting rights are not suspended (including officers, directors and principal stockholders) may be increased at future meetings of the Company’s stockholders.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Restated Certificate of Incorporation, as amended, provides that if a stockholder, other than stockholders subject to specific exceptions, acquires (after the date of the Company’s 1998 recapitalization) 10% or more of the outstanding Class A common stock and does not own an equal or greater percentage of all, then outstanding shares of both Class A and Class B common stock (all of which common stock must have been acquired after the date of the 1998 recapitalization), such stockholder must, within 90 days of the trigger date, purchase Class B common shares, in an amount and at a price determined in accordance with a formula described in the Company’s Restated Certificate of Incorporation, as amended, or forfeit its right to vote its Class A common stock. To the extent that the voting rights of particular holders of Class A common stock are suspended as of times when the Company’s stockholders vote due to the above-mentioned provisions, such suspension would have the effect of increasing the voting power of those holders of Class A common stock whose voting rights are not suspended.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like that of many companies, has been and may continue to be volatile.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market price of our Class B common stock may fluctuate as a result of variations in our quarterly operating results and other factors beyond our control. These fluctuations may be exaggerated if the trading volume of our Class B common stock is low. The market price of our Class B common stock may rise and fall in response to a variety of other factors, including:</w:t>
      </w:r>
    </w:p>
    <w:p>
      <w:pPr>
        <w:spacing w:after="0" w:line="17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or competitive developments;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economic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or economic conditions specific to particular geographical areas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alliances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anticipated cost savings from announced restructuring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significant customer or order;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or frequency of our payments of dividends or repurchases of our Class B common stock;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our financial performance or changes in recommendations by securities analysts regarding us or our industry.</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equity securities of many companies have experienced significant price and volume fluctuations even in periods when the capital markets generally are not distressed. These price and volume fluctuations often have been unrelated to the operating performance of the affected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declared dividends on a quarterly basis at a rate of $0.06 per Class A share of common stock and $0.07 per Class B share of common stock totaling $3.5 million in each of 2025, 2024 and 2023. On January 30, 2026, the Company paid a dividend to all shareholders of record at January 15, 2026 of Class A and Class B common stock in the total amount of $0.1 million ($0.06 per share) and $0.7 million ($0.07 per share), respectively. On May 1, 2026, the Company paid a dividend to all shareholders of record at April 15, 2026 of Class A and Class B common stock in the total amount of $0.1 million ($0.06 per share) and $0.7 million ($0.07 per share), respectively. On April 28, 2026, Bel’s Board of Directors declared a dividend in the amount of $0.06 per Class A common share and $0.07 per Class B common share which is scheduled to be paid on July 31, 2026 to all shareholders of record at July 15, 2026.</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There are no contractual restrictions on the Company’s ability to pay dividends provided the Company is not in default under its Credit Agreement immediately before such payment and after giving effect to such payment. Cash dividends are payable to the holders of Class A common stock and Class B common stock only as and when declared by the Board of Directors. Subject to the foregoing, cash dividends declared on shares of Class B common stock in any calendar year cannot be less than 5% higher per share than the annual amount of cash dividends per share declared in such calendar year on shares of Class A common stock . No cash dividends may be paid on shares of Class A common stock unless, at the same time, cash dividends are paid on shares of Class B common stock , subject to the annual 5% provision described above. Cash dividends may be paid at any time or from time to time on shares of Class B common stock without corresponding cash dividends being paid on shares of Class A common stock . Nevertheless, as in the past, the respective amounts of future dividends, if any, to be declared on each class of common stock depends on circumstances existing at the time, including the Company’s financial condition, capital requirements, earnings, legally available funds for the payment of dividends and other relevant factors and are declared at the discretion of the Company’s Board of Directors.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to us from the sale of the shares of Class B common stock that we are offering will be approximately $383.3 million (or $440.9 million if the underwriters’ option to purchase additional Class B common stock is exercised in full) after deducting underwriting discounts and commissions and estimated offering expenses payable by us.</w:t>
      </w:r>
    </w:p>
    <w:p>
      <w:pPr>
        <w:spacing w:after="0" w:line="17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 pay down any outstanding indebtedness under the Facility, fund the remaining 20% acquisition of Enercon or other acquisitions or partnership opportunities that may arise, and the remainder, if any, for general corporate purposes.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of the underwriters or their affiliates will receive at least 5% of the net proceeds of this offering as a result of the repayment of borrowings we incurred under our Facility. Accordingly, this offering is being made in compliance with the requirements of FINRA Rule 5121. In accordance with that rule, no “qualified independent underwriter” is required, because a bona fide public market exists in the shares, as that term is defined in FINRA Rule 5121. The underwriters subject to FINRA Rule 5121 will not confirm sales of our common stock to any account over which they exercise discretionary authority without the prior written approval of the customer. See the section titled “Underwriting (Conflicts of Interest).”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INVESTORS IN OUR COMMON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summary describes the material U.S. federal income tax considerations of the acquisition, ownership and disposition of our common stock acquired in this offering. This discussion does not address all aspects of U.S. federal income taxes, does not discuss the potential application of the alternative minimum tax or Medicare Contribution tax and does not deal with state or local taxes, U.S. federal gift and estate tax laws or any non-U.S. tax consequences that may be relevant to investors in light of their particular circumstances.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Special rules different from those described below may apply to certain investors that are subject to special treatment under the Internal Revenue Code of 1986, as amended (the “Code”), such as:</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 banks and other 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and tax-qualified retirement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governments and international organizations;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and traders in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(as defined below) that own or are deemed to own (directly, indirectly or by attribution) more than 5%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to their financial statements under Section 451(b) of the Code;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“straddle,” “hedge,” “conversion transaction,” “synthetic security” or integrated investment or other risk reduction strategy;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for U.S. tax purposes is not the U.S. dollar;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as “capital assets” within the meaning of Section 1221 of the Code (generally, for investment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Such investors are urged to consult their own tax advisors to determine the U.S. federal, state, local and other tax consequences that may be relevant to them.</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other pass-through entities or persons who hold our common stock through partnerships or other entities which are pass-through entities for U.S. federal income tax purposes. If a partnership or other pass-through entity holds our common stock, the tax treatment of a partner will generally depend upon the status of the partner and the activities of the partnership or other pass-through entity. A partner in a partnership or other pass-through entity that will hold our common stock should consult his, her or its own tax advisor regarding the tax consequences of the ownership and disposition of our common stock through a partnership or other pass-through entity, as applicable.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(the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the purposes of this discussion, a “U.S. Holder” means a beneficial owner of our common stock, other than a partnership or other pass-through entity, that is, for U.S. federal income tax purposes, (a) an individual who is a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United States person.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“Non-U.S. Holder” means a beneficial owner of our common stock, other than a partnership or other pass-through entity, that, for U.S. federal income tax purposes, is (i) a foreign corporation, (ii) nonresident alien individual, or (iii) a foreign estate or trust that in each case is not subject to U.S. federal income tax on a net-income basis on income or gain from common stock.</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individual non-U.S. citizen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PERSONS CONSIDERING THE PURCHASE OF OUR COMMON STOCK PURSUANT TO THIS OFFERING SHOULD CONSULT THEIR OWN TAX ADVISORS CONCERNING THE U.S. FEDERAL INCOME TAX CONSEQUENCES OF 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stated in the section titled “Dividend Policy,” we have historically paid, and currently intend to continue paying, regular quarterly cash dividends on our Class A common stock and Class B common stock . In the event that we do make distributions of cash or other property, distributions paid on common stock will be treated as a dividend to the extent paid out of our current or accumulated earnings and profits (as determined under U.S. federal income tax principles), and will be includible in your income as ordinary income when received. However, with respect to dividends received by individuals, such dividends are generally taxed at the lower applicable qualified dividends rate, provided certain holding period requirements are satisfied. Distributions in excess of our current and accumulated earnings and profits will be treated as a return of capital to the extent of a U.S. Holder’s tax basis in the common stock and thereafter as capital gain from the sale or exchange of such common stock. The tax treatment of such gain is further described in the section titled “—Sale or Other Disposition of Common Stock.”. Dividends received by a corporation may be eligible for a dividends received deduction, subject to applicable limitations. Any such distributions will also be subject to the discussions in the section titled “—Information Reporting and Backup Withholding.”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gain or loss realized on the sale or other disposition of common stock by a U.S. Holder will be capital gain or loss, and will be long-term capital gain or loss if the U.S. Holder has held the common stock for more than one year. The amount of the gain or loss will equal the difference between the U.S. holder’s adjusted tax basis in the common stock disposed of and the amount realized on the disposition. Long-term capital gains recognized by non-corporate U.S. Holders will be subject to reduced tax rates. The deductibility of capital losses is subject to limitations.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any payments of distributions on our common stock and gross proceeds on the sale or other disposition of our common stock, unless the U.S. Holder is an exempt recipient (such as a corporation), regardless of whether any tax was actually withheld.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U.S. federal income tax liability provided the required information is furnished timely to the IRS.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stated in the section titled “Dividend Policy,” we have historically paid, and currently intend to continue paying, regular quarterly cash dividends on our Class A common stock and Class B common stock.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as described in the section titled “—Sale or Other Disposition of Common Stock.”</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A Non-U.S. holder that is eligible for a reduced rate of U.S. withholding tax under an income tax treaty should consult with its own tax advisor to determine if such holder is able to obtain a refund or credit of any excess amounts withheld by timely filing an appropriate claim for a refund with the IRS.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(or any applicable withholding agent) generally are not required to withhold tax on dividends paid (or constructive dividends deemed paid) to a Non-U.S. Holder that are effectively connected with the holder’s 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us (or, if shares of our common stock are held through a financial institution or other agent, to the applicable withholding agent). In general, such effectively connected dividends will be subject to U.S. federal income tax on a net income basis at the regular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the section titled “—Foreign Accounts” for additional withholding rules that may apply to dividends paid to certain foreign financial institutions or non-financial foreign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Stock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Subject to the discussion in the sections titled “—Information Reporting and Backup Withholding” and “—Foreign Accounts,” a Non-U.S. Holder generally will not be subject to U.S. federal income or withholding tax with respect to gain realized on a sale or other disposition of our common stock unless (a) the gain is effectively connected with a trade or business of the holder in the United States (and, if required by an applicable income tax treaty, is attributable to a permanent establishment or fixed base that the holder maintains in the United States), (b) the Non-U.S. Holder is a nonresident alien individual and is present in the United States for a period or periods aggregating 183 or more days in the taxable year of the disposition and certain other conditions are met, or (c) we are or have been a “United States real property holding corporation” within the meaning of Code Section 897(c)(2), unless any class of our stock is regularly traded on an established securities market and the Non-U.S. Holder disposes of such class of stock and holds no more than 5% of such class of stock, directly or indirectly, actually or constructively, during the shorter of the 5-year period ending on the date of the disposition or the period that the Non-U.S. Holder held such class of stock.</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you are a Non-U.S. Holder described in (a) above, you will be required to pay tax on the net gain derived from the sale at the regular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An individual Non-U.S. Holder described in (b) above will be required to pay a flat 30% tax on the gain derived from the sale, which gain may be offset by certain U.S. source capital losses (even though such holder is not considered a resident of the United States), provided such holder has timely filed U.S. federal income tax returns with respect to such losses. With respect to (c) above, in general, we would be a U.S. real property holding corporation if interests in U.S. real estate comprised (by fair market value) at least half of our worldwide real property interests plus our other assets used or held for use in a trade or business. We believe that we are not, and do not anticipate becoming, a U.S. real property holding corporation. However, there can be no assurance that we will not become a U.S. real property holding corporation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Generally, we or certain financial middlemen must report information to the IRS with respect to any distributions we pay on our common stock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If backup withholding is applied to a Non-U.S. Holder, such Non-U.S. holder should consult with its own tax advisor to determine whether such Non-U.S. Holder has overpaid U.S. federal income tax, and whether such Non-U.S. holder is able to obtain a tax refund or credit of the overpaid amount.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and separately from the withholding rules described above, U.S. federal withholding taxes may apply under the Foreign Account Tax Compliance Act (“FATCA”), on certain types of payments, including dividends to non-U.S. financial institutions and certain other non-U.S. entities. Specifically, a 30% withholding tax may be imposed on dividends paid in respect of our common stock, the gross proceeds of the disposition of our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Treasury Secretary has issued proposed regulations providing that the withholding provisions under FATCA do not apply with respect to payment of gross proceeds from a sale or other disposition, which may be relied upon by taxpayers until final regulations are issued. Prospective investors should consult their tax advisors regarding the potential application of withholding under FATCA to their investment in our common stock.</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PROSPECTIVE INVESTOR SHOULD CONSULT ITS OWN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Citigroup Global Markets Inc., BofA Securities, Inc. and Wells Fargo Securities, LLC are acting as joint book-running managers of the offering and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number of shares of Class B common stock set forth opposite the underwriter’s name.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r>
      <w:tr>
        <w:trPr>
          <w:trHeight w:val="24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247,500</w:t>
            </w:r>
          </w:p>
        </w:tc>
        <w:tc>
          <w:tcPr>
            <w:tcW w:w="80" w:type="dxa"/>
            <w:vAlign w:val="bottom"/>
            <w:shd w:val="clear" w:color="auto" w:fill="CCEEFF"/>
          </w:tcPr>
          <w:p>
            <w:pPr>
              <w:spacing w:after="0"/>
              <w:rPr>
                <w:sz w:val="21"/>
                <w:szCs w:val="21"/>
                <w:color w:val="auto"/>
              </w:rPr>
            </w:pPr>
          </w:p>
        </w:tc>
      </w:tr>
      <w:tr>
        <w:trPr>
          <w:trHeight w:val="24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112,500</w:t>
            </w:r>
          </w:p>
        </w:tc>
      </w:tr>
      <w:tr>
        <w:trPr>
          <w:trHeight w:val="24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105,000</w:t>
            </w:r>
          </w:p>
        </w:tc>
        <w:tc>
          <w:tcPr>
            <w:tcW w:w="80" w:type="dxa"/>
            <w:vAlign w:val="bottom"/>
            <w:shd w:val="clear" w:color="auto" w:fill="CCEEFF"/>
          </w:tcPr>
          <w:p>
            <w:pPr>
              <w:spacing w:after="0"/>
              <w:rPr>
                <w:sz w:val="21"/>
                <w:szCs w:val="21"/>
                <w:color w:val="auto"/>
              </w:rPr>
            </w:pPr>
          </w:p>
        </w:tc>
      </w:tr>
      <w:tr>
        <w:trPr>
          <w:trHeight w:val="24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W. Baird &amp; Co. Incorporated</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r>
      <w:tr>
        <w:trPr>
          <w:trHeight w:val="24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r>
      <w:tr>
        <w:trPr>
          <w:trHeight w:val="24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Craig-Hallum Capital Group LLC</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52,500</w:t>
            </w:r>
          </w:p>
        </w:tc>
      </w:tr>
      <w:tr>
        <w:trPr>
          <w:trHeight w:val="249"/>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Northland Securities, Inc.</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100" w:type="dxa"/>
            <w:vAlign w:val="bottom"/>
            <w:tcBorders>
              <w:bottom w:val="single" w:sz="8" w:color="CCEEFF"/>
            </w:tcBorders>
            <w:gridSpan w:val="2"/>
            <w:shd w:val="clear" w:color="auto" w:fill="CCEEFF"/>
          </w:tcPr>
          <w:p>
            <w:pPr>
              <w:spacing w:after="0"/>
              <w:rPr>
                <w:sz w:val="21"/>
                <w:szCs w:val="21"/>
                <w:color w:val="auto"/>
              </w:rPr>
            </w:pPr>
          </w:p>
        </w:tc>
      </w:tr>
      <w:tr>
        <w:trPr>
          <w:trHeight w:val="237"/>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1,500,000</w:t>
            </w:r>
          </w:p>
        </w:tc>
        <w:tc>
          <w:tcPr>
            <w:tcW w:w="80" w:type="dxa"/>
            <w:vAlign w:val="bottom"/>
          </w:tcPr>
          <w:p>
            <w:pPr>
              <w:spacing w:after="0"/>
              <w:rPr>
                <w:sz w:val="20"/>
                <w:szCs w:val="20"/>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underwriters’ option to purchase additional shares) if they purchase any of the shares.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initial public offering price set forth on the cover of this prospectus supplement. Any shares sold by the underwriters to securities dealers may be sold at a discount from the initial public offering price not to exceed $5.9850 per share. If all the shares are not sold at the initial offering price, the underwriters may change the offering price and the other selling terms.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underwriters sell more shares than the total number set forth in the table above, we have granted to the underwriters an option, exercisable for 30 days from the date of this prospectus supplement, to purchase up to 225,000 additional shares of Class B common stock at the public offering price less the underwriting discount. To the extent the option is exercised, each underwriter must purchase a number of additional shares of Class B common stock approximately proportionate to that underwriter’s initial purchase commitment. Any shares issued or sold under the option will be issued and sold on the same terms and conditions as the other shares that are the subject of this offering.</w:t>
      </w:r>
    </w:p>
    <w:p>
      <w:pPr>
        <w:spacing w:after="0" w:line="183"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18"/>
          <w:szCs w:val="18"/>
          <w:color w:val="auto"/>
        </w:rPr>
        <w:t>We have agreed that, for a period of 60 days (the “Restricted Period”) from the date of this prospectus supplement, we will not, without the prior written consent of Citigroup Global Markets Inc., BofA Securities, Inc. and Wells Fargo Securities, LLC,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submission or filing (or participation in the filing) of a registration statement with the SEC in respect of, or establish or increase a put equivalent position or liquidate or decrease a call equivalent position within the meaning of Section 16 of the Securities Exchange Act of 1934, as amended, and the rules and regulations of the SEC promulgated thereunder with respect to, any common shares or any securities convertible into, or exercisable or exchangeable for, common shares, or publicly announce an intention to effect any such transaction. The restrictions described in this paragraph do not apply to (i) the grant or amendment of any compensatory equity-based awards, the issuance and sale of common stock or securities with respect thereto pursuant to any existing employee stock option plan, incentive plan, stock ownership plan or dividend reinvestment plan of the Company, including but not limited to a non-employee director stock compensation plan or program and an employee stock purchase plan, provided that such recipients agree to be bound by the terms of a lock-up agreement with the underwriters, (ii) the issuance of common stock issuable upon the conversion of securities or the exercise of warrants currently outstanding or options (including net exercise) or the vesting and/or settlement of a restricted stock or restricted stock unit award (including net settlement) or otherwise to satisfy a tax withholding obligation of the Company in connection with the vesting, settlement or exercise of a compensatory equity-based award, (iii) facilitate the establishment and amendment of a trading plan on behalf of a stockholder, officer or director of the Company pursuant to Rule 10b5-1 under the Exchange Act for the transfer of shares of common stock, provided that (1) such plan does not provide for the transfer of shares of common stock during the Restricted Period and (2) to the extent any public disclosure is made regarding the establishment of such plan, such disclosure shall include a statement to the effect that no transfer of shares of common stock may be made under such plan during the Restricted Period, (iv) the issuance of up to 5% of the outstanding shares of Class B common stock, or securities convertible into, exercisable for, or which are otherwise exchangeable for, Class B common stock, immediately following the settlement date, in connection with any mergers, acquisitions, joint ventures, commercial or other similar strategic transactions, provided that such recipients enter into a lock-up agreement addressed to the Representatives, (v) file any registration statement on Form S-8 relating to securities granted or to be granted pursuant to any existing plan or any assumed benefit plan pursuant to a merger, acquisition, joint venture, commercial or other similar strategic transaction or (vi) the sale of shares of Class B common stock in the open market from time to time during the Restricted Period solely in order to satisfy withholding tax obligations (including federal, state, local and payroll taxes) and related tax remittance obligations arising as a result of the vesting of restricted stock awards granted pursuant to an equity incentive plan described in the automatic registration statement on Form S-3 or this Prospectus (each, a “Sell-to-Cover Sale”); provided that (a) the aggregate number of shares of Class B common stock sold pursuant to all Sell-to-Cover Sales shall not exceed the number of shares reasonably necessary to satisfy such withholding and remittance obligations based on the applicable statutory withholding rates (unless a higher rate is required by applicable law), (b) any remaining shares of Class B common stock held following such vesting shall remain subject to the restrictions set forth in the underwriting agreement for the duration of the Restricted Period, (c) no public announcement of the seller’s intention to effect any Sell-to-Cover Sale shall be made during the Restricted Period, and (d) any required public filing under Section 16(a) of the Exchange Act (or other required public filing) shall, to the extent permitted, clearly indicate in the footnotes that the transaction was effected solely to satisfy tax withholding and remittance obligations in connection with the vesting of restricted stock awards.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0" w:gutter="0" w:footer="0" w:header="0"/>
        </w:sectPr>
      </w:pPr>
    </w:p>
    <w:bookmarkStart w:id="18" w:name="page19"/>
    <w:bookmarkEnd w:id="1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officers and directors have entered into lock-up agreements with the underwriters prior to the commencement of this offering pursuant to which, during the Restricted Period, each of such persons shall not, without the prior written consent of Citigroup Global Markets Inc., BofA Securities, Inc. and Wells Fargo Securities, LLC, offer, sell, contract to sell, pledge or otherwise dispose of (or enter into any transaction which is designed to, or might reasonably be expected to, result in the disposition (whether by actual disposition or effective economic disposition due to cash settlement or otherwise) by such person or any affiliate of such person or any person in privity with such person or any affiliate of such person), directly or indirectly, including the filing (or participation in the filing), of a registration statement with the SEC in respect of, or establish or increase a put equivalent position or liquidate or decrease a call equivalent position within the meaning of Section 16 of the Securities Exchange Act of 1934, as amended, and the rules and regulations of the SEC promulgated thereunder with respect to, any common shares or any securities convertible into, or exercisable or exchangeable for, common shares, or publicly announce an intention to effect any such transaction.</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Among certain other customary exceptions, the restrictions described above do not apply to the transfer of common shares: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 a bona fide gift or gifts or charitable contribution, or for bona fide estate planning purposes;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upon death or by will, other testamentary document or intestacy;</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to a partnership, limited liability company, corporation or other entity of which the transferor and the immediate family of the transferor are the legal and beneficial owner of all of the outstanding equity securities or similar interests;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to a nominee or custodian of a person or entity to whom a disposition or transfer would be permissible under clauses (i) through (iii) above;</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if the transferor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transferor, or to any investment fund or other entity controlling, controlled by, managing or managed by or under common control with the transferor or affiliates of the transferor, or (b) as part of a distribution to members or shareholders of the transferor;</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 by operation of law, such as pursuant to the rules of descent and distribution or pursuant to a qualified domestic order, divorce settlement, divorce decree, separation agreement or any other court order;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(vii) to us upon death or disability of the transferor;</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(viii) by surrender or forfeiture to us to satisfy tax withholding obligations upon exercise or vesting or the exercise price upon a cashless net exercise, in each case, of stock options, equity awards, warrants or other rights to acquire common shares expiring during the Restricted Period pursuant to our equity incentive plans;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however, that (A) in the case of any transfer or distribution pursuant to clauses (i) through (vi) above, such transfer shall not involve a disposition for value and each donee, devisee, transferee or distributee shall execute and deliver to the representatives a lock-up letter and (B) any required public report or filing (including filings under Section 16(a) of the Exchange Act) shall disclose the nature of such transfer and that the common shares remain subject to the lock-up letter and there shall be no voluntary public disclosure or other announcement of such transfer.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symbols “BELFA” and “BELFB.”</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shares.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Full</w:t>
            </w: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No Exercise</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14,962,500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17,206,875</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 that our total expenses of this offering, excluding underwriting discounts and commissions, will be $0.7 million.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in the open market. Purchases and sales in the open market may include short sales, purchases to cover short positions, which may include purchases pursuant to the underwriters’ option to purchase additional shares, and stabilizing purchases.</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shares than they are required to purchase in the offering.</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“Covered” short sales are sales of shares in an amount up to the number of shares represented by the underwriters’ option to purchase additional shares.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“Naked” short sales are sales of shares in an amount in excess of the number of shares represented by the underwriters’ option to purchase additional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825" w:gutter="0" w:footer="0" w:header="0"/>
        </w:sectPr>
      </w:pPr>
    </w:p>
    <w:bookmarkStart w:id="19" w:name="page20"/>
    <w:bookmarkEnd w:id="19"/>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shares either pursuant to the underwriters’ option to purchase additional shares or in the open market in order to cover short positions.</w:t>
      </w:r>
    </w:p>
    <w:p>
      <w:pPr>
        <w:spacing w:after="0" w:line="188" w:lineRule="exact"/>
        <w:rPr>
          <w:rFonts w:ascii="Times New Roman" w:cs="Times New Roman" w:eastAsia="Times New Roman" w:hAnsi="Times New Roman"/>
          <w:sz w:val="18"/>
          <w:szCs w:val="18"/>
          <w:color w:val="auto"/>
        </w:rPr>
      </w:pPr>
    </w:p>
    <w:p>
      <w:pPr>
        <w:ind w:left="98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To close a naked short position, the underwriters must purchase shares in the open market.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202" w:lineRule="exact"/>
        <w:rPr>
          <w:rFonts w:ascii="Times New Roman" w:cs="Times New Roman" w:eastAsia="Times New Roman" w:hAnsi="Times New Roman"/>
          <w:sz w:val="18"/>
          <w:szCs w:val="18"/>
          <w:color w:val="auto"/>
        </w:rPr>
      </w:pPr>
    </w:p>
    <w:p>
      <w:pPr>
        <w:ind w:left="980"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To close a covered short position, the underwriters must purchase shares in the open market or must exercise the option to purchase additional shares. In determining the source of shares to close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shares so long as the stabilizing bids do not exceed a specified maximum.</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shares. They may also cause the price of the shares to be higher than the price that would otherwise exist in the open market in the absence of these transactions. The underwriters may conduct these transactions on the Nasdaq Global Select Market, in the over-the-counter market or otherwise. If the underwriters commence any of these transactions, they may discontinue them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of the underwriters or their affiliates will receive at least 5% of the net proceeds of this offering as a result of the repayment of borrowings we incurred under our Facility. See the section titled “Use of Proceeds.” Accordingly, this offering is being made in compliance with the requirements of FINRA Rule 5121. In accordance with that rule, no “qualified independent underwriter” is required, because a bona fide public market exists in the shares, as that term is defined in FINRA Rule 5121. The underwriters subject to FINRA Rule 5121 will not confirm sales of our common stock to any account over which they exercise discretionary authority without the prior written approval of the customer.</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those coming into possession of the prospectus in Canada</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does not constitute a disclosure document or a prospectus under Chapter 6D.2 of the Corporations Act 2001 (Cth) (the “Corporations Act”); 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may only be provided in Australia to select investors who are able to demonstrate that they fall within one or more of the categories of investors, available under section 708 of the Corporations Act (“Exempt Investors”).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common shares may not be directly or indirectly offered for subscription or purchased or sold, and no invitations to subscribe for or buy the common shares may be issued, and no draft or definitive offering memorandum, advertisement or other offering material relating to any common shares may be distributed in Australia, except where disclosure to investors is not required under Chapter 6D of the Corporations Act or is otherwise in compliance with all applicable Australian laws and regulations. By submitting an application for the common shares, you represent and warrant to us that you are an Exempt Investor.</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any offer of common shares under this document will be made without disclosure in Australia under Chapter 6D.2 of the Corporations Act, the offer of those common shares for resale in Australia within 12 months may, under section 707 of the Corporations Act, require disclosure to investors under Chapter 6D.2 if none of the exemptions in section 708 applies to that resale. By applying for the common shares, you undertake to us that you will not, for a period of 12 months from the date of issue of the common shares, offer, transfer, assign or otherwise alienate those common shares to investors in Australia except in circumstances where disclosure to investors is not required under Chapter 6D.2 of the Corporations Act or where a compliant disclosure document is prepared and lodged with ASIC.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Brazil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securities have not been, and will not be, registered with the Comissão de Valores Mobiliários, or CVM. Any public offering or distribution, as defined under Brazilian laws and regulations, of the securities in Brazil is not legal without such prior registration. Documents relating to the offering of the common shares, as well as information contained therein, may not be supplied to the public in Brazil, as the offering of the common shares is not a public offering of securities in Brazil, nor may they be used in connection with any offer for subscription or sale of the securities to the public in Brazil. The common shares will not be offered or sold in Brazil, except in circumstances which do not constitute a public offering or distribution of securities under applicable Brazilian laws and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shares of our common stock have been offered or will be offered pursuant to the offering to the public in that Member State prior to the publication of a prospectus in relation to our common stock which has been approved by the competent authority in that Member State or, where appropriate, approved in another Member State and notified to the competent authority in that Member State, all in accordance with the Prospectus Regulation, except that offers of our common stock may be made to the public in that Member State at any time under the following exemptions under the Prospectus Regulation:</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in the Prospectus Regulation;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underwriters for any such offer;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the underwriters to publish a prospectus pursuant to Article 3 of the Prospectus Regulation, supplement a prospectus pursuant to Article 23 of the Prospectus Regulation, or publish an Annex IX document pursuant to Article 1(4) of the Prospectus Regulation, and each person who initially acquires any shares or to whom any offer is made will be deemed to have represented, acknowledged, and agreed to and with each of the underwriters and us that it is a “qualified investor” within the meaning of Article 2(e) in the Prospectus Regulation.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underwriters has been obtained to each such proposed offer or resale.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Member State means the communication in any form and by any means of sufficient information on the terms of the offer and the shares of our common stock to be offered so as to enable an investor to decide to purchase or subscribe for any shares of our common stock and the expression “Prospectus Regulation” means Regulation (EU) 2017/1129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shares of our common stock have been offered or will be offered pursuant to the offering to the public in the UK, except that shares of our common stock may be offered to the public in the UK at any time:</w:t>
      </w:r>
    </w:p>
    <w:p>
      <w:pPr>
        <w:spacing w:after="0" w:line="162" w:lineRule="exact"/>
        <w:rPr>
          <w:sz w:val="20"/>
          <w:szCs w:val="20"/>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 the offer is conditional on the admission of the shares of our common stock to trading on the London Stock Exchange plc’s main market (in reliance on the exception in paragraph 6(a) of Schedule 1 of the POATR); or (ii) the shares of our common stock being offered are at the time of the offer already admitted to trading on the London Stock Exchange plc’s main market (in reliance on the exception in paragraph 6(b) of Schedule 1 of the POATR);</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in paragraph 15 of Schedule 1 of the POATR;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in paragraph 15 of Schedule 1 of the POATR), subject to obtaining the prior consent of the underwriters for any such offer;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of the POATR.</w:t>
      </w:r>
    </w:p>
    <w:p>
      <w:pPr>
        <w:spacing w:after="0" w:line="22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of our common stock in the UK means the communication to any person which presents sufficient information on: (a) the shares of our common stock to be offered; and (b) the terms on which they are to be offered, to enable an investor to decide to buy or subscribe for any shares of our common stock and the expression “POATR” means the Public Offers and Admissions to Trading Regulations 2024.</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in the UK, this document is being distributed only to, and is directed only at, and any offer subsequently made may only be directed at persons who are “qualified investors” (as defined in paragraph 15 of Schedule 1 of the POATR)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person in the UK that is not a relevant person should not act or rely on the information included in this document or use it as basis for taking any action. In the UK, any investment or investment activity that this document relates to may be made or taken exclusively by relevant persons.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common shares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this prospectus supplement being a “prospectus” within the meaning of the Companies Ordinance (Cap. 32, Laws of Hong Kong) and no advertisement, invitation or document relating to the common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common shares which are or are intended to be disposed of only to persons outside Hong Kong or only to “professional investors” within the meaning of the Securities and Futures Ordinance (Cap. 571, Laws of Hong Kong) and any rules made thereunder.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any person in Singapore other than (a) to an institutional investor (as defined in Section 4A of the Securities and Futures Act (Chapter 289) of Singapore, as modified or amended from time to time (the “SFA”)) pursuant to Section 274 of the SFA; (b) to a relevant person (as defined in Section 275(2) of the SFA) pursuant to Section 275(1) of the SFA and in accordance with the conditions specified in Section 275 of the SFA; or (c) otherwise pursuant to, and in accordance with the conditions of, any other applicable provision of the SFA.</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 (i)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5" w:lineRule="exact"/>
        <w:rPr>
          <w:sz w:val="20"/>
          <w:szCs w:val="20"/>
          <w:color w:val="auto"/>
        </w:rPr>
      </w:pPr>
    </w:p>
    <w:p>
      <w:pPr>
        <w:jc w:val="both"/>
        <w:ind w:firstLine="8"/>
        <w:spacing w:after="0" w:line="255" w:lineRule="auto"/>
        <w:tabs>
          <w:tab w:leader="none" w:pos="2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276(4)(c)(ii) of the SFA; (ii) where no consideration is or will be given for the transfer; (iii) where the transfer is by operation of law; (iv) as specified in Section 276(7) of the SFA; or (v) as specified in Regulation 37A of the Securities and Futures (Offers of Investments) (Securities and Securities-based Derivatives Contracts) Regulations 2018.</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Singapore SFA Product Classification—In connection with Section 309B of the SFA and the CMP Regulations 2018, unless otherwise specified before an offer of the securities, we have determined, and hereby notify all relevant persons (as defined in Section 309A(1) of the SFA), that the securities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does not constitute an offer to the public or a solicitation to purchase or invest in any securities. No securities have been offered or will be offered to the public in Switzerland, except that offers of securities may be made to the public in Switzerland at any time under the following exemptions under the Swiss Financial Services Act (“FinSA”): (a) to any person which is a professional client as defined under the FinSA; (b) to fewer than 500 persons (other than professional clients as defined under the FinSA), subject to obtaining the prior consent of representatives for any such offer; or</w:t>
      </w:r>
    </w:p>
    <w:p>
      <w:pPr>
        <w:spacing w:after="0" w:line="3" w:lineRule="exact"/>
        <w:rPr>
          <w:sz w:val="20"/>
          <w:szCs w:val="20"/>
          <w:color w:val="auto"/>
        </w:rPr>
      </w:pPr>
    </w:p>
    <w:p>
      <w:pPr>
        <w:jc w:val="both"/>
        <w:ind w:right="20" w:firstLine="8"/>
        <w:spacing w:after="0" w:line="255"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 provided that no such offer of securities shall require the Company or any underwriter to publish a prospectus pursuant to Article 35 FinSA. The common shares have not been and will not be listed or admitted to trading on a trading venue in Switzerland.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340"/>
        <w:spacing w:after="0"/>
        <w:rPr>
          <w:sz w:val="20"/>
          <w:szCs w:val="20"/>
          <w:color w:val="auto"/>
        </w:rPr>
      </w:pPr>
      <w:r>
        <w:rPr>
          <w:rFonts w:ascii="Times New Roman" w:cs="Times New Roman" w:eastAsia="Times New Roman" w:hAnsi="Times New Roman"/>
          <w:sz w:val="18"/>
          <w:szCs w:val="18"/>
          <w:color w:val="auto"/>
        </w:rPr>
        <w:t>The securities have not been and will not be listed or admitted to trading on a trading venue in Switzerland.</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securities constitutes a prospectus as such term is understood pursuant to the FinSA and neither this document nor any other offering or marketing material relating to the securities may be publicly distributed or otherwise made publicly available in Switzerland.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common shares have not been and will not be registered under the Financial Instruments and Exchange Act of Japan (Act No. 25 of 1948, as amended) (the “FIEA”). Our common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 (“DIFC”)</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Markets Law, DIFC Law No. 1 of 2012, as amended. This document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nor taken steps to verify the information set forth herein and has no responsibility for this document.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Israel</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does not constitute a prospectus under the Israeli Securities Law, 5728-1968 (the “Israeli Securities Law”), and has not been filed with or approved by the Israel Securities Authority. In Israel, this prospectus is being distributed only to, and is directed only at, and any offer of the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its meaning and agree to 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Legal matters with respect to U.S. federal and New York law in connection with this offering will be passed upon for us by White &amp; Case LLP, New York, New York. Certain legal matters with respect to New Jersey law in connection with the validity of the shares being offered by this prospectus supplement and other legal matters will be passed upon for us by Lowenstein Sandler LLP. The underwriters are being represented in connection with this offering by Simpson Thacher &amp; Bartlett LLP, New York, New York.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on our investor website at www.belfuse.com.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and the accompanying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except as to any portion of any future report or document that is not deemed filed under such provisions until the offering of the securities offered hereby is terminated or completed:</w:t>
      </w:r>
    </w:p>
    <w:p>
      <w:pPr>
        <w:spacing w:after="0" w:line="188" w:lineRule="exact"/>
        <w:rPr>
          <w:sz w:val="20"/>
          <w:szCs w:val="20"/>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w:t>
      </w:r>
      <w:hyperlink r:id="rId3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2025, filed on February 24, 2026 (including information specifically incorporated by reference into our Form 10-K from our </w:t>
      </w:r>
      <w:hyperlink r:id="rId36">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relating to our 2026 annual meeting of shareholders, filed on </w:t>
      </w:r>
      <w:hyperlink r:id="rId37">
        <w:r>
          <w:rPr>
            <w:rFonts w:ascii="Times New Roman" w:cs="Times New Roman" w:eastAsia="Times New Roman" w:hAnsi="Times New Roman"/>
            <w:sz w:val="18"/>
            <w:szCs w:val="18"/>
            <w:color w:val="auto"/>
          </w:rPr>
          <w:t xml:space="preserve">April 10, 2026, notwithstanding certain recast subsidiary financial information included in our Current Report on Form 8-K, filed on </w:t>
        </w:r>
        <w:r>
          <w:rPr>
            <w:rFonts w:ascii="Times New Roman" w:cs="Times New Roman" w:eastAsia="Times New Roman" w:hAnsi="Times New Roman"/>
            <w:sz w:val="18"/>
            <w:szCs w:val="18"/>
            <w:u w:val="single" w:color="auto"/>
            <w:color w:val="0000EE"/>
          </w:rPr>
          <w:t>May 12,</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hyperlink>
    </w:p>
    <w:p>
      <w:pPr>
        <w:spacing w:after="0" w:line="179"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on May 5, 2026;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39">
        <w:r>
          <w:rPr>
            <w:rFonts w:ascii="Times New Roman" w:cs="Times New Roman" w:eastAsia="Times New Roman" w:hAnsi="Times New Roman"/>
            <w:sz w:val="18"/>
            <w:szCs w:val="18"/>
            <w:u w:val="single" w:color="auto"/>
            <w:color w:val="0000EE"/>
          </w:rPr>
          <w:t>January 15, 2026</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April 6,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7">
        <w:r>
          <w:rPr>
            <w:rFonts w:ascii="Times New Roman" w:cs="Times New Roman" w:eastAsia="Times New Roman" w:hAnsi="Times New Roman"/>
            <w:sz w:val="18"/>
            <w:szCs w:val="18"/>
            <w:u w:val="single" w:color="auto"/>
            <w:color w:val="0000EE"/>
          </w:rPr>
          <w:t>May 12, 2026</w:t>
        </w:r>
      </w:hyperlink>
      <w:r>
        <w:rPr>
          <w:rFonts w:ascii="Times New Roman" w:cs="Times New Roman" w:eastAsia="Times New Roman" w:hAnsi="Times New Roman"/>
          <w:sz w:val="18"/>
          <w:szCs w:val="18"/>
          <w:color w:val="auto"/>
        </w:rPr>
        <w:t xml:space="preserve">, our Current Report on </w:t>
      </w:r>
      <w:hyperlink r:id="rId41">
        <w:r>
          <w:rPr>
            <w:rFonts w:ascii="Times New Roman" w:cs="Times New Roman" w:eastAsia="Times New Roman" w:hAnsi="Times New Roman"/>
            <w:sz w:val="18"/>
            <w:szCs w:val="18"/>
            <w:u w:val="single" w:color="auto"/>
            <w:color w:val="0000EE"/>
          </w:rPr>
          <w:t>Form 8-K/A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February 24, 2026, amending our Current Report on </w:t>
      </w:r>
      <w:hyperlink r:id="rId42">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December 10, 2025 (in each case, excluding information furnished);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descriptions of our Class A common stock and Class B common stock contained in </w:t>
      </w:r>
      <w:hyperlink r:id="rId43">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4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on February 28, 2025, and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300 Executive Drive, Suite 300,</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West Orange, New Jersey 07052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+1 201-432-0463</w:t>
      </w:r>
    </w:p>
    <w:p>
      <w:pPr>
        <w:spacing w:after="0" w:line="205" w:lineRule="exact"/>
        <w:rPr>
          <w:rFonts w:ascii="Times New Roman" w:cs="Times New Roman" w:eastAsia="Times New Roman" w:hAnsi="Times New Roman"/>
          <w:sz w:val="18"/>
          <w:szCs w:val="18"/>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You may also access these documents,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on our website at </w:t>
      </w:r>
      <w:r>
        <w:rPr>
          <w:rFonts w:ascii="Times New Roman" w:cs="Times New Roman" w:eastAsia="Times New Roman" w:hAnsi="Times New Roman"/>
          <w:sz w:val="18"/>
          <w:szCs w:val="18"/>
          <w:i w:val="1"/>
          <w:iCs w:val="1"/>
          <w:color w:val="auto"/>
        </w:rPr>
        <w:t>www.belfuse.com</w:t>
      </w:r>
      <w:r>
        <w:rPr>
          <w:rFonts w:ascii="Times New Roman" w:cs="Times New Roman" w:eastAsia="Times New Roman" w:hAnsi="Times New Roman"/>
          <w:sz w:val="18"/>
          <w:szCs w:val="18"/>
          <w:color w:val="auto"/>
        </w:rPr>
        <w:t>.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w:t>
      </w:r>
    </w:p>
    <w:p>
      <w:pPr>
        <w:spacing w:after="0" w:line="175"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accompanying prospectus.</w:t>
      </w:r>
    </w:p>
    <w:p>
      <w:pPr>
        <w:spacing w:after="0" w:line="176"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156845</wp:posOffset>
            </wp:positionV>
            <wp:extent cx="2734310" cy="968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273431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from time to time, in one or more series:</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or Subordinated Debt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Depository Shares;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any combination of these securities in one or more offerings in amounts, at prices and on terms to be determined at the time of the offering.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securities may also be offered and sold by one or more selling securityholders to be identified in the future.</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You should carefully review the risks and uncertainties described in the section titled “Risk Factors” on page 6 of this prospectus and any similar heading in the documents that are incorporated by reference into this prospectus, as well as the section titled “Special Note Regarding Forward-Looking Statements” on page 3 of this prospectus. You should read the entire prospectus and any applicable prospectus supplement carefully before you make your investment.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time securities are offered pursuant to this prospectus, we will provide a prospectus supplement and attach it to this prospectus. The prospectus supplement will contain specific information about the terms of the offering and the offered securities and may also add, update or change the information in this prospectus. You should read this prospectus and the applicable prospectus supplement carefully before you invest in our securities.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symbols “BELFA” and “BELFB.” On May 11, 2026 the closing price of our Class A common stock and Class B common stock, as reported on The Nasdaq Global Select Market, was $270.76 per share and $302.73 per share, respectively.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may not be used to offer or sell any securities unless accompanied by a prospectus supplement.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9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5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59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42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59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28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960" w:type="dxa"/>
            <w:vAlign w:val="bottom"/>
            <w:gridSpan w:val="2"/>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42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960" w:type="dxa"/>
            <w:vAlign w:val="bottom"/>
            <w:gridSpan w:val="2"/>
            <w:shd w:val="clear" w:color="auto" w:fill="CCEEFF"/>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8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960" w:type="dxa"/>
            <w:vAlign w:val="bottom"/>
            <w:gridSpan w:val="2"/>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2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the Company</w:t>
            </w:r>
          </w:p>
        </w:tc>
        <w:tc>
          <w:tcPr>
            <w:tcW w:w="6960" w:type="dxa"/>
            <w:vAlign w:val="bottom"/>
            <w:gridSpan w:val="2"/>
            <w:shd w:val="clear" w:color="auto" w:fill="CCEEFF"/>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820" w:type="dxa"/>
            <w:vAlign w:val="bottom"/>
            <w:tcBorders>
              <w:top w:val="single" w:sz="8" w:color="CCEEFF"/>
            </w:tcBorders>
            <w:gridSpan w:val="10"/>
          </w:tcPr>
          <w:p>
            <w:pPr>
              <w:spacing w:after="0"/>
              <w:rPr>
                <w:sz w:val="15"/>
                <w:szCs w:val="15"/>
                <w:color w:val="auto"/>
              </w:rPr>
            </w:pPr>
          </w:p>
        </w:tc>
        <w:tc>
          <w:tcPr>
            <w:tcW w:w="6960" w:type="dxa"/>
            <w:vAlign w:val="bottom"/>
            <w:tcBorders>
              <w:top w:val="single" w:sz="8" w:color="CCEEFF"/>
            </w:tcBorders>
            <w:gridSpan w:val="2"/>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2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May Offer</w:t>
            </w:r>
          </w:p>
        </w:tc>
        <w:tc>
          <w:tcPr>
            <w:tcW w:w="6960" w:type="dxa"/>
            <w:vAlign w:val="bottom"/>
            <w:gridSpan w:val="2"/>
            <w:shd w:val="clear" w:color="auto" w:fill="CCEEFF"/>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5"/>
        </w:trPr>
        <w:tc>
          <w:tcPr>
            <w:tcW w:w="288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400" w:type="dxa"/>
            <w:vAlign w:val="bottom"/>
            <w:tcBorders>
              <w:top w:val="single" w:sz="8" w:color="CCEEFF"/>
            </w:tcBorders>
            <w:gridSpan w:val="3"/>
          </w:tcPr>
          <w:p>
            <w:pPr>
              <w:spacing w:after="0"/>
              <w:rPr>
                <w:sz w:val="15"/>
                <w:szCs w:val="15"/>
                <w:color w:val="auto"/>
              </w:rPr>
            </w:pPr>
          </w:p>
        </w:tc>
        <w:tc>
          <w:tcPr>
            <w:tcW w:w="6960" w:type="dxa"/>
            <w:vAlign w:val="bottom"/>
            <w:tcBorders>
              <w:top w:val="single" w:sz="8" w:color="CCEEFF"/>
            </w:tcBorders>
            <w:gridSpan w:val="2"/>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7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2540" w:type="dxa"/>
            <w:vAlign w:val="bottom"/>
            <w:tcBorders>
              <w:bottom w:val="single" w:sz="8" w:color="CCEEFF"/>
            </w:tcBorders>
            <w:gridSpan w:val="7"/>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6"/>
        </w:trPr>
        <w:tc>
          <w:tcPr>
            <w:tcW w:w="428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696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4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Depository Shares</w:t>
            </w:r>
          </w:p>
        </w:tc>
        <w:tc>
          <w:tcPr>
            <w:tcW w:w="1860" w:type="dxa"/>
            <w:vAlign w:val="bottom"/>
            <w:tcBorders>
              <w:bottom w:val="single" w:sz="8" w:color="CCEEFF"/>
            </w:tcBorders>
            <w:gridSpan w:val="4"/>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6"/>
        </w:trPr>
        <w:tc>
          <w:tcPr>
            <w:tcW w:w="428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96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2840" w:type="dxa"/>
            <w:vAlign w:val="bottom"/>
            <w:tcBorders>
              <w:bottom w:val="single" w:sz="8" w:color="CCEEFF"/>
            </w:tcBorders>
            <w:gridSpan w:val="11"/>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5"/>
        </w:trPr>
        <w:tc>
          <w:tcPr>
            <w:tcW w:w="428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96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42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960" w:type="dxa"/>
            <w:vAlign w:val="bottom"/>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have filed with the Securities and Exchange Commission (the “SEC”), under the Securities Act of 1933, as amended (the “Securities Act”). By using a shelf registration statement, we or any selling securityholder may sell, at any time and from time to time, in one or more offerings, debt securities, equity securities, preferred stock, warrants, or units.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time we sell securities, we will provide a prospectus supplement that contains specific information about the terms of those securities and the offering, and this prospectus may not be used to sell securities unless accompanied by the applicable prospectus supplement. The prospectus supplement may add, update or change information contained in this prospectus. If there is any inconsistency between the information in this prospectus and the applicable prospectus supplement, you should rely on the information in the prospectus supplement. You should read both this prospectus and any prospectus supplement together with the additional information described below in the section titled “Where You Can Find More Information.”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prepare free writing prospectuses to describe the terms of particular securities, which terms may vary from those described in any prospectus supplement. You therefore should carefully review any free writing prospectus in connection with your review of this prospectus and the applicable prospectus supplement.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any prospectus supplement, including any information that we incorporate by reference, or any free writing prospectus that we distribute. We have not authorized anyone to provide you with different information, and we do not take any responsibility for, or provide any assurance as to the reliability of, any other information that others may give you. You should not assume that the information contained or incorporated by reference in this prospectus or a prospectus supplement or contained in any free writing prospectus is accurate as of any date other than the date of the document. We are not making an offer of securities in any jurisdiction where the offer is not permitted.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Throughout this prospectus, when we use the terms “we,” “us,” “our” and similar terms, we are referring to Bel Fuse Inc. and its subsidiaries, collectively, as the context requires.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that we have filed with the SEC registers the securities offered by this prospectus under the Securities Act. The registration statement, including the exhibits to it, contains additional relevant information about us. The rules and regulations of the SEC allow us to omit some information included in the registration statement from this prospectus.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and information statements and other information with the SEC. Our SEC filings, including the registration statement, are available to the public from the SEC’s website at http://www.sec.gov. We also make available free of charge on our website, www.belfuse.com, all materials that we file electronically with the SEC, including our annual reports on Form 10-K, quarterly reports on Form 10-Q, current reports on Form 8-K, Section 16 reports and amendments to those reports as soon as reasonably practicable after such materials are electronically filed with, or furnished to, the SEC. Information contained on our website or any other website is not incorporated by reference into this prospectus and does not constitute a part of this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our results of operations. The information incorporated by reference is considered part of this prospectus from the date we file that document. Information that we file later with the SEC and that is incorporated by reference in this prospectus will automatically update and may supersede information contained or incorporated by reference in this prospectus or any prospectus supplement.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incorporate by reference in this prospectus the documents and portions of documents listed below and any future filings made with the SEC under Sections 13(a), 13(c), 14 or 15(d) of the Securities Exchange Act of 1934, as amended (the “Exchange Act”), (other than, in each case, information deemed to have been furnished and not filed in accordance with SEC rules):</w:t>
      </w:r>
    </w:p>
    <w:p>
      <w:pPr>
        <w:spacing w:after="0" w:line="176" w:lineRule="exact"/>
        <w:rPr>
          <w:sz w:val="20"/>
          <w:szCs w:val="20"/>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2025, filed on February 24, 2026 (including information specifically incorporated by reference into our Form 10-K from our </w:t>
      </w:r>
      <w:hyperlink r:id="rId36">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our 2026 annual meeting of shareholders, filed on April 10, 2026);</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on May 5, 2026; and</w:t>
      </w:r>
    </w:p>
    <w:p>
      <w:pPr>
        <w:spacing w:after="0" w:line="225"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on </w:t>
      </w:r>
      <w:hyperlink r:id="rId52">
        <w:r>
          <w:rPr>
            <w:rFonts w:ascii="Times New Roman" w:cs="Times New Roman" w:eastAsia="Times New Roman" w:hAnsi="Times New Roman"/>
            <w:sz w:val="18"/>
            <w:szCs w:val="18"/>
            <w:u w:val="single" w:color="auto"/>
            <w:color w:val="0000EE"/>
          </w:rPr>
          <w:t>January 15, 2026</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April 6,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4">
        <w:r>
          <w:rPr>
            <w:rFonts w:ascii="Times New Roman" w:cs="Times New Roman" w:eastAsia="Times New Roman" w:hAnsi="Times New Roman"/>
            <w:sz w:val="18"/>
            <w:szCs w:val="18"/>
            <w:u w:val="single" w:color="auto"/>
            <w:color w:val="0000EE"/>
          </w:rPr>
          <w:t>May 12, 2026</w:t>
        </w:r>
      </w:hyperlink>
      <w:r>
        <w:rPr>
          <w:rFonts w:ascii="Times New Roman" w:cs="Times New Roman" w:eastAsia="Times New Roman" w:hAnsi="Times New Roman"/>
          <w:sz w:val="18"/>
          <w:szCs w:val="18"/>
          <w:color w:val="auto"/>
        </w:rPr>
        <w:t xml:space="preserve">, our Current Report on Form 8-K/A filed on </w:t>
      </w:r>
      <w:hyperlink r:id="rId55">
        <w:r>
          <w:rPr>
            <w:rFonts w:ascii="Times New Roman" w:cs="Times New Roman" w:eastAsia="Times New Roman" w:hAnsi="Times New Roman"/>
            <w:sz w:val="18"/>
            <w:szCs w:val="18"/>
            <w:u w:val="single" w:color="auto"/>
            <w:color w:val="0000EE"/>
          </w:rPr>
          <w:t>February 24,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amending our Current Report on Form 8-K filed on</w:t>
      </w:r>
      <w:r>
        <w:rPr>
          <w:rFonts w:ascii="Times New Roman" w:cs="Times New Roman" w:eastAsia="Times New Roman" w:hAnsi="Times New Roman"/>
          <w:sz w:val="18"/>
          <w:szCs w:val="18"/>
          <w:color w:val="0000EE"/>
        </w:rPr>
        <w:t xml:space="preserve"> </w:t>
      </w:r>
      <w:hyperlink r:id="rId56">
        <w:r>
          <w:rPr>
            <w:rFonts w:ascii="Times New Roman" w:cs="Times New Roman" w:eastAsia="Times New Roman" w:hAnsi="Times New Roman"/>
            <w:sz w:val="18"/>
            <w:szCs w:val="18"/>
            <w:u w:val="single" w:color="auto"/>
            <w:color w:val="0000EE"/>
          </w:rPr>
          <w:t xml:space="preserve">December 10, 2025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case, excluding information furnished); and</w:t>
      </w:r>
    </w:p>
    <w:p>
      <w:pPr>
        <w:spacing w:after="0" w:line="16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descriptions of our Class A common stock and Class B common stock contained in </w:t>
      </w:r>
      <w:hyperlink r:id="rId43">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on February 28, 2025, and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in this prospectus from the SEC through the SEC’s website at the address provided above. You may also request and we will provide, free of charge, a copy of any document incorporated by reference in this prospectus (excluding exhibits to such document unless an exhibit is specifically incorporated by reference in the document) by visiting our internet website at www.belfuse.com or by writing or calling us at the following address and telephone number: Bel Fuse Inc., Corporate Secretary, 300 Executive Drive, Suite 300, West Orange, New Jersey 07052, telephone +1 201-432-0463.</w:t>
      </w:r>
    </w:p>
    <w:p>
      <w:pPr>
        <w:spacing w:after="0" w:line="39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the “Company,” “Bel,” “we,” “us,” and “our” as used in the registration statement for which this prospectus forms a part refer to Bel Fuse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consolidated subsidiaries unless otherwise specified.</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consolidated operating results are affected by a wide variety of factors that could materially and adversely affect revenues and profitability, including the risk factors described in this prospectus and the risk factors described in our other reports and documents filed from time to time with the SEC. As a result of these and other factors, we may experience material fluctuations in future operating results on a quarterly or annual basis, which could materially and adversely affect its business, consolidated financial condition, operating results, and common stock prices. Furthermore, this document and other reports and documents filed with the SEC contain certain forward-looking statements under the Private Securities Litigation Reform Act of 1995 (“Forward-Looking Statements”) with respect to our business. Forward-Looking Statements are necessarily subject to risks and uncertainties, many of which are outside our control, that could cause actual results to differ materially from these statements. Forward-Looking Statements can be identified by such words as “anticipates,” “believes,” “plan,” “assumes,” “forecasts,” “project,” “could,” “should,” “estimates,” “expects,” “intends,” “potential,” “seek,” “predict,” “may,” “will” and similar references to future periods. All statements other than statements of historical facts included in this report regarding our strategies, prospects, financial condition, operations, costs, plans and objectives are Forward-Looking Statements.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subject to certain risks and uncertainties, including those detailed in this Form S-3, and the risk factors described in our other reports and documents filed from time to time with the SEC, which could cause actual results to differ materially from these Forward-Looking Statements. Any Forward-Looking Statements are qualified in the entirety by reference to such risk factors discussed throughout this Form S-3 and as described in our other reports and documents filed from time to time with the SEC. Some of the risks, uncertainties and assumptions that could cause actual results to differ materially from estimates or projections contained in the Forward-Looking Statements include but are not limited to:</w:t>
      </w:r>
    </w:p>
    <w:p>
      <w:pPr>
        <w:spacing w:after="0" w:line="18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concerns facing our customers, and risks for our business in the event of the loss of certain substantial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viability of sectors that rely on our products;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business and economic conditions, and challenges impacting the macroeconomic environment generally and/or our industry in particular;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rising input costs, and cost changes generally, including the potential impact and effects of inflationary pressures;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integrating previously acquired companies, including any unanticipated difficulties, or unexpected or higher than anticipated expenditures;</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intended acquisition of the remaining 20% stake in Enercon is not completed in accordance with the shareholders’ agreement as contemplated for any reason, and any resulting disruptions to our business and our currently 80% owned Enercon subsidiary as a result thereof;</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demand which can affect our products and results, and market and economic factors impacting Enercon’s business, including trends in demand in Enercon’s aerospace and defense end markets which can be cyclical, as well as the impact of any reductions in defense spending, any of which factors could materially adversely affect the demand for and corresponding sales of such products;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and supply constraints or difficulties, including supply chain constraints or other challenges;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including potential future outbreaks, epidemics or pandemics;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the availability of labor, and the risks of any labor unrest or labor shortages;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operations, including our substantial manufacturing operations in the People’s Republic of China (the “PRC”), and risks associated with operations in Israel, which may be adversely affected by political or economic instability, major hostilities or acts of terrorism in the region;</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restructuring programs or other strategic initiatives, including any difficulties in implementation or realization of the expected benefits or cost savings;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commercialization or technological difficulties;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and trade environment including the potential effects of the imposition or modification of new or increased tariffs either by the U.S. government on foreign imports or by a foreign government on U.S. exports related to the countries in which we transact business, and trade restrictions that may impact us, our customers and/or our suppliers, and risks associated with the evolving trade environment, trade restrictions, and changes in trade agreements, and general uncertainty about future changes in trade and tariff policy and the associated impacts of those changes;</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fluctuations in foreign currency exchange rates and interest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legal proceedings;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acceptance of our new products and competitive responses to those new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impact of changes to U.S. and applicable foreign legal and regulatory requirements, including, without limitation, tax laws.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list sets forth some, but not all, of the factors that could affect our ability to achieve results described in any Forward-Looking Statements, which speak only as of the date of this prospectus or the date of the document incorporated by reference into this prospectus. Except as required by law, we assume no obligation and expressly disclaim any duty to publicly release the results of any revisions to these Forward-Looking Statements or otherwise update any Forward-Looking Statement to reflect events or circumstances after the date of this prospectus or to reflect the occurrence of unanticipated events. In addition, we cannot assess the impact of each factor on our business or the extent to which any factor, or combination of factors, may cause actual results to differ materially from those contained in any Forward-Looking Statements contained in this prospectus. Any Forward-Looking Statement we make is based only on information currently available to us and speaks only as of the date on which it is made. All Forward-Looking Statements are expressly qualified in their entirety by the cautionary statements contained in this section.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Bel Fuse Inc. designs, manufactures and markets critical electronic components, systems and solutions for customers in the aerospace, defense, industrial, and data-driven markets. Understanding that our customers face increasingly complex technical challenges, Bel delivers a comprehensive portfolio of solutions including power systems, high-reliability connectors and cable assemblies, circuit protection, and networking products that enable Original Equipment Manufacturers (OEMs) to bring their innovations to market. Bel partners closely with customers to deliver both customized and standard solutions tailored to their specific applications and performance requirements. With manufacturing facilities and technical support teams worldwide, Bel serves as a strategic partner to customers who require proven reliability in demanding end markets.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more than 75 years in operation, Bel has reliably demonstrated the ability to participate in a variety of product areas across a global platform. The Company has a strong track record of technical innovation working with the engineering teams of market leaders. Bel has proven itself a valuable supplier to world-class companies by developing new products with cost-effective solutions.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 operates through two segments - Aerospace, Defense &amp; Rugged Solutions (“ADRS”) and Industrial Technology &amp; Data Solutions (“ITDS”). In 2025, 55% of Bel’s revenues were derived from our ADRS segment and 45% from ITDS segment.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incorporated in 1949 and is organized under New Jersey law. Bel’s principal executive offices are located at 300 Executive Drive, Suite 300, West Orange, New Jersey 07052, and Bel’s telephone number is (201) 432-0463. The Company operates facilities in North America, EMEA, and Asia and trades on the Nasdaq Global Select Market (ticker symbols BELFA and BELFB).</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certain risks. Before you invest in any of our equity securities, debt securities, warrants or units, in addition to the other information included in, or incorporated by reference into, this prospectus, you should carefully consider the risk factors contained in our most recent Annual Report on Form 10-K for the year ended December 31, 2025, our Quarterly Report on Form 10-Q for the quarter ended March 31, 2026 and our Current Report on Form 8-K, which are on file with the SEC and are incorporated herein by reference, as updated by our subsequent annual, quarterly and other reports we file with the SEC, as well as any amendments thereto, which are incorporated by reference into this prospectus. See the section titled “Where You Can Find More Information”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use the net proceeds from the sales of the securities as set forth in the applicable prospectus supplement.</w:t>
      </w:r>
    </w:p>
    <w:p>
      <w:pPr>
        <w:spacing w:after="0" w:line="200" w:lineRule="exact"/>
        <w:rPr>
          <w:sz w:val="20"/>
          <w:szCs w:val="20"/>
          <w:color w:val="auto"/>
        </w:rPr>
      </w:pP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MAY OFFER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contains summary descriptions of the Class A common stock, Class B common stock, preferred stock, warrants, debt securities, depositary shares and units that we may offer and sell from time to time. We may issue the debt securities as exchangeable and/or convertible debt securities exchangeable for or convertible into shares of Class A common stock, Class B common stock or preferred stock. The preferred stock may also be exchangeable for and/or convertible into shares of Class A common stock, Class B common stock or another series of preferred stock. When one or more of these securities are offered in the future, a prospectus supplement will explain the particular terms of the securities and the extent to which these general provisions may apply. These summary descriptions and any summary descriptions in the applicable prospectus supplement do not purport to be complete descriptions of the terms and conditions of each security and are qualified in their entirety by reference to our restated certificate of incorporation, as amended (our “restated certificate of incorporation”) and our amended and restated by-laws and by applicable New Jersey law and any other documents referenced in such summary descriptions and from which such summary descriptions are derived. If any particular terms of a security described in the applicable prospectus supplement differ from any of the terms described herein, then the terms described herein will be deemed superseded by the terms set forth in that prospectus supplement.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securities in book-entry form through one or more depositaries, such as The Depository Trust Company, Euroclear or Clearstream, named in the applicable prospectus supplement. Each sale of a security in book-entry form will settle in immediately available funds through the applicable depositary, unless otherwise stated. We will issue the securities only in registered form, without coupons, although we may issue the securities in bearer form if so specified in the applicable prospectus supplement. If any securities are to be listed or quoted on a securities exchange or quotation system, the applicable prospectus supplement will say so.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of certain provisions of our certificate of incorporation and bylaws does not purport to be complete and is subject to, and qualified by reference to, all of the provisions of our certificate of incorporation and bylaws. The certificate of incorporation and bylaws are incorporated by reference in this registration statement for these securities and have been filed or incorporated by reference as exhibits to our Annual Report on Form 10-K for the year ended December 31, 2025. You should read the certificate of incorporation and bylaws for the provisions that are important to you.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Bel Fuse Inc. is authorized to issue 10,000,000 shares of Class A common stock, par value $0.10 per share (the “Class A common stock”), and 30,000,000 shares of Class B common stock, par value $0.10 per share (the “Class B common stock” and, together with the Class A common stock, the “Common Stock”). As of April 30, 2026, there were 2,115,263 shares of Class A common stock outstanding and 10,607,444 shares of Class B common stock outstanding. The Company is also authorized to 1,000,000 shares of preferred stock, no par value (the “Preferred Stock”), none of which are outstanding. Our Class A common stock is listed on the NASDAQ Global Select Market, under the symbol “BELFA.” Our Class B common stock is also listed on the NASDAQ Global Select Market, under the symbol “BELFB.”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described below under the caption “Class B Protection,” each share of Class A entitles the holder thereof to one vote per share on all matters on which shareholders are entitled to vote, including the election of directors. The Class B common stock does not entitle the holder thereof to any vote except as otherwise provided in the Company’s certificate of incorporation or as required by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dividends are payable to the holders of Class A common stock and Class B common stock only as and when declared by the Board of Directors. Subject to the foregoing, cash dividends declared on shares of Class B common stock in any calendar year cannot be less than 5% higher per share than the annual amount of cash dividends per share declared in such calendar year on shares of Class A common stock. No cash dividends may be paid on shares of Class A common stock unless, at the same time, cash dividends are paid on shares of Class B common stock, subject to the annual 5% provision described above. Cash dividends may be paid at any time or from time to time on shares of Class B common stock without corresponding cash dividends being paid on shares of Class A common stock.</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share of Class A common stock and Class B common stock is otherwise equal with respect to dividends (other than cash) and distributions (including distributions in connection with any recapitalization and upon liquidation, dissolution or winding up of the Company), except that dividends or other distributions payable on the Common Stock in shares of Common Stock may be made only as follows: (i) in shares of Class B common stock to the holders of both Class A common stock and Class B common stock; or (ii) in shares of Class A common stock to the holders of Class A common stock and in shares of Class B common stock to the holders of Class B common stock. The Company’s certificate of incorporation also provides that neither the Class A common stock nor the Class B common stock may be split, subdivided or combined unless the other is proportionately split, subdivided or combined.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respective amounts of future dividends, if any, to be declared on each class of Common Stock depends on circumstances existing at the time, including the Company’s financial condition, capital requirements, earnings, legally available funds for the payment of dividends and other relevant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Consolidations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holder of Class B common stock is entitled to receive the same amount and form of consideration per share as the per-share consideration, if any, received by any holder of the Class A common stock in a merger or consolidation of the Company (whether or not the Company is the surviving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Protection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provisions described under this caption (the “Class B Protection Provisions”) may have an anti-takeover effect by making the Company a less attractive target for a takeover bid.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Class B Protection Provisions, the following definitions apply: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“Affiliate” of any Person means any other Person directly or indirectly controlling or controlled by or under direct or indirect common control with such Person. For purposes of this definition, control when used with respect to any specified Person means the possession of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 Shareholder” means any Person that, alone or together with any Affiliate, or any member of the immediate family (or trusts for the benefit thereof) of any such Person or Affiliate, beneficially owned at June 9, 1998, at least 4% of the aggregate number of shares of the Company’s Common Stock then outstanding.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 means any individual, partnership, joint venture, limited liability company, corporation, association, trust, incorporated organization, government or governmental department or agency or any other entity (other than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the Class B Protection Provisions as set forth in the Company’s certificate of incorporation, the following shares of Class A common stock are excluded for the purpose of determining the shares of Class A common stock beneficially owned or acquired by any Person or group but not for the purpose of determining shares outstanding:</w:t>
      </w:r>
    </w:p>
    <w:p>
      <w:pPr>
        <w:spacing w:after="0" w:line="176" w:lineRule="exact"/>
        <w:rPr>
          <w:sz w:val="20"/>
          <w:szCs w:val="20"/>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by such Person or group (or, in the case of a group, shares beneficially owned by Persons that are members of such group), immediately after the effective time of the recapitalization in 1998 when the Company caused each share of its Common Stock to be converted into one half share of Class A common stock and one half share of Class B common stock (the “Effective Time”);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acquired by will or by the laws of descent and distribution, or by a gift that is made in good faith and not for the purpose of circumventing the Class B Protection Provisions, or by termination or revocation of a trust or similar arrangement or by a distribution from a trust or similar arrangement if such trust or similar arrangement was created, and such termination, revocation or distribution occurred or was effected, in good faith and not for the purpose of circumventing the Class B Protection Provisions, or by reason of the ability of a secured party (following a default) to exercise voting rights with respect to, or to dispose of, shares that had been pledged in good faith as security for a bona fide loan, or by foreclosure of a bona fide pledge which secures a bona fide loan;</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acquired upon issuance or sale by the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acquired by operation of law (including a merger or consolidation effected for the purpose of recapitalizing a Person or reincorporating a Person in another jurisdiction but excluding a merger or consolidation effected for the purpose of acquiring another Person);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acquired in exchange for Common Stock by a holder of Common Stock (or by a parent, lineal descendant or donee of such holder of Common Stock who received such Common Stock from such holder) if the Common Stock so exchanged was acquired by such holder directly from the Company as a dividend on shares of Class A common stock;</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acquired by a plan of the Company qualified under Section 401(a) of the Internal Revenue Code of 1986, as amended, or any successor provision thereto, or acquired by reason of a distribution from such a plan;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by a Person or group immediately after the Effective Time which are thereafter acquired by an Affiliate of such Person or group (or by the members of the immediate family (or trusts for the benefit thereof) of any such Person or Affiliate) or by a group which includes such Person or group or any such Affiliate;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acquired indirectly through the acquisition of securities, or all or substantially all of the assets, of a Person that has a class of its equity securities registered under Section 12 (or any successor provision) of the Exchange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right="20"/>
        <w:spacing w:after="0" w:line="282" w:lineRule="auto"/>
        <w:rPr>
          <w:sz w:val="20"/>
          <w:szCs w:val="20"/>
          <w:color w:val="auto"/>
        </w:rPr>
      </w:pPr>
      <w:r>
        <w:rPr>
          <w:rFonts w:ascii="Times New Roman" w:cs="Times New Roman" w:eastAsia="Times New Roman" w:hAnsi="Times New Roman"/>
          <w:sz w:val="18"/>
          <w:szCs w:val="18"/>
          <w:color w:val="auto"/>
        </w:rPr>
        <w:t>For purposes of calculating the number of shares of Common Stock beneficially owned or acquired by any Person or group in administering the Class B Protection Provisions:</w:t>
      </w:r>
    </w:p>
    <w:p>
      <w:pPr>
        <w:spacing w:after="0" w:line="162"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acquired by gift are deemed to be beneficially owned by such Person or member of a group if such gift was made in good faith and not for the purpose of circumventing the operations of the Class B Protection Provisions;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shares of Common Stock owned of record by such Person or member of a group or held by others as nominees of such Person or member of a group and identified as such to the Company shall be deemed to be beneficially owned by such Person or group (provided that shares of Common Stock with respect to which such Person or member of a group has sole investment and voting power shall be deemed to be beneficially owned thereby).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other definitional provisions applicable to the Class B Protection Provisions, “beneficial ownership” under the Class B Protection Provisions is to be determined pursuant to Rule 13d-3 (as in effect on February 1, 1996) promulgated under the Exchange Act, and the formation or existence of a “group” is to be determined pursuant to Rule 13d-5(b) (as in effect on May 1, 1998) promulgated under the Exchange Act, in each case subject to the following additional qualifications:</w:t>
      </w:r>
    </w:p>
    <w:p>
      <w:pPr>
        <w:spacing w:after="0" w:line="180" w:lineRule="exact"/>
        <w:rPr>
          <w:sz w:val="20"/>
          <w:szCs w:val="20"/>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by blood or marriage between or among any Persons will not constitute any of such Persons as a member of a group with any such other Person(s), absent affirmative attributes of concerted action;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acting in his or her official capacity as a director or officer of the Company shall not be deemed to beneficially own shares where such ownership exists solely by virtue of such Person’s status as a trustee (or similar position) with respect to shares held by plans or trusts for the general benefit of employees or former employees of the Company, and actions taken or agreed to be taken by a Person in such Person’s official capacity as an officer or director of the Company will not cause such Person to become a member of a group with any other Person.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any Person or group (other than any 4% Shareholder) acquires after the Effective Time beneficial ownership of shares representing 10% or more of the then outstanding Class A common stock, and such Person or group (a “Significant Shareholder”) does not then beneficially own an equal or greater percentage of all then outstanding shares of Class B common stock, all of which Class B common stock must have been acquired by such Person or group after the Effective Time, the Class B Protection Provisions require that such Significant Shareholder must, in order to maintain all of its voting power, make (within a ninety-day period beginning the day after becoming a Significant Shareholder) a public cash tender offer, in accordance with all applicable laws and regulations, to acquire additional shares of Class B common stock (a “Class B Protection Transaction”). The 10% ownership threshold of the number of shares of Class A common stock which triggers a Class B Protection Provision may not be waived by the Board of Directors, nor may this threshold be amended without shareholder approval, including a majority vote of the votes cast by the then outstanding shares of Class B common stock entitled to vote, tabulated separately as a class.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certificate of incorporation contains several provisions describing the nature of the public cash tender offer to be made by a Significant Shareholder. If a Significant Shareholder fails to make a tender offer required by the Class B Protection Provisions, or to purchase validly tendered and not withdrawn shares (after proration, if any), the voting rights of all of the shares of Class A common stock beneficially owned by such Significant Shareholder which were acquired after the Effective Time are to be automatically suspended until completion of a Class B Protection Transaction or until divestiture of the excess shares of Class A common stock that triggered such requirement. To the extent that the voting power of any shares of Class A common stock is so suspended, such shares will not be included in the determination of aggregate voting shares for any purpose.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Class B Protection Transaction is also required of any Significant Shareholder each time that the Significant Shareholder acquires after the Effective Time beneficial ownership of an additional amount of shares of Class A common stock equal to or greater than the next higher integral multiple of 5% in excess of 10% (e.g., 20%, 25%, 30%, etc.) of the outstanding shares of Class A common stock and such Significant Shareholder does not then own an equal or greater percentage of all then outstanding shares of Class B common stock that such Significant Shareholder acquired after the Effective Time. Such Significant Shareholder would be required to offer to buy that number of additional shares prescribed by a formula set forth in the Company’s certificate of incorporation.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The Class B Protection Provisions specifically exclude any 4% Shareholder.</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the Class B Protection Transaction requirement nor the related possibility of suspension of voting rights applies to any increase in percentage beneficial ownership of shares of Class A common stock resulting solely from a change in the total number of shares of Class A common stock outstanding, provided that any acquisition after such change which results in any Person or group having acquired after the Effective Time beneficial ownership of 10% or more of the number of then outstanding shares of Class A common stock (or, after the last acquisition which triggered the requirement for a Class B Protection Transaction, additional shares of Class A common stock in an amount equal to the next higher integral multiple of 5% in excess of the number of shares of Class A common stock then outstanding) is subject to any Class B Protection Transaction requirement that would be otherwise imposed. All calculations with respect to percentage beneficial ownership of issued and outstanding shares of either class of Common Stock are to be based upon the number of issued and outstanding shares reported by the Company on the last to be filed of (i) the Company’s most recent Annual Report on Form 10-K, (ii) its most recent Quarterly Report on Form 10-Q, (iii) its most recent Current Report on Form 8-K, and (iv) its most recent definitive proxy statement filed with the SEC.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Convertibility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described below, neither the Class A common stock nor the Class B common stock is convertible into another class of Common Stock or any other security of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B common stock may be converted into Class A common stock on a share-for-share basis by resolution of the Board of Directors if, as a result of the existence of the Class B common stock, the Class A common stock or the Class B common stock or both become excluded from quotation on the NASDAQ National Market System or, if such shares are then quoted on another national quotation system or listed on a national securities exchange, from trading on the principal national quotation system or national securities exchange on which the shares are then traded.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at any time, as a result of additional issuances by the Company of Class B common stock, repurchases by the Company of Class A common stock or a combination of such issuances and repurchases, the number of outstanding shares of Class A common stock as reflected on the stock transfer books of the Company falls below 10% of the aggregate number of outstanding shares of Class A common stock and Class B common stock, then immediately upon the occurrence of such event all of the outstanding shares of Class B common stock will be automatically converted into shares of Class A common stock, on a share-for-share basis. For purposes of the immediately preceding sentence, any shares of Class A common stock or Class B common stock repurchased or otherwise acquired by the Company and held as treasury shares will no longer be deemed “outstanding” from and after the date of acquisition.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Common Stock does not carry any preemptive rights enabling a holder thereof to subscribe for or receive shares of any class of stock of the Company or any securities convertible into shares of any class of stock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or Sinking Fund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redemption or sinking fund provisions applicable to the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Company’s certificate of incorporation, the Company’s board of directors has the authority, without further action by the shareholders, to issue from time to time up to 1,000,000 shares of Preferred Stock in one or more series. The Company’s board of directors may designate the rights, preferences, privileges and restrictions of the Preferred Stock, including dividend rights, conversion rights, voting rights, redemption rights, liquidation preference, sinking fund terms and the number of shares constituting any series or the designation of any series. The issuance of Preferred Stock could have the effect of limiting dividends on the Class A common stock and Class B common stock, diluting the voting power of the Class A common stock, impairing the liquidation rights of the Class A common stock and Class B common stock or delaying, deterring or preventing a change in control. Such issuance could have the effect of decreasing the market price of the Class A common stock and Class B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 and New Jersey Law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certificate of incorporation and bylaws contain provisions that could have the effect of delaying, deferring or discouraging another party from acquiring control of the Company. These provisions and certain provisions of New Jersey law, which are summarized below, could discourage takeovers, coercive or otherwise. These provisions are also designed, in part, to encourage persons seeking to acquire control of the Company to negotiate first with the Company’s board of directors. The Company believes that the benefits of increased protection of its potential ability to negotiate with an unfriendly or unsolicited acquirer outweigh the disadvantages of discouraging a proposal to acquire the Company.</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Dual class stock</w:t>
      </w:r>
      <w:r>
        <w:rPr>
          <w:rFonts w:ascii="Times New Roman" w:cs="Times New Roman" w:eastAsia="Times New Roman" w:hAnsi="Times New Roman"/>
          <w:sz w:val="18"/>
          <w:szCs w:val="18"/>
          <w:color w:val="auto"/>
        </w:rPr>
        <w:t>. As described above, the Company’s certificate of incorporation provides for a dual class common stock structure, which provides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the Class A common stock (other than those whose right to vote has been suspended) significant influence over all matters requiring shareholder approval, including the election of directors and significant corporate transactions, such as a merger or other sale of the Company or its assets.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Issuance of undesignated preferred stock</w:t>
      </w:r>
      <w:r>
        <w:rPr>
          <w:rFonts w:ascii="Times New Roman" w:cs="Times New Roman" w:eastAsia="Times New Roman" w:hAnsi="Times New Roman"/>
          <w:sz w:val="18"/>
          <w:szCs w:val="18"/>
          <w:color w:val="auto"/>
        </w:rPr>
        <w:t>. As discussed above, the Company’s board of directors has the ability to designate and issue Preferred Stock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or other rights or preferences that could deter hostile takeovers or delay changes in the Company’s control or management.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Board classification</w:t>
      </w:r>
      <w:r>
        <w:rPr>
          <w:rFonts w:ascii="Times New Roman" w:cs="Times New Roman" w:eastAsia="Times New Roman" w:hAnsi="Times New Roman"/>
          <w:sz w:val="18"/>
          <w:szCs w:val="18"/>
          <w:color w:val="auto"/>
        </w:rPr>
        <w:t>. The Company’s certificate of incorporation provides that its board of directors is divided into three classes, one class of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elected each year by the Company’s voting shareholders. The directors in each class serve for a three-year term. The Company’s classified board of directors may tend to discourage a third party from making a tender offer or otherwise attempting to obtain control of the Company because it generally makes it more difficult for shareholders to replace a majority of the directors.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Greater Than Majority Vote</w:t>
      </w:r>
      <w:r>
        <w:rPr>
          <w:rFonts w:ascii="Times New Roman" w:cs="Times New Roman" w:eastAsia="Times New Roman" w:hAnsi="Times New Roman"/>
          <w:sz w:val="18"/>
          <w:szCs w:val="18"/>
          <w:color w:val="auto"/>
        </w:rPr>
        <w:t>. The Company’s certificate of incorporation provides that in addition to any other voting requirement imposed by law,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by the Company’s certificate of incorporation or by the Company’s by-laws, specific greater than majority voting requirements will apply in order to approve certain “Business Combinations” (as defined in the Company’s certificate of incorporation) unless the applicable Business Combination is approved by a majority of the Company’s “Continuing Directors” (as defined in the Company’s certificate of incorporation) or the consideration payable to shareholders in the transaction meets certain stringent requirements. The specific greater than majority voting requirements mandate that (in the absence of such Board approval or satisfaction of the stringent consideration requirements) approval be granted by holders of (i) at least 80% of the shares entitled to vote on the transaction and (ii) at least a majority of the shares entitled to vote on the Business Combination excluding shares held by Related Persons (as defined in the Company’s certificate of incorporation) and their affiliates (with certain variances depending upon whether or not the Business Combination involves a liquidation or dissolution). This provision is intended to encourage potential bidders to negotiate with the Board and its representatives. This provision, and the New Jersey legislation described in the next two paragraphs, may have an anti-takeover effect with respect to transactions that the Company’s board of directors does not approve in advance and may discourage attempts that might result in a premium over the market price for the shares of Common Stock held by the Company’s shareholders.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New Jersey Legislation. </w:t>
      </w:r>
      <w:r>
        <w:rPr>
          <w:rFonts w:ascii="Times New Roman" w:cs="Times New Roman" w:eastAsia="Times New Roman" w:hAnsi="Times New Roman"/>
          <w:sz w:val="18"/>
          <w:szCs w:val="18"/>
          <w:color w:val="auto"/>
        </w:rPr>
        <w:t>Similarly, for public companies incorporated in New Jersey (such as the Company), the New Jersey Business Corporation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contains mandatory provisions that are designed to encourage potential bidders to negotiate with the board of directors and its representatives in connection with certain business combinations. The New Jersey Business Corporation Act provides that no such companies may engage in any “business combination” (as defined in the New Jersey Business Corporation Act) with any interested stockholder (generally a 10% or greater stockholder) of such companies for a period of five years following such interested stockholder’s stock acquisition date (as defined in the New Jersey Business Corporation Act), unless (x) such business combination is approved by the board of directors of such corporation prior to the interested stockholder’s stock acquisition date or (y) the transaction or series of transactions that caused the interested stockholder to become an interested stockholder is approved by the board of directors of the corporation prior to that stockholder’s stock acquisition date and a subsequent business combination is approved by (i) directors who are independent of the interested stockholder and (ii) holders of a majority of the voting shares (excluding the shares owned by the interested stockholder).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no such company may engage, after the five year period, in any business combination with any interested stockholder of such corporation other than: (i) a business combination approved by the board of directors prior to that stockholder’s stock acquisition date, (ii) a business combination approved by the affirmative vote of the holders of two-thirds of the voting stock not beneficially owned by such interested stockholder, (iii) a business combination in which the interested stockholder pays a formula price designed to ensure that all other shareholders receive at least the highest price per share paid by such interested stockholder or (iv) a business combination that is approved by (a) directors who are independent of the interested stockholder and (b) holders of a majority of the voting shares (excluding the shares owned by the interested stockholder) if the transaction or series of related transactions that caused the interested stockholder to become an interested stockholder was approved by the board of directors of such company prior to the consummation of such transaction or series of related transactions.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Limits on ability of shareholders to call a special meeting</w:t>
      </w:r>
      <w:r>
        <w:rPr>
          <w:rFonts w:ascii="Times New Roman" w:cs="Times New Roman" w:eastAsia="Times New Roman" w:hAnsi="Times New Roman"/>
          <w:sz w:val="18"/>
          <w:szCs w:val="18"/>
          <w:color w:val="auto"/>
        </w:rPr>
        <w:t>. Subject to provisions of New Jersey law that permit holders of at least 10% of the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to petition a New Jersey court to order a special meeting of shareholders for good cause shown, the Company’s bylaws provide that special meetings of the shareholders may be called only by the president or a majority of the board of directors. This provision may delay the ability of the Company’s shareholders to force consideration of a proposal or for holders controlling a majority of the Class A common stock to take any action.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Requirements for advance notification of shareholder nominations and proposals</w:t>
      </w:r>
      <w:r>
        <w:rPr>
          <w:rFonts w:ascii="Times New Roman" w:cs="Times New Roman" w:eastAsia="Times New Roman" w:hAnsi="Times New Roman"/>
          <w:sz w:val="18"/>
          <w:szCs w:val="18"/>
          <w:color w:val="auto"/>
        </w:rPr>
        <w:t>. The Company’s bylaws establish advance notice procedures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shareholder proposals and the nomination of candidates for election as directors at the Company’s annual meeting of shareholders, other than nominations made by or at the direction of the Company’s board of directors. These advance notice procedures may have the effect of precluding the conduct of certain business at a meeting if the proper procedures are not followed and may also discourage or deter a potential acquirer from conducting a solicitation of proxies to elect its own slate of directors or otherwise attempt to obtain control of the Company.</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Election and removal of directors</w:t>
      </w:r>
      <w:r>
        <w:rPr>
          <w:rFonts w:ascii="Times New Roman" w:cs="Times New Roman" w:eastAsia="Times New Roman" w:hAnsi="Times New Roman"/>
          <w:sz w:val="18"/>
          <w:szCs w:val="18"/>
          <w:color w:val="auto"/>
        </w:rPr>
        <w:t>. Under the Company’s certificate of incorporation, newly created directorships on the board of directors may be filled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by the affirmative vote of three quarters of the directors then serving on the board of directors. Under the Company’s certificate of incorporation, directors may be removed by shareholders only for cause and only with the approval of holders of two-thirds of the shares entitled to vote on removal.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provisions of New Jersey law and the provisions of the Company’s certificate of incorporation and bylaws could have the effect of discouraging others from attempting hostile takeovers and, as a consequence, they might also inhibit temporary fluctuations in the market price of the Common Stock that often result from actual or rumored hostile takeover attempts. These provisions might also have the effect of preventing changes in the Company’s management. It is also possible that these provisions could make it more difficult to accomplish transactions that shareholders might otherwise deem to be in their best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and Trust Company is presently the transfer agent and registrar for our Class A common stock and our Class B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summarized below some of the provisions that will apply to the warrants unless the applicable prospectus supplement provides otherwise. This summary may not contain all information that is important to you. The complete terms of the warrants will be contained in the applicable warrant certificate and warrant agreement. These documents have been or will be included or incorporated by reference as exhibits to the registration statement of which this prospectus is a part. You should read the warrant certificate and the warrant agreement. You should also read the prospectus supplement, which will contain additional information and which may update or change some of the information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together with other securities or separately, warrants to purchase debt securities, Class A common stock, Class B common stock, preferred stock or other securities. We may issue the warrants under warrant agreements to be entered into between us and a bank or trust company, as warrant agent, all as set forth in the applicable prospectus supplement. The warrant agent would act solely as our agent in connection with the warrants of the series being offered and would not assume any obligation or relationship of agency or trust for or with any holders or beneficial owners of warrants.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following terms, where applicable, of warrants in respect of which this prospectus is being delivered:</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for which the warrants are exercisable and the procedures and conditions relating to the exercise of such warrants;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other securities, if any, with which the warrants are to be issued and the number of warrants issued with each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for adjustment of the number or amount of securities receivable upon exercise of the war-rants or the exercise price of the warrants;</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securities purchasable upon exercise of the warrants may be purchased;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securities purchasable upon exercise of the warrants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U.S. federal income tax considerations applicable to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shall commence and the date on which the right shall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maximum or minimum number of warrants which may be exercised at any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or call provision;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issued in registered or bearer 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extendible and the period or periods of such extendibility;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 the right to receive dividends, if any, or payments upon our liquidation, dissolution or winding-up or to exercise voting rights, if 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warrant will entitle the holder thereof to purchase the amount of such principal amounts of debt securities or such number of shares of Class A common stock, Class B common stock or preferred stock or other securities at the exercise price as will in each case be set forth in, or be determinable as set forth in, the applicable prospectus supplement. Warrants may be exercised at any time up to the close of business on the expiration date set forth in the applicable prospectus supplement. After the close of business on the expiration date, unexercised warrants will become void. Warrants may be exercised as set forth in the applicable prospectus supplement relating to the warrants offered thereby. Upon receipt of payment and the warrant certificate properly completed and duly executed at the corporate trust office of the warrant agent or any other office indicated in the applicable prospectus supplement, we will, as soon as practicable, forward the purchased securities. If less than all of the warrants represented by the warrant certificate are exercised, a new warrant certificate will be issued for the remaining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of Holders of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that holder’s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Warrant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 agreement will permit us and the warrant agent, without the consent of the warrant holders, to supplement or amend the agreement in the following circumstances:</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provision which may be defective or inconsistent with any other provisions;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new provisions regarding matters or questions that we and the warrant agent may deem necessary or desirable and which do not adversely affect the interests of the warrant 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describes certain general terms and provisions of debt securities that we may offer. The debt securities may be issued pursuant to, in the case of senior debt securities, a senior indenture, and in the case of subordinated debt securities, a subordinated indenture, in each case in the forms filed as exhibits to this registration statement, which we refer to as the “indentures.” The indentures will be entered into between us and a trustee to be named prior to the issuance of any debt securities, which we refer to as the “trustee.” The indentures will not limit the amount of debt securities that can be issued thereunder and will provide that the debt securities may be issued from time to time in one or more series pursuant to the terms of one or more securities resolutions or supplemental indentures creating such series. Our ability to issue debt securities is limited as a result of certain covenants in our Credit and Security Agreement with KeyBank and the other lenders named therein, which prohibit certain “restricted payments” (defined to include repayments, redemptions, retirements or repurchases, directly or indirectly, of subordinated indebtedness), and include certain financial covenants with regard to our subordinated indebtedness.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for any offering of debt securities. These descriptions are only summaries, and you should refer to the relevant indenture for the particular offering of debt securities itself which will describe completely the terms and definitions of the offered debt securities and contain additional information about the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or composite currency and denominations;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debt securities will be issued and, if an index formula or other method is used, the method for determining amounts of principal or interest;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other dates, if any, on which principal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and on which interest will be payable, and the record dates for the payment of interest;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interest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mandatory or optional redemption by us or any third party including any sinking fund;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conversion or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redemption at the option of holders or put by the 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indemnity provisions;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provide that payments of principal or interest may be made in a currency other than that in which the debt securities are denominated, the manner for determining such payments;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payable upon acceleration of a Discounted Debt Security (as defined below);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may be defeased;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the issuance of debt securities in uncertificated form;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securities of any series may be issued as registered debt securities or uncertificated debt securities, in such denominations as specified in the terms of the series.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may be issued under the indentures as Discounted Debt Securities to be offered and sold at a substantial discount from the principal amount thereof. Special United States federal income tax and other considerations applicable thereto will be described in the prospectus supplement relating to such Discounted Debt Securities. “Discounted Debt Security” means a security where the amount of principal due upon acceleration is less than the stated principal amount.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such series, except for the date of original issuance and the offering price, and will be consolidated with, and form a single series with, such outstanding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debt securities will rank equally with all of our other senior and unsubordinated debt. Our secured debt, if any, will be effectively senior to the senior debt securities to the extent of the value of the assets securing such debt. The subordinated debt securities will be subordinate and junior in right of payment to all of our present and future senior indebtedness to the extent and in the manner described in the prospectus supplement and as set forth in the board resolution, officer’s certificate or supplemental indenture relating to such offering.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only a stockholder’s claim on the assets of our subsidiaries. This stockholder’s claim is junior to the claims that creditors of our subsidiaries have against our subsidiaries. Holders of our debt securities will be our creditors and not creditors of any of our subsidiaries. As a result, all the existing and future liabilities of our subsidiaries, including any claims of their creditors, will effectively be senior to the debt securities with respect to the assets of our subsidiaries. In addition, to the extent that we issue any secured debt, the debt securities will be effectively subordinated to such secured debt to the extent of the value of the assets securing such secured debt.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debt securities will be obligations exclusively of Bel Fuse Inc. To the extent that our ability to service our debt, including the debt securities, may be dependent upon the earnings of our subsidiaries, our ability to do so will be dependent on the ability of our subsidiaries to distribute those earnings to us as dividends, loans or other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covenants that may apply to a particular series of debt securities will be described in the prospectus supplement relating thereto.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Successor Obligor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provide that, unless otherwise specified in the securities resolution or supplemental indenture establishing a series of debt securities, we shall not consolidate with or merge into, or transfer all or substantially all of our assets to, any person in any transaction in which we are not the survivor, unless:</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organized under the laws of the United States or a jurisdiction within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assumes by supplemental indenture all of our obligations under the relevant indenture, the debt securities and any coupons;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Default (as defined below) exists; and</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opinion of counsel stating that the transaction complies with the foregoing requirements and that all conditions precedent provided for in the indenture relating to the transaction have been complied with.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such event, the successor will be substituted for us, and thereafter all of our obligations under the relevant indenture, the debt securities and any coupons will terminate.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provide that these limitations shall not apply if our board of directors makes a good faith determination that the principal purpose of the transaction is to change our state of incorporation.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 Debt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Registered debt securities may be exchanged for an equal aggregate principal amount of registered debt securities of the same series and date of maturity in such authorized denominations as may be requested upon surrender of the registered debt securities at an agency of the Company maintained for such purpose and upon fulfillment of all other requirements of such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and Remedies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establishing the series otherwise provides (in which event the prospectus supplement will so state), an “Event of Default” with respect to a series of debt securities will occur if:</w:t>
      </w:r>
    </w:p>
    <w:p>
      <w:pPr>
        <w:spacing w:after="0" w:line="162"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any payment of interest on any debt securities of such series when the same becomes due and payable and the default continues for a period of 30 days;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payment of all or any part of the principal and premium, if any, of any debt securities of such series when the same becomes due and payable at maturity or upon redemption, acceleration or otherwise and such default shall continue for five or more days;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performance of any of our other agreements applicable to the series and the default continues for 30 days after the notice specified below;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(as defined below) that: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in an involuntary case,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(as defined below) for us or for any substantial part of our property,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us, and the order or decree remains unstayed and in effect for 90 consecutive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against us in an involuntary case,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Custodian for us or for any substantial part of our property,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general assignment for the benefit of our creditors;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any other Event of Default provided for in such series.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The term “Bankruptcy Law” means Title 11 of the United States Code or any similar Federal or State law for the relief of debtors. The term “Custodian” means any receiver, trustee, assignee, liquidator or a similar official under any Bankruptcy Law.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“Default” means any event which is, or after notice or passage of time would be, an Event of Default. A Default under subparagraph (3) above is not an Event of Default until the trustee or the holders of at least 25% in principal amount of the series notify us of the Default and we do not cure the Default within the time specified after receipt of the notice.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trustee may require indemnity satisfactory to it before it enforces the indentures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securityholders of such series notice of any continuing Default if the trustee determines that withholding notice is in the interest of such securityholders. We are required to furnish the trustee annually a brief certificate as to our compliance with all conditions and covenants under the indentures.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indentures do not have cross-default provisions. Thus, a default by us on any other debt, including any other series of debt securities, would not constitute an Event of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indentures and the debt securities or any coupons of the series may be amended, and any Default may be waived as follows: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otherwise provides (in which event the applicable prospectus supplement will so state), the debt securities and the indentures may be amended with the consent of the holders of a majority in principal amount of the debt securities of all series affected voting as one class. Unless the securities resolution or supplemental indenture otherwise provides (in which event the applicable prospectus supplement will so state), a Default other than a Default in payment on a particular series may be waived with the consent of the holders of a majority in principal amount of the debt securities of the series. However, without the consent of each securityholder affected, no amendment or waiver may:</w:t>
      </w:r>
    </w:p>
    <w:p>
      <w:pPr>
        <w:spacing w:after="0" w:line="183"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fixed maturity of or the time for payment of interest on any debt security;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premium or interest payable with respect to any debt security;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of a debt security or the currency in which the principal or interest on a debt security is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for calculating any redemption or repurchase price with respect to any debt security;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 to receive payment of principal and interest or to institute suit for the enforcement of any such payment;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or waiver;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materially adversely affects the right to convert any debt security;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Default in payment of principal of or interest on a debt security;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rights with respect to redemption or repurchase of a debt security.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Without the consent of any securityholder, the indentures or the debt securities may be amended to:</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assumption of our obligations to securityholders in the event of a merger or consolidation re-quiring such assumption;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terms of the debt securities to the description thereof in the prospectus and prospectus supple-ment offering such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series and establish its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acceptance of appointment by a successor trustee or to facilitate the administration of the trusts by more than one trustee;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or unregistered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securityholder;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our covenants;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change to the indentures so long as no debt securities are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securities resolution or supplemental indenture establishing a series of debt securities may provide that the debt securities of such series will be convertible at the option of the holders thereof into or for our common stock or other equity or debt instruments. The securities resolution or supplemental indenture may establish, among other things, (1) the number or amount of shares of common stock or other equity or debt instruments for which $1,000 aggregate principal amount of the debt securities of the series is convertible, as may be adjusted pursuant to the terms of the relevant indenture and the securities resolution; and (2) provisions for adjustments to the conversion rate and limitations upon exercise of the conversion right. The indentures provide that we will not be required to make an adjustment in the conversion rate unless the adjustment would require a cumulative change of at least 1% in the conversion rate. However, we will carry forward any adjustments that are less than 1% of the conversion rate and take them into account in any subsequent adjustment of the conversion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debt securities and coupons and to maintain paying agencies in respect of the debt securities) with respect to the debt securities of the series and any related coupons and the relevant indenture, which we refer to as legal defeasance. We at any time may terminate as to a series our obligations with respect to any restrictive covenants which may be applicable to a particular series, which we refer to as covenant defeasance.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To exercise either defeasance option as to a series, we must (1) irrevocably deposit in trust with the trustee (or another trustee) money or U.S. Government Obligations (as defined below), 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such series to maturity or redemption, as the case may be; and (2) comply with certain other conditions. In particular, we must obtain an opinion of tax counsel that the defeasance will not result in recognition of any gain or loss to holders for federal income tax purposes.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the trustee will also act as depository of funds, transfer agent, paying agent and conversion agent, as applicable, with respect to the debt securities. In certain circumstances, we or the securityholders may remove the trustee as the trustee under a given indenture. The indenture trustee may also provide additional unrelated services to us as a depository of funds, registrar, trustee and similar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New York law, except to the extent that the Trust Indenture Act of 1939 is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debt security will be represented either by a certificate issued in definitive form to a particular investor or by one or more global securities representing the entire issuance of the series of debt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represented by these global securities. The depositary maintains a computerized system that will reflect each investor’s beneficial ownership of the securities through an account maintained by the investor with its broker/dealer, bank, trust company or other representative, as we have explained more fully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the registered debt securities in the form of one or more fully registered global securities that will be deposited with a depositary or its custodian identified in the applicable prospectus supplement and registered in the name of that depositary or its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both"/>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Neither we nor the trustee or any other agent of ours or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DEPOSITORY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summarized below some of the provisions that will apply to depositary shares unless the applicable prospectus supplement provides otherwise. This summary may not contain all information that is important to you. The complete terms of the depositary shares will be contained in the depositary agreement and depositary receipt applicable to any depositary shares. These documents have been or will be included or incorporated by reference as exhibits to the registration statement of which this prospectus is a part. You should read the depositary agreement and the depositary receipt. You should also read the prospectus supplement, which will contain additional information and which may update or change some of the information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offer fractional shares of preferred stock, rather than full shares of preferred stock. If we do so, we may issue receipts for depositary shares that each represents a fraction of a share of a particular series of preferred stock. The prospectus supplement will indicate that fraction. The shares of preferred stock represented by depositary shares will be deposited under a depositary agreement between us and a bank or trust company that meets certain requirements and is selected by us, which we refer to as the “bank depositary.” Each owner of a depositary share will be entitled to all the rights and preferences of the preferred stock represented by the depositary share. The depositary shares will be evidenced by depositary receipts issued pursuant to the depositary agreement. Depositary receipts will be distributed to those persons purchasing the fractional shares of preferred stock in accordance with the terms of the offering.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summary description of certain common provisions of a depositary agreement and the related depositary receipts and any summary description of the depositary agreement and depositary receipts in the applicable prospectus supplement do not purport to be complete and are qualified in their entirety by reference to all of the provisions of such depositary agreement and depositary receipts. The forms of the depositary agreement and the depositary receipts relating to any particular issue of depositary shares will be filed with the SEC each time we issue depositary shares, and you should read those documents for provisions that may be important to you.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pay a cash distribution or dividend on a series of preferred stock represented by depositary shares, the bank depositary will distribute such dividends to the record holders of such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such property and distribute the net proceeds from such sale to the record holders of the depositary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represented by depositary shares are entitled to vote, the bank depositary will mail the notice to the record holder of the depositary shares relating to such preferred stock. Each record holder of these depositary shares on the record date, which will be the same date as the record date for the preferred stock, may instruct the bank depositary as to how to vote the preferred stock represented by such holder’s depositary shares. The bank depositary will endeavor, insofar as practicable, to vote the amount of the preferred stock represented by such depositary shares in accordance with such instructions, and we will take all action that the bank depositary deems necessary in order to enable the bank depositary to do so. The bank depositary will abstain from voting shares of the preferred stock to the extent it does not receive specific instructions from the holders of depositary shares representing such preferred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Depositary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or required by law, the form of depositary receipt evidencing the depositary shares and any provision of the depositary agreement may be amended by agreement between the bank depositary and us. The depositary agreement may be terminated by the bank depositary or us only if:</w:t>
      </w:r>
    </w:p>
    <w:p>
      <w:pPr>
        <w:spacing w:after="0" w:line="17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in respect of the preferred stock in connection with the liquidation, dissolution or winding up of our company, and such distribution has been distributed to the holders of depositary receipts.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of Bank Depositary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bank depositary in connection with the initial deposit of the preferred stock and any redemption of the preferred stock. Holders of depositary receipts will pay other transfer and other taxes and governmental charges and any other charges, including a fee for the withdrawal of shares of preferred stock upon surrender of depositary receipts, as are expressly provided in the depositary agreement for their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as may be provided otherwise in the applicable prospectus supplement, upon surrender of depositary receipts at the principal office of the bank depositary, subject to the terms of the depositary agreement, the owner of the depositary shares may demand delivery of the number of whole shares of preferred stock and all money and other property, if any, represented by those depositary shares. Partial or fractional shares of preferred stock will not be issued. If the depositary receipts delivered by the holders evidence a number of depositary shares in excess of the number of depositary shares representing the number of whole shares of preferred stock to be withdrawn, the bank depositary will deliver to such holder at the same time a new depositary receipt evidencing the excess number of depositary shares. Holders of preferred stock thus withdrawn may not thereafter deposit those shares under the depositary agreement or receive depositary receipts evidencing depositary shares therefor.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depositary will forward to holders of depositary receipts all reports and communications from us that are delivered to the bank depositary and that we are required to furnish to the holders of the preferred stock.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Neither the bank depositary nor we will be liable if we are prevented or delayed by law or any circumstance beyond our control in performing our obligations under the depositary agreement. The obligations of the bank depositary and us under the depositary agreement will be limited to performance in good faith of our duties thereunder, and we will not be obligated to prosecute or defend any legal proceeding in respect of any depositary shares or preferred stock unless satisfactory indemnity is furnished. We may rely upon written advice of counsel or accountants, or upon information provided by persons presenting preferred stock for deposit, holders of depositary receipts or other persons believed to be competent and on documents believed to be genuine.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Bank Depositary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depositary may resign at any time by delivering to us notice of its election to do so, and we may at any time remove the bank depositary. Any such resignation or removal will take effect upon the appointment of a successor bank depositary and its acceptance of such appointment. The successor bank depositary must be appointed within 60 days after delivery of the notice of resignation or removal and must be a bank or trust company meeting the requirements of the depositary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80" w:lineRule="exact"/>
        <w:rPr>
          <w:sz w:val="20"/>
          <w:szCs w:val="20"/>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 agreement governing the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considerations relevant to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global form.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of certain general terms of units and any summary description of units in the applicable prospectus supplement do not purport to be complete and are qualified in their entirety by reference to all provisions of the applicable unit agreement and, if applicable, collateral arrangements and depositary arrangements relating to such units. The forms of the unit agreements and other documents relating to a particular issue of units will be filed with the SEC each time we issue units, and you should read those documents for provisions that may be important to you.</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being offered hereby may be sold in one or more of the following ways:</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investors, including through a specific bidding, auction or other process;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through agents;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agents;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brokers or dealers;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public through underwriting syndicates led by one or more managing underwriters;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one or more underwriters acting alone for resale to investors or to the public;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to or through a market maker or into an existing trading market, or a securities exchange or otherwise;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distribution to our existing stockholders;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forward or other derivative transactions relating to the securities being registered hereunder;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of the securities may be effected from time to time in one or more transactions, including negotiated transactions:</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prices may represent a discount from the then prevailing market prices.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sale of the securities, underwriters or agents may receive compensation from us in the form of underwriting discounts or commissions and may also receive compensation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Discounts, concessions and commissions may be changed from time to time. Dealers and agents that participate in the distribution of the securities may be deemed to be underwriters under the Securities Act, and any discounts, concessions or commissions they receive from us and any profit on the resale of securities they realize may be deemed to be underwriting compensation under applicable federal and state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will, where applicable:</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 the terms of the offering;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any such underwriter, dealer or agent;</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 any compensation in the form of discounts, concessions, commissions or otherwise received from us by each such underwriter or agent and in the aggregate by all underwriters and agents;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 the purchase price or the public offering price of the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amounts underwritten;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nature of the underwriter’s or underwriters’ obligation to take the securities.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specified in the related prospectus supplement, each series of securities will be a new issue with no established trading market, other than shares of our common stock, which are listed on the Nasdaq. Any common stock sold pursuant to a prospectus supplement will be listed on the Nasdaq, subject to official notice of issuance. We may elect to list any series of preferred stock, or any other securities being offered hereby, on an exchange, but we are not obligated to do so.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offer the securities into an existing trading market on the terms described in a prospectus supplement relating thereto. Underwriters, dealers and agents who participate in any at-the-market offerings will be described in the prospectus supplement relating thereto.</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disclosed in the applicable prospectus supplement, in connection with those derivative transactions third parties may sell securities covered by this prospectus and such prospectus supplement, including in short sale transactions. If so, the third party may use securities pledged by us or borrowed from us or from others to settle those short sales or to close out any related open borrowings of securities, and may use securities received from us in settlement of those derivative transactions to close out any related open borrowings of securities. If the third party is or may be deemed to be an underwriter under the Securities Act, it will be identified in the applicable prospectus supplements.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the distribution of the securities is completed, rules of the SEC may limit the ability of any underwriters and selling group members to bid for and purchase the securities. As an exception to these rules, underwriters are permitted to engage in some transactions that stabilize the price of the securities. Such transactions consist of bids or purchases for the purpose of pegging, fixing or maintaining the price of the securities.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Underwriters may engage in overallotment. If any underwriters create a short position in the securities in an offering in which they sell more securities than are set forth on the cover page of the applicable prospectus supplement, the underwriters may reduce that short position by purchasing the securities in the open market.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lead underwriters may also impose a penalty bid on other underwriters and selling group members participating in an offering. This means that if the lead underwriters purchase securities in the open market to reduce the underwriters’ short position or to stabilize the price of the securities, they may reclaim the amount of any selling concession from the underwriters and selling group members who sold those securities as part of the offering.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18"/>
          <w:szCs w:val="18"/>
          <w:color w:val="auto"/>
        </w:rPr>
        <w:t>In general, purchases of a security for the purpose of stabilization or to reduce a short position could cause the price of the security to be higher than it might be in the absence of such purchases. The imposition of a penalty bid might also have an effect on the price of a security to the extent that it were to discourage resales of the security before the distribution is completed.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make any representation or prediction as to the direction or magnitude of any effect that the transactions described above might have on the price of the securities. In addition, we do not make any representation that underwriters will engage in such transactions or that such transactions, once commenced, will not be discontinued without notice.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agreements into which we may enter, underwriters, dealers and agents who participate in the distribution of the securities may be entitled to indemnification by us against or contribution towards certain civil liabilities, including liabilities under the applicable securities 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dealers and agents may engage in transactions with us, perform services for us or be our tenants in the ordinary course of business.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indicated in the applicable prospectus supplement, we will authorize underwriters or other persons acting as our agents to solicit offers by particular institutions to purchase securities from us at the public offering price set forth in such prospectus supplement pursuant to delayed delivery contracts providing for payment and delivery on the date or dates stated in such prospectus supplement. Each delayed delivery contract will be for an amount no less than, and the aggregate amounts of securities sold under delayed delivery contracts shall be not less nor more than, the respective amounts stated in the applicable prospectus supplement. Institutions with which such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(a) the purchase of the securities shall not at the time of delivery be prohibited under the laws of any jurisdiction in the United States to which the purchaser is subject, and (b) if the securities are being sold to underwriters, we shall have sold to the underwriters the total amount of the securities less the amount thereof covered by the contracts. The underwriters and such other agents will not have any responsibility in respect of the validity or performance of such contracts.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Underwriters, dealers or agents that participate in the offer of securities, or their affiliates or associates, may have engaged or engage in transactions with and perform services for us or our affiliates in the ordinary course of business for which they may have received or receive customary fees and reimbursement of expenses.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Legal matters with respect to U.S. federal and New York law in connection with this offering will be passed upon for us by White &amp; Case LLP, New York, New York. Certain legal matters with respect to New Jersey law in connection with the validity of the shares being offered by this prospectus supplement and other legal matters will be passed upon for us by Lowenstein Sandler LLP. Additional legal matters may be passed upon for us or any underwriters, dealers or agents by counsel that we will name in the applicable prospectus supplement.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2411095</wp:posOffset>
            </wp:positionH>
            <wp:positionV relativeFrom="page">
              <wp:posOffset>226060</wp:posOffset>
            </wp:positionV>
            <wp:extent cx="2734310" cy="968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2734310" cy="96837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394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1,500,000 Shares of Class B Common Stock</w:t>
            </w:r>
          </w:p>
        </w:tc>
        <w:tc>
          <w:tcPr>
            <w:tcW w:w="3900" w:type="dxa"/>
            <w:vAlign w:val="bottom"/>
          </w:tcPr>
          <w:p>
            <w:pPr>
              <w:spacing w:after="0"/>
              <w:rPr>
                <w:sz w:val="20"/>
                <w:szCs w:val="20"/>
                <w:color w:val="auto"/>
              </w:rPr>
            </w:pPr>
          </w:p>
        </w:tc>
      </w:tr>
      <w:tr>
        <w:trPr>
          <w:trHeight w:val="648"/>
        </w:trPr>
        <w:tc>
          <w:tcPr>
            <w:tcW w:w="3400" w:type="dxa"/>
            <w:vAlign w:val="bottom"/>
          </w:tcPr>
          <w:p>
            <w:pPr>
              <w:spacing w:after="0"/>
              <w:rPr>
                <w:sz w:val="24"/>
                <w:szCs w:val="24"/>
                <w:color w:val="auto"/>
              </w:rPr>
            </w:pPr>
          </w:p>
        </w:tc>
        <w:tc>
          <w:tcPr>
            <w:tcW w:w="39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3900" w:type="dxa"/>
            <w:vAlign w:val="bottom"/>
          </w:tcPr>
          <w:p>
            <w:pPr>
              <w:spacing w:after="0"/>
              <w:rPr>
                <w:sz w:val="24"/>
                <w:szCs w:val="24"/>
                <w:color w:val="auto"/>
              </w:rPr>
            </w:pPr>
          </w:p>
        </w:tc>
      </w:tr>
      <w:tr>
        <w:trPr>
          <w:trHeight w:val="648"/>
        </w:trPr>
        <w:tc>
          <w:tcPr>
            <w:tcW w:w="340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Citigroup</w:t>
            </w:r>
          </w:p>
        </w:tc>
        <w:tc>
          <w:tcPr>
            <w:tcW w:w="164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BofA Securities</w:t>
            </w:r>
          </w:p>
        </w:tc>
        <w:tc>
          <w:tcPr>
            <w:tcW w:w="390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Wells Fargo Securities</w:t>
            </w:r>
          </w:p>
        </w:tc>
      </w:tr>
      <w:tr>
        <w:trPr>
          <w:trHeight w:val="432"/>
        </w:trPr>
        <w:tc>
          <w:tcPr>
            <w:tcW w:w="34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Needham &amp; Company</w:t>
            </w:r>
          </w:p>
        </w:tc>
        <w:tc>
          <w:tcPr>
            <w:tcW w:w="1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Oppenheimer &amp; Co.</w:t>
            </w:r>
          </w:p>
        </w:tc>
        <w:tc>
          <w:tcPr>
            <w:tcW w:w="23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Baird</w:t>
            </w:r>
          </w:p>
        </w:tc>
        <w:tc>
          <w:tcPr>
            <w:tcW w:w="390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BMO Capital Markets</w:t>
            </w:r>
          </w:p>
        </w:tc>
      </w:tr>
      <w:tr>
        <w:trPr>
          <w:trHeight w:val="432"/>
        </w:trPr>
        <w:tc>
          <w:tcPr>
            <w:tcW w:w="340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Craig-Hallum</w:t>
            </w:r>
          </w:p>
        </w:tc>
        <w:tc>
          <w:tcPr>
            <w:tcW w:w="1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Northland Capital Markets</w:t>
            </w:r>
          </w:p>
        </w:tc>
      </w:tr>
      <w:tr>
        <w:trPr>
          <w:trHeight w:val="432"/>
        </w:trPr>
        <w:tc>
          <w:tcPr>
            <w:tcW w:w="3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0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May 13, 2026</w:t>
            </w:r>
          </w:p>
        </w:tc>
        <w:tc>
          <w:tcPr>
            <w:tcW w:w="3900" w:type="dxa"/>
            <w:vAlign w:val="bottom"/>
          </w:tcPr>
          <w:p>
            <w:pPr>
              <w:spacing w:after="0"/>
              <w:rPr>
                <w:sz w:val="24"/>
                <w:szCs w:val="24"/>
                <w:color w:val="auto"/>
              </w:rPr>
            </w:pPr>
          </w:p>
        </w:tc>
      </w:tr>
      <w:tr>
        <w:trPr>
          <w:trHeight w:val="655"/>
        </w:trPr>
        <w:tc>
          <w:tcPr>
            <w:tcW w:w="3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BEL FUSE INC /NJ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3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80" w:type="dxa"/>
            <w:vAlign w:val="bottom"/>
            <w:vMerge w:val="restart"/>
          </w:tcPr>
          <w:p>
            <w:pPr>
              <w:spacing w:after="0"/>
              <w:rPr>
                <w:sz w:val="12"/>
                <w:szCs w:val="12"/>
                <w:color w:val="auto"/>
              </w:rPr>
            </w:pPr>
          </w:p>
        </w:tc>
        <w:tc>
          <w:tcPr>
            <w:tcW w:w="14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80" w:type="dxa"/>
            <w:vAlign w:val="bottom"/>
            <w:vMerge w:val="restart"/>
          </w:tcPr>
          <w:p>
            <w:pPr>
              <w:spacing w:after="0"/>
              <w:rPr>
                <w:sz w:val="12"/>
                <w:szCs w:val="12"/>
                <w:color w:val="auto"/>
              </w:rPr>
            </w:pP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40" w:type="dxa"/>
            <w:vAlign w:val="bottom"/>
            <w:gridSpan w:val="2"/>
            <w:vMerge w:val="continue"/>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5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spacing w:after="0"/>
        <w:tabs>
          <w:tab w:leader="none" w:pos="1580" w:val="left"/>
          <w:tab w:leader="none" w:pos="3060" w:val="left"/>
        </w:tabs>
        <w:rPr>
          <w:sz w:val="20"/>
          <w:szCs w:val="20"/>
          <w:color w:val="auto"/>
        </w:rPr>
      </w:pPr>
      <w:r>
        <w:rPr>
          <w:rFonts w:ascii="Times New Roman" w:cs="Times New Roman" w:eastAsia="Times New Roman" w:hAnsi="Times New Roman"/>
          <w:sz w:val="18"/>
          <w:szCs w:val="18"/>
          <w:color w:val="auto"/>
        </w:rPr>
        <w:t>Fees to be Paid</w:t>
      </w:r>
      <w:r>
        <w:rPr>
          <w:sz w:val="20"/>
          <w:szCs w:val="20"/>
          <w:color w:val="auto"/>
        </w:rPr>
        <w:tab/>
      </w:r>
      <w:r>
        <w:rPr>
          <w:rFonts w:ascii="Times New Roman" w:cs="Times New Roman" w:eastAsia="Times New Roman" w:hAnsi="Times New Roman"/>
          <w:sz w:val="18"/>
          <w:szCs w:val="18"/>
          <w:color w:val="auto"/>
        </w:rPr>
        <w:t>Equity</w:t>
      </w:r>
      <w:r>
        <w:rPr>
          <w:sz w:val="20"/>
          <w:szCs w:val="20"/>
          <w:color w:val="auto"/>
        </w:rPr>
        <w:tab/>
      </w:r>
      <w:r>
        <w:rPr>
          <w:rFonts w:ascii="Times New Roman" w:cs="Times New Roman" w:eastAsia="Times New Roman" w:hAnsi="Times New Roman"/>
          <w:sz w:val="18"/>
          <w:szCs w:val="18"/>
          <w:color w:val="auto"/>
        </w:rPr>
        <w:t>Class B common</w:t>
      </w:r>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stock, par value</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$0.10 per share</w:t>
      </w:r>
    </w:p>
    <w:p>
      <w:pPr>
        <w:spacing w:after="0" w:line="9" w:lineRule="exact"/>
        <w:rPr>
          <w:sz w:val="20"/>
          <w:szCs w:val="20"/>
          <w:color w:val="auto"/>
        </w:rPr>
      </w:pPr>
    </w:p>
    <w:p>
      <w:pPr>
        <w:spacing w:after="0"/>
        <w:tabs>
          <w:tab w:leader="none" w:pos="3060" w:val="left"/>
        </w:tabs>
        <w:rPr>
          <w:sz w:val="20"/>
          <w:szCs w:val="20"/>
          <w:color w:val="auto"/>
        </w:rPr>
      </w:pPr>
      <w:r>
        <w:rPr>
          <w:rFonts w:ascii="Times New Roman" w:cs="Times New Roman" w:eastAsia="Times New Roman" w:hAnsi="Times New Roman"/>
          <w:sz w:val="18"/>
          <w:szCs w:val="18"/>
          <w:color w:val="auto"/>
        </w:rPr>
        <w:t>Fees Previously Paid Equity</w:t>
      </w:r>
      <w:r>
        <w:rPr>
          <w:sz w:val="20"/>
          <w:szCs w:val="20"/>
          <w:color w:val="auto"/>
        </w:rPr>
        <w:tab/>
      </w:r>
      <w:r>
        <w:rPr>
          <w:rFonts w:ascii="Times New Roman" w:cs="Times New Roman" w:eastAsia="Times New Roman" w:hAnsi="Times New Roman"/>
          <w:sz w:val="18"/>
          <w:szCs w:val="18"/>
          <w:color w:val="auto"/>
        </w:rPr>
        <w:t>Class B common</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stock, par value</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$0.10 per share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5"/>
              </w:rPr>
              <w:t>(1)</w:t>
            </w: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457(r)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1,725,000</w:t>
            </w:r>
          </w:p>
        </w:tc>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$ 458,850,000.00 0.0001381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63,367.19</w:t>
            </w:r>
          </w:p>
        </w:tc>
      </w:tr>
      <w:tr>
        <w:trPr>
          <w:trHeight w:val="648"/>
        </w:trPr>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5"/>
              </w:rPr>
              <w:t>(2)</w:t>
            </w: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457(r)</w:t>
            </w:r>
          </w:p>
        </w:tc>
        <w:tc>
          <w:tcPr>
            <w:tcW w:w="1060" w:type="dxa"/>
            <w:vAlign w:val="bottom"/>
          </w:tcPr>
          <w:p>
            <w:pPr>
              <w:spacing w:after="0"/>
              <w:rPr>
                <w:sz w:val="24"/>
                <w:szCs w:val="24"/>
                <w:color w:val="auto"/>
              </w:rPr>
            </w:pPr>
          </w:p>
        </w:tc>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492" w:lineRule="exact"/>
        <w:rPr>
          <w:sz w:val="20"/>
          <w:szCs w:val="20"/>
          <w:color w:val="auto"/>
        </w:rPr>
      </w:pPr>
    </w:p>
    <w:p>
      <w:pPr>
        <w:sectPr>
          <w:pgSz w:w="11900" w:h="16838" w:orient="portrait"/>
          <w:cols w:equalWidth="0" w:num="2">
            <w:col w:w="4320" w:space="520"/>
            <w:col w:w="6400"/>
          </w:cols>
          <w:pgMar w:left="320" w:top="108" w:right="339" w:bottom="1440" w:gutter="0" w:footer="0" w:header="0"/>
          <w:type w:val="continuous"/>
        </w:sectPr>
      </w:pPr>
    </w:p>
    <w:tbl>
      <w:tblPr>
        <w:tblLayout w:type="fixed"/>
        <w:tblInd w:w="6100" w:type="dxa"/>
        <w:tblCellMar>
          <w:top w:w="0" w:type="dxa"/>
          <w:left w:w="0" w:type="dxa"/>
          <w:bottom w:w="0" w:type="dxa"/>
          <w:right w:w="0" w:type="dxa"/>
        </w:tblCellMar>
      </w:tblPr>
      <w:tr>
        <w:trPr>
          <w:trHeight w:val="211"/>
        </w:trPr>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Offering Amounts:</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$ 458,850,000.00</w:t>
            </w:r>
          </w:p>
        </w:tc>
        <w:tc>
          <w:tcPr>
            <w:tcW w:w="9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63,367.19</w:t>
            </w:r>
          </w:p>
        </w:tc>
      </w:tr>
      <w:tr>
        <w:trPr>
          <w:trHeight w:val="216"/>
        </w:trPr>
        <w:tc>
          <w:tcPr>
            <w:tcW w:w="4300" w:type="dxa"/>
            <w:vAlign w:val="bottom"/>
            <w:gridSpan w:val="3"/>
          </w:tcPr>
          <w:p>
            <w:pPr>
              <w:jc w:val="right"/>
              <w:ind w:right="2340"/>
              <w:spacing w:after="0"/>
              <w:rPr>
                <w:sz w:val="20"/>
                <w:szCs w:val="20"/>
                <w:color w:val="auto"/>
              </w:rPr>
            </w:pPr>
            <w:r>
              <w:rPr>
                <w:rFonts w:ascii="Times New Roman" w:cs="Times New Roman" w:eastAsia="Times New Roman" w:hAnsi="Times New Roman"/>
                <w:sz w:val="18"/>
                <w:szCs w:val="18"/>
                <w:color w:val="auto"/>
                <w:w w:val="97"/>
              </w:rPr>
              <w:t>Total Fees Previously Paid: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4"/>
        </w:trPr>
        <w:tc>
          <w:tcPr>
            <w:tcW w:w="4300" w:type="dxa"/>
            <w:vAlign w:val="bottom"/>
            <w:gridSpan w:val="3"/>
          </w:tcPr>
          <w:p>
            <w:pPr>
              <w:jc w:val="right"/>
              <w:ind w:right="2340"/>
              <w:spacing w:after="0"/>
              <w:rPr>
                <w:sz w:val="20"/>
                <w:szCs w:val="20"/>
                <w:color w:val="auto"/>
              </w:rPr>
            </w:pPr>
            <w:r>
              <w:rPr>
                <w:rFonts w:ascii="Times New Roman" w:cs="Times New Roman" w:eastAsia="Times New Roman" w:hAnsi="Times New Roman"/>
                <w:sz w:val="18"/>
                <w:szCs w:val="18"/>
                <w:color w:val="auto"/>
              </w:rPr>
              <w:t>Total Fee Offsets: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09"/>
        </w:trPr>
        <w:tc>
          <w:tcPr>
            <w:tcW w:w="4300" w:type="dxa"/>
            <w:vAlign w:val="bottom"/>
            <w:gridSpan w:val="3"/>
          </w:tcPr>
          <w:p>
            <w:pPr>
              <w:jc w:val="right"/>
              <w:ind w:right="2340"/>
              <w:spacing w:after="0"/>
              <w:rPr>
                <w:sz w:val="20"/>
                <w:szCs w:val="20"/>
                <w:color w:val="auto"/>
              </w:rPr>
            </w:pPr>
            <w:r>
              <w:rPr>
                <w:rFonts w:ascii="Times New Roman" w:cs="Times New Roman" w:eastAsia="Times New Roman" w:hAnsi="Times New Roman"/>
                <w:sz w:val="18"/>
                <w:szCs w:val="18"/>
                <w:color w:val="auto"/>
              </w:rPr>
              <w:t>Net Fee Due: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$ 63,367.19</w:t>
            </w:r>
          </w:p>
        </w:tc>
      </w:tr>
      <w:tr>
        <w:trPr>
          <w:trHeight w:val="21"/>
        </w:trPr>
        <w:tc>
          <w:tcPr>
            <w:tcW w:w="2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6" w:lineRule="auto"/>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is calculated in accordance with Rule 457(o) under the Securities Act of 1933, as amended (the "Securities Act"). This "Calculation of Filing Fee Tables" table shall be deemed to update the "Calculation of Registration Fee" table in the registrant's Registration Statement on Form S-3ASR (File No. 333- 295813) in accordance with Rule 456(b), 457(o) and 457(r) under the Securities Act.</w:t>
      </w:r>
    </w:p>
    <w:p>
      <w:pPr>
        <w:spacing w:after="0" w:line="67" w:lineRule="exact"/>
        <w:rPr>
          <w:rFonts w:ascii="Times New Roman" w:cs="Times New Roman" w:eastAsia="Times New Roman" w:hAnsi="Times New Roman"/>
          <w:sz w:val="18"/>
          <w:szCs w:val="18"/>
          <w:color w:val="auto"/>
        </w:rPr>
      </w:pPr>
    </w:p>
    <w:p>
      <w:pPr>
        <w:jc w:val="both"/>
        <w:ind w:left="360" w:hanging="292"/>
        <w:spacing w:after="0" w:line="266" w:lineRule="auto"/>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is calculated in accordance with Rule 457(o) under the Securities Act of 1933, as amended (the "Securities Act"). This "Calculation of Filing Fee Tables" table shall be deemed to update the "Calculation of Registration Fee" table in the registrant's Registration Statement on Form S-3ASR (File No. 333- 295813) in accordance with Rule 456(b), 457(o) and 457(r) under the Securities Act.</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lowerLetter"/>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Roman"/>
      <w:start w:val="1"/>
    </w:lvl>
  </w:abstractNum>
  <w:abstractNum w:abstractNumId="12">
    <w:nsid w:val="4353D0CD"/>
    <w:multiLevelType w:val="hybridMultilevel"/>
    <w:lvl w:ilvl="0">
      <w:lvlJc w:val="left"/>
      <w:lvlText w:val="(%1)"/>
      <w:numFmt w:val="lowerLetter"/>
      <w:start w:val="3"/>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1"/>
    </w:lvl>
    <w:lvl w:ilvl="1">
      <w:lvlJc w:val="left"/>
      <w:lvlText w:val="%2)"/>
      <w:numFmt w:val="upperLetter"/>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jpe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jpeg"/><Relationship Id="rId88" Type="http://schemas.openxmlformats.org/officeDocument/2006/relationships/image" Target="media/image63.png"/><Relationship Id="rId89" Type="http://schemas.openxmlformats.org/officeDocument/2006/relationships/image" Target="media/image64.png"/><Relationship Id="rId35" Type="http://schemas.openxmlformats.org/officeDocument/2006/relationships/hyperlink" Target="http://www.sec.gov/ix?doc=/Archives/edgar/data/729580/000143774926005354/belfb20251231d_10k.htm" TargetMode="External"/><Relationship Id="rId36" Type="http://schemas.openxmlformats.org/officeDocument/2006/relationships/hyperlink" Target="https://www.sec.gov/ix?doc=/Archives/edgar/data/729580/000143774926011998/belfa20260303_def14a.htm" TargetMode="External"/><Relationship Id="rId37" Type="http://schemas.openxmlformats.org/officeDocument/2006/relationships/hyperlink" Target="https://www.sec.gov/ix?doc=/Archives/edgar/data/729580/000143774926016373/belfa20260507_8k.htm" TargetMode="External"/><Relationship Id="rId38" Type="http://schemas.openxmlformats.org/officeDocument/2006/relationships/hyperlink" Target="http://www.sec.gov/ix?doc=/Archives/edgar/data/729580/000143774926014903/belfa20260331_10q.htm" TargetMode="External"/><Relationship Id="rId39" Type="http://schemas.openxmlformats.org/officeDocument/2006/relationships/hyperlink" Target="http://www.sec.gov/ix?doc=/Archives/edgar/data/729580/000143774926001362/belfa20260112_8k.htm" TargetMode="External"/><Relationship Id="rId40" Type="http://schemas.openxmlformats.org/officeDocument/2006/relationships/hyperlink" Target="http://www.sec.gov/ix?doc=/Archives/edgar/data/729580/000143774926011412/belfa20260330_8k.htm" TargetMode="External"/><Relationship Id="rId41" Type="http://schemas.openxmlformats.org/officeDocument/2006/relationships/hyperlink" Target="http://www.sec.gov/ix?doc=/Archives/edgar/data/729580/000143774926005358/belfa20260213_8ka.htm" TargetMode="External"/><Relationship Id="rId42" Type="http://schemas.openxmlformats.org/officeDocument/2006/relationships/hyperlink" Target="http://www.sec.gov/ix?doc=/Archives/edgar/data/729580/000143774925037380/belfa20251204_8k.htm" TargetMode="External"/><Relationship Id="rId43" Type="http://schemas.openxmlformats.org/officeDocument/2006/relationships/hyperlink" Target="https://www.sec.gov/Archives/edgar/data/729580/000143774925005652/ex_780850.htm" TargetMode="External"/><Relationship Id="rId44" Type="http://schemas.openxmlformats.org/officeDocument/2006/relationships/hyperlink" Target="http://www.sec.gov/ix?doc=/Archives/edgar/data/729580/000143774925005652/belfb20241231_10k.htm" TargetMode="External"/><Relationship Id="rId50" Type="http://schemas.openxmlformats.org/officeDocument/2006/relationships/hyperlink" Target="https://www.sec.gov/ix?doc=/Archives/edgar/data/729580/000143774926005354/belfb20251231d_10k.htm" TargetMode="External"/><Relationship Id="rId51" Type="http://schemas.openxmlformats.org/officeDocument/2006/relationships/hyperlink" Target="https://www.sec.gov/ix?doc=/Archives/edgar/data/729580/000143774926014903/belfa20260331_10q.htm" TargetMode="External"/><Relationship Id="rId52" Type="http://schemas.openxmlformats.org/officeDocument/2006/relationships/hyperlink" Target="https://www.sec.gov/ix?doc=/Archives/edgar/data/729580/000143774926001362/belfa20260112_8k.htm" TargetMode="External"/><Relationship Id="rId53" Type="http://schemas.openxmlformats.org/officeDocument/2006/relationships/hyperlink" Target="https://www.sec.gov/ix?doc=/Archives/edgar/data/729580/000143774926011412/belfa20260330_8k.htm" TargetMode="External"/><Relationship Id="rId54" Type="http://schemas.openxmlformats.org/officeDocument/2006/relationships/hyperlink" Target="https://www.sec.gov/ix?doc=/Archives/edgar/data/0000729580/000143774926016373/belfa20260507_8k.htm" TargetMode="External"/><Relationship Id="rId55" Type="http://schemas.openxmlformats.org/officeDocument/2006/relationships/hyperlink" Target="https://www.sec.gov/ix?doc=/Archives/edgar/data/729580/000143774926005358/belfa20260213_8ka.htm" TargetMode="External"/><Relationship Id="rId56" Type="http://schemas.openxmlformats.org/officeDocument/2006/relationships/hyperlink" Target="https://www.sec.gov/ix?doc=/Archives/edgar/data/729580/000143774925037380/belfa20251204_8k.htm" TargetMode="External"/><Relationship Id="rId57" Type="http://schemas.openxmlformats.org/officeDocument/2006/relationships/hyperlink" Target="https://www.sec.gov/ix?doc=/Archives/edgar/data/729580/000143774925005652/belfb20241231_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2026-05-14T16:07:16Z</dcterms:created>
  <dcterms:modified xsi:type="dcterms:W3CDTF">2026-05-14T16:07:16Z</dcterms:modified>
</cp:coreProperties>
</file>