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BEL FUSE INC-CL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Barclays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133,750.00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133,750.00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133,750.00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6.32 %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 FUSE INC-CL 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 Executive Drive, Suite 300, NJ, 07052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Barclays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Churchill Place, London - E14 5HP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spacing w:after="0" w:line="62"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133750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6.32 %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01"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133750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133750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1"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Barclays Bank PLC, Barclays Capital Inc, Barclays Capital Securities Ltd</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Barclays PLC</w:t>
      </w:r>
    </w:p>
    <w:p>
      <w:pPr>
        <w:spacing w:after="0" w:line="152"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Ramya Rao</w:t>
      </w:r>
    </w:p>
    <w:p>
      <w:pPr>
        <w:spacing w:after="0" w:line="4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ectPr>
          <w:pgSz w:w="11900" w:h="16901" w:orient="portrait"/>
          <w:cols w:equalWidth="0" w:num="1">
            <w:col w:w="11140"/>
          </w:cols>
          <w:pgMar w:left="360" w:top="111"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2026-05-14T20:27:07Z</dcterms:created>
  <dcterms:modified xsi:type="dcterms:W3CDTF">2026-05-14T20:27:07Z</dcterms:modified>
</cp:coreProperties>
</file>